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35300" w14:textId="77777777" w:rsidR="00190C0E" w:rsidRDefault="00190C0E" w:rsidP="00600C79">
      <w:pPr>
        <w:spacing w:after="0" w:line="240" w:lineRule="auto"/>
        <w:jc w:val="center"/>
        <w:rPr>
          <w:rFonts w:ascii="Times New Roman" w:hAnsi="Times New Roman" w:cs="Times New Roman"/>
          <w:sz w:val="28"/>
          <w:szCs w:val="28"/>
          <w:lang w:val="en-US"/>
        </w:rPr>
      </w:pPr>
      <w:bookmarkStart w:id="0" w:name="_Hlk190055477"/>
      <w:bookmarkStart w:id="1" w:name="_Hlk190024697"/>
      <w:bookmarkEnd w:id="0"/>
    </w:p>
    <w:p w14:paraId="39DFA7B6" w14:textId="445453E5" w:rsidR="00600C79" w:rsidRPr="00244343" w:rsidRDefault="00600C79" w:rsidP="00600C79">
      <w:pPr>
        <w:spacing w:after="0" w:line="240" w:lineRule="auto"/>
        <w:jc w:val="center"/>
        <w:rPr>
          <w:rFonts w:ascii="Times New Roman" w:eastAsiaTheme="minorEastAsia" w:hAnsi="Times New Roman" w:cs="Times New Roman"/>
          <w:sz w:val="28"/>
          <w:szCs w:val="28"/>
          <w:lang w:val="en-US"/>
        </w:rPr>
      </w:pPr>
      <w:r w:rsidRPr="00244343">
        <w:rPr>
          <w:rFonts w:ascii="Times New Roman" w:hAnsi="Times New Roman" w:cs="Times New Roman"/>
          <w:sz w:val="28"/>
          <w:szCs w:val="28"/>
          <w:lang w:val="en-US"/>
        </w:rPr>
        <w:t>Ministry of Science and Higher Education of the Republic of Kazakhstan</w:t>
      </w:r>
    </w:p>
    <w:p w14:paraId="5431B97F" w14:textId="77777777" w:rsidR="00600C79" w:rsidRPr="00244343" w:rsidRDefault="00600C79" w:rsidP="00600C79">
      <w:pPr>
        <w:shd w:val="clear" w:color="auto" w:fill="FFFFFF"/>
        <w:spacing w:after="0" w:line="240" w:lineRule="auto"/>
        <w:ind w:right="182"/>
        <w:jc w:val="center"/>
        <w:rPr>
          <w:rFonts w:ascii="Times New Roman" w:hAnsi="Times New Roman" w:cs="Times New Roman"/>
          <w:spacing w:val="1"/>
          <w:sz w:val="28"/>
          <w:szCs w:val="28"/>
          <w:lang w:val="en-US"/>
        </w:rPr>
      </w:pPr>
      <w:proofErr w:type="spellStart"/>
      <w:r w:rsidRPr="00244343">
        <w:rPr>
          <w:rFonts w:ascii="Times New Roman" w:hAnsi="Times New Roman" w:cs="Times New Roman"/>
          <w:spacing w:val="1"/>
          <w:sz w:val="28"/>
          <w:szCs w:val="28"/>
          <w:lang w:val="en-US"/>
        </w:rPr>
        <w:t>Turan</w:t>
      </w:r>
      <w:proofErr w:type="spellEnd"/>
      <w:r w:rsidRPr="00244343">
        <w:rPr>
          <w:rFonts w:ascii="Times New Roman" w:hAnsi="Times New Roman" w:cs="Times New Roman"/>
          <w:spacing w:val="1"/>
          <w:sz w:val="28"/>
          <w:szCs w:val="28"/>
          <w:lang w:val="en-US"/>
        </w:rPr>
        <w:t xml:space="preserve"> University</w:t>
      </w:r>
    </w:p>
    <w:p w14:paraId="12A628D0" w14:textId="77777777" w:rsidR="00600C79" w:rsidRPr="00244343" w:rsidRDefault="00600C79" w:rsidP="00600C79">
      <w:pPr>
        <w:pStyle w:val="a4"/>
        <w:spacing w:before="0" w:beforeAutospacing="0" w:after="0" w:afterAutospacing="0"/>
        <w:ind w:firstLine="12"/>
        <w:jc w:val="center"/>
        <w:rPr>
          <w:sz w:val="28"/>
          <w:szCs w:val="28"/>
          <w:lang w:val="en-US"/>
        </w:rPr>
      </w:pPr>
    </w:p>
    <w:p w14:paraId="0B7867B7" w14:textId="77777777" w:rsidR="00600C79" w:rsidRPr="00244343" w:rsidRDefault="00600C79" w:rsidP="00600C79">
      <w:pPr>
        <w:pStyle w:val="a4"/>
        <w:spacing w:before="0" w:beforeAutospacing="0" w:after="0" w:afterAutospacing="0"/>
        <w:ind w:firstLine="12"/>
        <w:jc w:val="center"/>
        <w:rPr>
          <w:sz w:val="28"/>
          <w:szCs w:val="28"/>
          <w:lang w:val="en-US"/>
        </w:rPr>
      </w:pPr>
    </w:p>
    <w:p w14:paraId="252F9B25" w14:textId="77777777" w:rsidR="00600C79" w:rsidRPr="00244343" w:rsidRDefault="00600C79" w:rsidP="00600C79">
      <w:pPr>
        <w:pStyle w:val="a4"/>
        <w:spacing w:before="0" w:beforeAutospacing="0" w:after="0" w:afterAutospacing="0"/>
        <w:jc w:val="center"/>
        <w:rPr>
          <w:sz w:val="28"/>
          <w:szCs w:val="28"/>
          <w:lang w:val="en-US"/>
        </w:rPr>
      </w:pPr>
    </w:p>
    <w:p w14:paraId="2E5F8EBE" w14:textId="4E9CD911" w:rsidR="00600C79" w:rsidRPr="00244343" w:rsidRDefault="00600C79" w:rsidP="00600C79">
      <w:pPr>
        <w:pStyle w:val="a4"/>
        <w:spacing w:before="0" w:beforeAutospacing="0" w:after="0" w:afterAutospacing="0"/>
        <w:jc w:val="both"/>
        <w:rPr>
          <w:sz w:val="28"/>
          <w:szCs w:val="28"/>
          <w:lang w:val="en-US"/>
        </w:rPr>
      </w:pPr>
      <w:r w:rsidRPr="00244343">
        <w:rPr>
          <w:spacing w:val="-6"/>
          <w:sz w:val="28"/>
          <w:szCs w:val="28"/>
          <w:lang w:val="en-US"/>
        </w:rPr>
        <w:t>UDC 005(574) (043)</w:t>
      </w:r>
      <w:r w:rsidRPr="00244343">
        <w:rPr>
          <w:sz w:val="28"/>
          <w:szCs w:val="28"/>
          <w:lang w:val="en-US"/>
        </w:rPr>
        <w:t xml:space="preserve">                                                                       On manuscript rights</w:t>
      </w:r>
    </w:p>
    <w:p w14:paraId="22F3E09F" w14:textId="77777777" w:rsidR="00600C79" w:rsidRPr="00244343" w:rsidRDefault="00600C79" w:rsidP="00600C79">
      <w:pPr>
        <w:pStyle w:val="a4"/>
        <w:spacing w:before="0" w:beforeAutospacing="0" w:after="0" w:afterAutospacing="0"/>
        <w:ind w:right="182"/>
        <w:jc w:val="center"/>
        <w:rPr>
          <w:sz w:val="28"/>
          <w:szCs w:val="28"/>
          <w:lang w:val="en-US"/>
        </w:rPr>
      </w:pPr>
    </w:p>
    <w:p w14:paraId="00FD0630" w14:textId="77777777" w:rsidR="00600C79" w:rsidRPr="00244343" w:rsidRDefault="00600C79" w:rsidP="00600C79">
      <w:pPr>
        <w:pStyle w:val="a4"/>
        <w:spacing w:before="0" w:beforeAutospacing="0" w:after="0" w:afterAutospacing="0"/>
        <w:ind w:right="182"/>
        <w:jc w:val="center"/>
        <w:rPr>
          <w:sz w:val="28"/>
          <w:szCs w:val="28"/>
          <w:lang w:val="en-US"/>
        </w:rPr>
      </w:pPr>
    </w:p>
    <w:p w14:paraId="05E30B6D" w14:textId="77777777" w:rsidR="00600C79" w:rsidRPr="00244343" w:rsidRDefault="00600C79" w:rsidP="00600C79">
      <w:pPr>
        <w:pStyle w:val="a4"/>
        <w:spacing w:before="0" w:beforeAutospacing="0" w:after="0" w:afterAutospacing="0"/>
        <w:ind w:right="182"/>
        <w:jc w:val="center"/>
        <w:rPr>
          <w:sz w:val="28"/>
          <w:szCs w:val="28"/>
          <w:lang w:val="en-US"/>
        </w:rPr>
      </w:pPr>
    </w:p>
    <w:p w14:paraId="7239F99C" w14:textId="77777777" w:rsidR="00600C79" w:rsidRPr="00244343" w:rsidRDefault="00600C79" w:rsidP="00600C79">
      <w:pPr>
        <w:pStyle w:val="a4"/>
        <w:spacing w:before="0" w:beforeAutospacing="0" w:after="0" w:afterAutospacing="0"/>
        <w:ind w:right="182"/>
        <w:jc w:val="center"/>
        <w:rPr>
          <w:sz w:val="28"/>
          <w:szCs w:val="28"/>
          <w:lang w:val="en-US"/>
        </w:rPr>
      </w:pPr>
    </w:p>
    <w:p w14:paraId="3529D708" w14:textId="77777777" w:rsidR="00600C79" w:rsidRPr="00244343" w:rsidRDefault="00600C79" w:rsidP="00600C79">
      <w:pPr>
        <w:pStyle w:val="a4"/>
        <w:spacing w:before="0" w:beforeAutospacing="0" w:after="0" w:afterAutospacing="0"/>
        <w:ind w:right="182"/>
        <w:jc w:val="center"/>
        <w:rPr>
          <w:b/>
          <w:spacing w:val="7"/>
          <w:sz w:val="28"/>
          <w:szCs w:val="28"/>
          <w:lang w:val="en-US"/>
        </w:rPr>
      </w:pPr>
      <w:r w:rsidRPr="00244343">
        <w:rPr>
          <w:b/>
          <w:spacing w:val="7"/>
          <w:sz w:val="28"/>
          <w:szCs w:val="28"/>
          <w:lang w:val="en-US"/>
        </w:rPr>
        <w:t>SEKERBAYEVA AIGERIM MARATOVNA</w:t>
      </w:r>
    </w:p>
    <w:p w14:paraId="212B2427" w14:textId="77777777" w:rsidR="00600C79" w:rsidRPr="00244343" w:rsidRDefault="00600C79" w:rsidP="00600C79">
      <w:pPr>
        <w:pStyle w:val="a4"/>
        <w:spacing w:before="0" w:beforeAutospacing="0" w:after="0" w:afterAutospacing="0"/>
        <w:ind w:right="182"/>
        <w:jc w:val="center"/>
        <w:rPr>
          <w:b/>
          <w:spacing w:val="7"/>
          <w:sz w:val="28"/>
          <w:szCs w:val="28"/>
          <w:lang w:val="en-US"/>
        </w:rPr>
      </w:pPr>
    </w:p>
    <w:p w14:paraId="0F16A245" w14:textId="77777777" w:rsidR="00600C79" w:rsidRPr="00244343" w:rsidRDefault="00600C79" w:rsidP="00600C79">
      <w:pPr>
        <w:pStyle w:val="a4"/>
        <w:spacing w:before="0" w:beforeAutospacing="0" w:after="0" w:afterAutospacing="0"/>
        <w:ind w:right="182"/>
        <w:jc w:val="center"/>
        <w:rPr>
          <w:sz w:val="28"/>
          <w:szCs w:val="28"/>
          <w:lang w:val="en-US"/>
        </w:rPr>
      </w:pPr>
    </w:p>
    <w:p w14:paraId="725BEA16" w14:textId="44124343" w:rsidR="00600C79" w:rsidRPr="00244343" w:rsidRDefault="00600C79" w:rsidP="00600C79">
      <w:pPr>
        <w:pStyle w:val="a4"/>
        <w:spacing w:before="0" w:beforeAutospacing="0" w:after="0" w:afterAutospacing="0"/>
        <w:ind w:right="182"/>
        <w:jc w:val="center"/>
        <w:rPr>
          <w:sz w:val="28"/>
          <w:szCs w:val="28"/>
          <w:lang w:val="en-US"/>
        </w:rPr>
      </w:pPr>
      <w:bookmarkStart w:id="2" w:name="OLE_LINK1"/>
      <w:bookmarkStart w:id="3" w:name="_Hlk181475894"/>
      <w:bookmarkEnd w:id="2"/>
      <w:r w:rsidRPr="00244343">
        <w:rPr>
          <w:b/>
          <w:iCs/>
          <w:sz w:val="28"/>
          <w:szCs w:val="28"/>
          <w:lang w:val="en-US"/>
        </w:rPr>
        <w:t xml:space="preserve">Innovation management in universities in the Republic of Kazakhstan within the Triple Helix </w:t>
      </w:r>
      <w:r w:rsidR="008545F3">
        <w:rPr>
          <w:b/>
          <w:iCs/>
          <w:sz w:val="28"/>
          <w:szCs w:val="28"/>
          <w:lang w:val="en-US"/>
        </w:rPr>
        <w:t>m</w:t>
      </w:r>
      <w:r w:rsidRPr="00244343">
        <w:rPr>
          <w:b/>
          <w:iCs/>
          <w:sz w:val="28"/>
          <w:szCs w:val="28"/>
          <w:lang w:val="en-US"/>
        </w:rPr>
        <w:t>odel implementatio</w:t>
      </w:r>
      <w:bookmarkEnd w:id="3"/>
      <w:r w:rsidRPr="00244343">
        <w:rPr>
          <w:b/>
          <w:iCs/>
          <w:sz w:val="28"/>
          <w:szCs w:val="28"/>
          <w:lang w:val="en-US"/>
        </w:rPr>
        <w:t>n</w:t>
      </w:r>
    </w:p>
    <w:p w14:paraId="4B303099" w14:textId="77777777" w:rsidR="00600C79" w:rsidRPr="00244343" w:rsidRDefault="00600C79" w:rsidP="00600C79">
      <w:pPr>
        <w:pStyle w:val="a4"/>
        <w:spacing w:before="0" w:beforeAutospacing="0" w:after="0" w:afterAutospacing="0"/>
        <w:ind w:right="182"/>
        <w:jc w:val="center"/>
        <w:rPr>
          <w:sz w:val="28"/>
          <w:szCs w:val="28"/>
          <w:lang w:val="en-US"/>
        </w:rPr>
      </w:pPr>
    </w:p>
    <w:p w14:paraId="12C538EC" w14:textId="77777777" w:rsidR="00600C79" w:rsidRPr="00244343" w:rsidRDefault="00600C79" w:rsidP="00600C79">
      <w:pPr>
        <w:pStyle w:val="a4"/>
        <w:spacing w:before="0" w:beforeAutospacing="0" w:after="0" w:afterAutospacing="0"/>
        <w:ind w:right="182"/>
        <w:jc w:val="center"/>
        <w:rPr>
          <w:sz w:val="28"/>
          <w:szCs w:val="28"/>
          <w:lang w:val="en-US"/>
        </w:rPr>
      </w:pPr>
    </w:p>
    <w:p w14:paraId="33257952" w14:textId="77777777" w:rsidR="00600C79" w:rsidRPr="00244343" w:rsidRDefault="00600C79" w:rsidP="00600C79">
      <w:pPr>
        <w:pStyle w:val="a4"/>
        <w:spacing w:before="0" w:beforeAutospacing="0" w:after="0" w:afterAutospacing="0"/>
        <w:ind w:right="182"/>
        <w:jc w:val="center"/>
        <w:rPr>
          <w:sz w:val="28"/>
          <w:szCs w:val="28"/>
          <w:lang w:val="en-US"/>
        </w:rPr>
      </w:pPr>
    </w:p>
    <w:p w14:paraId="3FAC127C" w14:textId="77777777" w:rsidR="00600C79" w:rsidRPr="00244343" w:rsidRDefault="00600C79" w:rsidP="00600C79">
      <w:pPr>
        <w:shd w:val="clear" w:color="auto" w:fill="FFFFFF"/>
        <w:spacing w:after="0" w:line="240" w:lineRule="auto"/>
        <w:ind w:hanging="12"/>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8D04102 – Management</w:t>
      </w:r>
    </w:p>
    <w:p w14:paraId="474DF4C4" w14:textId="77777777" w:rsidR="00600C79" w:rsidRPr="00244343" w:rsidRDefault="00600C79" w:rsidP="00600C79">
      <w:pPr>
        <w:shd w:val="clear" w:color="auto" w:fill="FFFFFF"/>
        <w:spacing w:after="0" w:line="240" w:lineRule="auto"/>
        <w:ind w:hanging="12"/>
        <w:jc w:val="center"/>
        <w:rPr>
          <w:rFonts w:ascii="Times New Roman" w:hAnsi="Times New Roman" w:cs="Times New Roman"/>
          <w:sz w:val="28"/>
          <w:szCs w:val="28"/>
          <w:lang w:val="en-US"/>
        </w:rPr>
      </w:pPr>
    </w:p>
    <w:p w14:paraId="14B3D541" w14:textId="77777777" w:rsidR="00600C79" w:rsidRPr="00244343" w:rsidRDefault="00600C79" w:rsidP="00600C79">
      <w:pPr>
        <w:shd w:val="clear" w:color="auto" w:fill="FFFFFF"/>
        <w:spacing w:after="0" w:line="240" w:lineRule="auto"/>
        <w:ind w:hanging="12"/>
        <w:jc w:val="center"/>
        <w:rPr>
          <w:rFonts w:ascii="Times New Roman" w:hAnsi="Times New Roman" w:cs="Times New Roman"/>
          <w:spacing w:val="4"/>
          <w:sz w:val="28"/>
          <w:szCs w:val="28"/>
          <w:lang w:val="en-US"/>
        </w:rPr>
      </w:pPr>
    </w:p>
    <w:p w14:paraId="5208CE1E" w14:textId="77777777" w:rsidR="00600C79" w:rsidRPr="00244343" w:rsidRDefault="00600C79" w:rsidP="00600C79">
      <w:pPr>
        <w:pStyle w:val="a4"/>
        <w:spacing w:before="0" w:beforeAutospacing="0" w:after="0" w:afterAutospacing="0"/>
        <w:jc w:val="center"/>
        <w:rPr>
          <w:spacing w:val="2"/>
          <w:sz w:val="28"/>
          <w:szCs w:val="28"/>
          <w:lang w:val="en-US"/>
        </w:rPr>
      </w:pPr>
      <w:r w:rsidRPr="00244343">
        <w:rPr>
          <w:spacing w:val="2"/>
          <w:sz w:val="28"/>
          <w:szCs w:val="28"/>
          <w:lang w:val="en-US"/>
        </w:rPr>
        <w:t>Dissertation for the degree of Doctor of Philosophy (PhD)</w:t>
      </w:r>
    </w:p>
    <w:p w14:paraId="36D834E2" w14:textId="77777777" w:rsidR="00600C79" w:rsidRPr="00244343" w:rsidRDefault="00600C79" w:rsidP="00600C79">
      <w:pPr>
        <w:pStyle w:val="a4"/>
        <w:spacing w:before="0" w:beforeAutospacing="0" w:after="0" w:afterAutospacing="0"/>
        <w:ind w:left="38"/>
        <w:jc w:val="center"/>
        <w:rPr>
          <w:sz w:val="28"/>
          <w:szCs w:val="28"/>
          <w:lang w:val="en-US"/>
        </w:rPr>
      </w:pPr>
    </w:p>
    <w:p w14:paraId="1F718FBB" w14:textId="77777777" w:rsidR="00600C79" w:rsidRPr="00244343" w:rsidRDefault="00600C79" w:rsidP="00600C79">
      <w:pPr>
        <w:pStyle w:val="a4"/>
        <w:spacing w:before="0" w:beforeAutospacing="0" w:after="0" w:afterAutospacing="0"/>
        <w:jc w:val="center"/>
        <w:rPr>
          <w:sz w:val="28"/>
          <w:szCs w:val="28"/>
          <w:lang w:val="en-US"/>
        </w:rPr>
      </w:pPr>
    </w:p>
    <w:p w14:paraId="62A3B34D" w14:textId="77777777" w:rsidR="00600C79" w:rsidRPr="00244343" w:rsidRDefault="00600C79" w:rsidP="00600C79">
      <w:pPr>
        <w:pStyle w:val="a4"/>
        <w:spacing w:before="0" w:beforeAutospacing="0" w:after="0" w:afterAutospacing="0"/>
        <w:jc w:val="center"/>
        <w:rPr>
          <w:sz w:val="28"/>
          <w:szCs w:val="28"/>
          <w:lang w:val="en-US"/>
        </w:rPr>
      </w:pPr>
    </w:p>
    <w:tbl>
      <w:tblPr>
        <w:tblW w:w="0" w:type="auto"/>
        <w:jc w:val="center"/>
        <w:tblLook w:val="04A0" w:firstRow="1" w:lastRow="0" w:firstColumn="1" w:lastColumn="0" w:noHBand="0" w:noVBand="1"/>
      </w:tblPr>
      <w:tblGrid>
        <w:gridCol w:w="4390"/>
        <w:gridCol w:w="4954"/>
      </w:tblGrid>
      <w:tr w:rsidR="00600C79" w:rsidRPr="00244343" w14:paraId="5809744E" w14:textId="77777777" w:rsidTr="004524BE">
        <w:trPr>
          <w:jc w:val="center"/>
        </w:trPr>
        <w:tc>
          <w:tcPr>
            <w:tcW w:w="4390" w:type="dxa"/>
            <w:hideMark/>
          </w:tcPr>
          <w:p w14:paraId="3D227DEB" w14:textId="77777777" w:rsidR="00600C79" w:rsidRPr="00244343" w:rsidRDefault="00600C79" w:rsidP="004524BE">
            <w:pPr>
              <w:pStyle w:val="a4"/>
              <w:tabs>
                <w:tab w:val="left" w:pos="7088"/>
              </w:tabs>
              <w:spacing w:before="0" w:beforeAutospacing="0" w:after="0" w:afterAutospacing="0"/>
              <w:rPr>
                <w:sz w:val="28"/>
                <w:szCs w:val="28"/>
                <w:lang w:val="en-US"/>
              </w:rPr>
            </w:pPr>
          </w:p>
        </w:tc>
        <w:tc>
          <w:tcPr>
            <w:tcW w:w="4954" w:type="dxa"/>
            <w:hideMark/>
          </w:tcPr>
          <w:p w14:paraId="6F457E41" w14:textId="77777777" w:rsidR="00600C79" w:rsidRPr="00244343" w:rsidRDefault="00600C79" w:rsidP="004524BE">
            <w:pPr>
              <w:pStyle w:val="a4"/>
              <w:spacing w:before="0" w:beforeAutospacing="0" w:after="0" w:afterAutospacing="0"/>
              <w:jc w:val="right"/>
              <w:rPr>
                <w:sz w:val="28"/>
                <w:szCs w:val="28"/>
                <w:lang w:val="en-US"/>
              </w:rPr>
            </w:pPr>
            <w:r w:rsidRPr="00244343">
              <w:rPr>
                <w:b/>
                <w:bCs/>
                <w:sz w:val="28"/>
                <w:szCs w:val="28"/>
                <w:lang w:val="en-US"/>
              </w:rPr>
              <w:t>Scientific advisor:</w:t>
            </w:r>
          </w:p>
        </w:tc>
      </w:tr>
      <w:tr w:rsidR="00600C79" w:rsidRPr="000E0481" w14:paraId="43E63CDC" w14:textId="77777777" w:rsidTr="004524BE">
        <w:trPr>
          <w:jc w:val="center"/>
        </w:trPr>
        <w:tc>
          <w:tcPr>
            <w:tcW w:w="4390" w:type="dxa"/>
            <w:hideMark/>
          </w:tcPr>
          <w:p w14:paraId="7DBFB55D" w14:textId="77777777" w:rsidR="00600C79" w:rsidRPr="00244343" w:rsidRDefault="00600C79" w:rsidP="004524BE">
            <w:pPr>
              <w:pStyle w:val="a4"/>
              <w:tabs>
                <w:tab w:val="left" w:pos="7088"/>
              </w:tabs>
              <w:spacing w:before="0" w:beforeAutospacing="0" w:after="0" w:afterAutospacing="0"/>
              <w:rPr>
                <w:sz w:val="28"/>
                <w:szCs w:val="28"/>
              </w:rPr>
            </w:pPr>
          </w:p>
        </w:tc>
        <w:tc>
          <w:tcPr>
            <w:tcW w:w="4954" w:type="dxa"/>
            <w:hideMark/>
          </w:tcPr>
          <w:p w14:paraId="3E9DB99B" w14:textId="77777777" w:rsidR="00600C79" w:rsidRPr="00244343" w:rsidRDefault="00600C79" w:rsidP="004524BE">
            <w:pPr>
              <w:pStyle w:val="a4"/>
              <w:spacing w:before="0" w:beforeAutospacing="0" w:after="0" w:afterAutospacing="0"/>
              <w:jc w:val="right"/>
              <w:rPr>
                <w:sz w:val="28"/>
                <w:szCs w:val="28"/>
                <w:lang w:val="en-US"/>
              </w:rPr>
            </w:pPr>
            <w:r w:rsidRPr="00244343">
              <w:rPr>
                <w:sz w:val="28"/>
                <w:szCs w:val="28"/>
                <w:lang w:val="en-US"/>
              </w:rPr>
              <w:t>Candidate of economic sciences, Associate Professor</w:t>
            </w:r>
          </w:p>
        </w:tc>
      </w:tr>
      <w:tr w:rsidR="00600C79" w:rsidRPr="00244343" w14:paraId="0840F82B" w14:textId="77777777" w:rsidTr="004524BE">
        <w:trPr>
          <w:jc w:val="center"/>
        </w:trPr>
        <w:tc>
          <w:tcPr>
            <w:tcW w:w="4390" w:type="dxa"/>
            <w:hideMark/>
          </w:tcPr>
          <w:p w14:paraId="72B99DAF" w14:textId="77777777" w:rsidR="00600C79" w:rsidRPr="00244343" w:rsidRDefault="00600C79" w:rsidP="004524BE">
            <w:pPr>
              <w:pStyle w:val="a4"/>
              <w:tabs>
                <w:tab w:val="left" w:pos="7088"/>
              </w:tabs>
              <w:spacing w:before="0" w:beforeAutospacing="0" w:after="0" w:afterAutospacing="0"/>
              <w:rPr>
                <w:sz w:val="28"/>
                <w:szCs w:val="28"/>
                <w:lang w:val="en-US"/>
              </w:rPr>
            </w:pPr>
          </w:p>
        </w:tc>
        <w:tc>
          <w:tcPr>
            <w:tcW w:w="4954" w:type="dxa"/>
            <w:hideMark/>
          </w:tcPr>
          <w:p w14:paraId="55E333A4" w14:textId="77777777" w:rsidR="00600C79" w:rsidRPr="00244343" w:rsidRDefault="00600C79" w:rsidP="004524BE">
            <w:pPr>
              <w:pStyle w:val="a4"/>
              <w:spacing w:before="0" w:beforeAutospacing="0" w:after="0" w:afterAutospacing="0"/>
              <w:jc w:val="right"/>
              <w:rPr>
                <w:sz w:val="28"/>
                <w:szCs w:val="28"/>
                <w:lang w:val="en-US"/>
              </w:rPr>
            </w:pPr>
            <w:proofErr w:type="spellStart"/>
            <w:r w:rsidRPr="00244343">
              <w:rPr>
                <w:sz w:val="28"/>
                <w:szCs w:val="28"/>
                <w:lang w:val="en-US"/>
              </w:rPr>
              <w:t>Tamenova</w:t>
            </w:r>
            <w:proofErr w:type="spellEnd"/>
            <w:r w:rsidRPr="00244343">
              <w:rPr>
                <w:sz w:val="28"/>
                <w:szCs w:val="28"/>
                <w:lang w:val="en-US"/>
              </w:rPr>
              <w:t xml:space="preserve"> S.S.</w:t>
            </w:r>
          </w:p>
        </w:tc>
      </w:tr>
      <w:tr w:rsidR="00600C79" w:rsidRPr="00244343" w14:paraId="15FCF782" w14:textId="77777777" w:rsidTr="004524BE">
        <w:trPr>
          <w:jc w:val="center"/>
        </w:trPr>
        <w:tc>
          <w:tcPr>
            <w:tcW w:w="4390" w:type="dxa"/>
          </w:tcPr>
          <w:p w14:paraId="3F7D3814" w14:textId="77777777" w:rsidR="00600C79" w:rsidRPr="00244343" w:rsidRDefault="00600C79" w:rsidP="004524BE">
            <w:pPr>
              <w:pStyle w:val="a4"/>
              <w:tabs>
                <w:tab w:val="left" w:pos="7088"/>
              </w:tabs>
              <w:spacing w:before="0" w:beforeAutospacing="0" w:after="0" w:afterAutospacing="0"/>
              <w:rPr>
                <w:sz w:val="28"/>
                <w:szCs w:val="28"/>
                <w:lang w:val="en-US"/>
              </w:rPr>
            </w:pPr>
          </w:p>
        </w:tc>
        <w:tc>
          <w:tcPr>
            <w:tcW w:w="4954" w:type="dxa"/>
          </w:tcPr>
          <w:p w14:paraId="41DD226B" w14:textId="77777777" w:rsidR="00600C79" w:rsidRPr="00244343" w:rsidRDefault="00600C79" w:rsidP="004524BE">
            <w:pPr>
              <w:pStyle w:val="a4"/>
              <w:spacing w:before="0" w:beforeAutospacing="0" w:after="0" w:afterAutospacing="0"/>
              <w:jc w:val="right"/>
              <w:rPr>
                <w:sz w:val="28"/>
                <w:szCs w:val="28"/>
                <w:lang w:val="kk-KZ"/>
              </w:rPr>
            </w:pPr>
            <w:proofErr w:type="spellStart"/>
            <w:r w:rsidRPr="00244343">
              <w:rPr>
                <w:sz w:val="28"/>
                <w:szCs w:val="28"/>
                <w:lang w:val="en-US"/>
              </w:rPr>
              <w:t>Turan</w:t>
            </w:r>
            <w:proofErr w:type="spellEnd"/>
            <w:r w:rsidRPr="00244343">
              <w:rPr>
                <w:sz w:val="28"/>
                <w:szCs w:val="28"/>
                <w:lang w:val="en-US"/>
              </w:rPr>
              <w:t xml:space="preserve"> University</w:t>
            </w:r>
          </w:p>
          <w:p w14:paraId="5B7E43D4" w14:textId="77777777" w:rsidR="00600C79" w:rsidRPr="00244343" w:rsidRDefault="00600C79" w:rsidP="004524BE">
            <w:pPr>
              <w:pStyle w:val="a4"/>
              <w:spacing w:before="0" w:beforeAutospacing="0" w:after="0" w:afterAutospacing="0"/>
              <w:jc w:val="right"/>
              <w:rPr>
                <w:sz w:val="28"/>
                <w:szCs w:val="28"/>
                <w:lang w:val="kk-KZ"/>
              </w:rPr>
            </w:pPr>
          </w:p>
        </w:tc>
      </w:tr>
      <w:tr w:rsidR="00600C79" w:rsidRPr="00244343" w14:paraId="14410557" w14:textId="77777777" w:rsidTr="004524BE">
        <w:trPr>
          <w:jc w:val="center"/>
        </w:trPr>
        <w:tc>
          <w:tcPr>
            <w:tcW w:w="4390" w:type="dxa"/>
            <w:hideMark/>
          </w:tcPr>
          <w:p w14:paraId="24AFE163" w14:textId="77777777" w:rsidR="00600C79" w:rsidRPr="00244343" w:rsidRDefault="00600C79" w:rsidP="004524BE">
            <w:pPr>
              <w:pStyle w:val="a4"/>
              <w:tabs>
                <w:tab w:val="left" w:pos="7088"/>
              </w:tabs>
              <w:spacing w:before="0" w:beforeAutospacing="0" w:after="0" w:afterAutospacing="0"/>
              <w:rPr>
                <w:sz w:val="28"/>
                <w:szCs w:val="28"/>
              </w:rPr>
            </w:pPr>
          </w:p>
        </w:tc>
        <w:tc>
          <w:tcPr>
            <w:tcW w:w="4954" w:type="dxa"/>
            <w:hideMark/>
          </w:tcPr>
          <w:p w14:paraId="0A665E6C" w14:textId="77777777" w:rsidR="00600C79" w:rsidRPr="00244343" w:rsidRDefault="00600C79" w:rsidP="004524BE">
            <w:pPr>
              <w:pStyle w:val="a4"/>
              <w:spacing w:before="0" w:beforeAutospacing="0" w:after="0" w:afterAutospacing="0"/>
              <w:jc w:val="right"/>
              <w:rPr>
                <w:sz w:val="28"/>
                <w:szCs w:val="28"/>
              </w:rPr>
            </w:pPr>
          </w:p>
        </w:tc>
      </w:tr>
      <w:tr w:rsidR="00600C79" w:rsidRPr="00244343" w14:paraId="2BD87E08" w14:textId="77777777" w:rsidTr="004524BE">
        <w:trPr>
          <w:jc w:val="center"/>
        </w:trPr>
        <w:tc>
          <w:tcPr>
            <w:tcW w:w="4390" w:type="dxa"/>
            <w:hideMark/>
          </w:tcPr>
          <w:p w14:paraId="1D76A59C" w14:textId="77777777" w:rsidR="00600C79" w:rsidRPr="00244343" w:rsidRDefault="00600C79" w:rsidP="004524BE">
            <w:pPr>
              <w:pStyle w:val="a4"/>
              <w:tabs>
                <w:tab w:val="left" w:pos="7088"/>
              </w:tabs>
              <w:spacing w:before="0" w:beforeAutospacing="0" w:after="0" w:afterAutospacing="0"/>
              <w:rPr>
                <w:sz w:val="28"/>
                <w:szCs w:val="28"/>
              </w:rPr>
            </w:pPr>
          </w:p>
        </w:tc>
        <w:tc>
          <w:tcPr>
            <w:tcW w:w="4954" w:type="dxa"/>
            <w:hideMark/>
          </w:tcPr>
          <w:p w14:paraId="6BBC24B1" w14:textId="77777777" w:rsidR="00600C79" w:rsidRPr="00244343" w:rsidRDefault="00600C79" w:rsidP="004524BE">
            <w:pPr>
              <w:pStyle w:val="a4"/>
              <w:spacing w:before="0" w:beforeAutospacing="0" w:after="0" w:afterAutospacing="0"/>
              <w:jc w:val="right"/>
              <w:rPr>
                <w:b/>
                <w:bCs/>
                <w:sz w:val="28"/>
                <w:szCs w:val="28"/>
                <w:lang w:val="en-US"/>
              </w:rPr>
            </w:pPr>
            <w:r w:rsidRPr="00244343">
              <w:rPr>
                <w:b/>
                <w:bCs/>
                <w:sz w:val="28"/>
                <w:szCs w:val="28"/>
                <w:lang w:val="en-US"/>
              </w:rPr>
              <w:t>Foreign scientific advisor:</w:t>
            </w:r>
          </w:p>
        </w:tc>
      </w:tr>
      <w:tr w:rsidR="00600C79" w:rsidRPr="000E0481" w14:paraId="576F64F5" w14:textId="77777777" w:rsidTr="004524BE">
        <w:trPr>
          <w:jc w:val="center"/>
        </w:trPr>
        <w:tc>
          <w:tcPr>
            <w:tcW w:w="4390" w:type="dxa"/>
          </w:tcPr>
          <w:p w14:paraId="2B67C9C1" w14:textId="77777777" w:rsidR="00600C79" w:rsidRPr="00244343" w:rsidRDefault="00600C79" w:rsidP="004524BE">
            <w:pPr>
              <w:pStyle w:val="a4"/>
              <w:tabs>
                <w:tab w:val="left" w:pos="7088"/>
              </w:tabs>
              <w:spacing w:before="0" w:beforeAutospacing="0" w:after="0" w:afterAutospacing="0"/>
              <w:rPr>
                <w:sz w:val="28"/>
                <w:szCs w:val="28"/>
                <w:lang w:val="en-US"/>
              </w:rPr>
            </w:pPr>
          </w:p>
        </w:tc>
        <w:tc>
          <w:tcPr>
            <w:tcW w:w="4954" w:type="dxa"/>
          </w:tcPr>
          <w:p w14:paraId="47B3CA94" w14:textId="77777777" w:rsidR="00600C79" w:rsidRPr="00244343" w:rsidRDefault="00600C79" w:rsidP="004524BE">
            <w:pPr>
              <w:spacing w:after="0" w:line="240" w:lineRule="auto"/>
              <w:contextualSpacing/>
              <w:jc w:val="right"/>
              <w:rPr>
                <w:rFonts w:ascii="Times New Roman" w:hAnsi="Times New Roman" w:cs="Times New Roman"/>
                <w:sz w:val="28"/>
                <w:szCs w:val="28"/>
                <w:lang w:val="en-US"/>
              </w:rPr>
            </w:pPr>
            <w:r w:rsidRPr="00244343">
              <w:rPr>
                <w:rFonts w:ascii="Times New Roman" w:hAnsi="Times New Roman" w:cs="Times New Roman"/>
                <w:sz w:val="28"/>
                <w:szCs w:val="28"/>
                <w:lang w:val="en-US"/>
              </w:rPr>
              <w:t>Candidate of Economic Sciences, Associate Professor</w:t>
            </w:r>
          </w:p>
        </w:tc>
      </w:tr>
      <w:tr w:rsidR="00600C79" w:rsidRPr="00244343" w14:paraId="1820F70F" w14:textId="77777777" w:rsidTr="004524BE">
        <w:trPr>
          <w:jc w:val="center"/>
        </w:trPr>
        <w:tc>
          <w:tcPr>
            <w:tcW w:w="4390" w:type="dxa"/>
            <w:hideMark/>
          </w:tcPr>
          <w:p w14:paraId="6780F8FF" w14:textId="77777777" w:rsidR="00600C79" w:rsidRPr="00244343" w:rsidRDefault="00600C79" w:rsidP="004524BE">
            <w:pPr>
              <w:pStyle w:val="a4"/>
              <w:tabs>
                <w:tab w:val="left" w:pos="7088"/>
              </w:tabs>
              <w:spacing w:before="0" w:beforeAutospacing="0" w:after="0" w:afterAutospacing="0"/>
              <w:rPr>
                <w:sz w:val="28"/>
                <w:szCs w:val="28"/>
                <w:lang w:val="en-US"/>
              </w:rPr>
            </w:pPr>
          </w:p>
        </w:tc>
        <w:tc>
          <w:tcPr>
            <w:tcW w:w="4954" w:type="dxa"/>
            <w:hideMark/>
          </w:tcPr>
          <w:p w14:paraId="59DD415A" w14:textId="77777777" w:rsidR="00600C79" w:rsidRPr="00244343" w:rsidRDefault="00600C79" w:rsidP="004524BE">
            <w:pPr>
              <w:pStyle w:val="a4"/>
              <w:spacing w:before="0" w:beforeAutospacing="0" w:after="0" w:afterAutospacing="0"/>
              <w:jc w:val="right"/>
              <w:rPr>
                <w:sz w:val="28"/>
                <w:szCs w:val="28"/>
                <w:lang w:val="en-US"/>
              </w:rPr>
            </w:pPr>
            <w:proofErr w:type="spellStart"/>
            <w:r w:rsidRPr="00244343">
              <w:rPr>
                <w:sz w:val="28"/>
                <w:szCs w:val="28"/>
                <w:lang w:val="en-US"/>
              </w:rPr>
              <w:t>Pospelova</w:t>
            </w:r>
            <w:proofErr w:type="spellEnd"/>
            <w:r w:rsidRPr="00244343">
              <w:rPr>
                <w:sz w:val="28"/>
                <w:szCs w:val="28"/>
                <w:lang w:val="en-US"/>
              </w:rPr>
              <w:t xml:space="preserve"> T.V.</w:t>
            </w:r>
          </w:p>
        </w:tc>
      </w:tr>
      <w:tr w:rsidR="00600C79" w:rsidRPr="00244343" w14:paraId="5A5ECAE3" w14:textId="77777777" w:rsidTr="004524BE">
        <w:trPr>
          <w:jc w:val="center"/>
        </w:trPr>
        <w:tc>
          <w:tcPr>
            <w:tcW w:w="4390" w:type="dxa"/>
          </w:tcPr>
          <w:p w14:paraId="43B2BA5D" w14:textId="77777777" w:rsidR="00600C79" w:rsidRPr="00244343" w:rsidRDefault="00600C79" w:rsidP="004524BE">
            <w:pPr>
              <w:pStyle w:val="a4"/>
              <w:tabs>
                <w:tab w:val="left" w:pos="7088"/>
              </w:tabs>
              <w:spacing w:before="0" w:beforeAutospacing="0" w:after="0" w:afterAutospacing="0"/>
              <w:rPr>
                <w:sz w:val="28"/>
                <w:szCs w:val="28"/>
                <w:lang w:val="en-US"/>
              </w:rPr>
            </w:pPr>
          </w:p>
        </w:tc>
        <w:tc>
          <w:tcPr>
            <w:tcW w:w="4954" w:type="dxa"/>
          </w:tcPr>
          <w:p w14:paraId="3AA4594D" w14:textId="77777777" w:rsidR="00600C79" w:rsidRPr="00244343" w:rsidRDefault="00600C79" w:rsidP="004524BE">
            <w:pPr>
              <w:spacing w:after="0" w:line="240" w:lineRule="auto"/>
              <w:contextualSpacing/>
              <w:jc w:val="right"/>
              <w:rPr>
                <w:rFonts w:ascii="Times New Roman" w:hAnsi="Times New Roman" w:cs="Times New Roman"/>
                <w:sz w:val="28"/>
                <w:szCs w:val="28"/>
                <w:lang w:val="en-US"/>
              </w:rPr>
            </w:pPr>
            <w:bookmarkStart w:id="4" w:name="_Hlk181476155"/>
            <w:r w:rsidRPr="00244343">
              <w:rPr>
                <w:rFonts w:ascii="Times New Roman" w:hAnsi="Times New Roman" w:cs="Times New Roman"/>
                <w:sz w:val="28"/>
                <w:szCs w:val="28"/>
                <w:lang w:val="en-US"/>
              </w:rPr>
              <w:t>Higher School of Economics University</w:t>
            </w:r>
            <w:bookmarkEnd w:id="4"/>
            <w:r w:rsidRPr="00244343">
              <w:rPr>
                <w:rFonts w:ascii="Times New Roman" w:hAnsi="Times New Roman" w:cs="Times New Roman"/>
                <w:sz w:val="28"/>
                <w:szCs w:val="28"/>
                <w:lang w:val="en-US"/>
              </w:rPr>
              <w:t>,</w:t>
            </w:r>
          </w:p>
          <w:p w14:paraId="4E02BECE" w14:textId="77777777" w:rsidR="00600C79" w:rsidRPr="00244343" w:rsidRDefault="00600C79" w:rsidP="004524BE">
            <w:pPr>
              <w:spacing w:after="0" w:line="240" w:lineRule="auto"/>
              <w:contextualSpacing/>
              <w:jc w:val="right"/>
              <w:rPr>
                <w:rFonts w:ascii="Times New Roman" w:hAnsi="Times New Roman" w:cs="Times New Roman"/>
                <w:sz w:val="28"/>
                <w:szCs w:val="28"/>
                <w:lang w:val="en-US"/>
              </w:rPr>
            </w:pPr>
            <w:r w:rsidRPr="00244343">
              <w:rPr>
                <w:rFonts w:ascii="Times New Roman" w:hAnsi="Times New Roman" w:cs="Times New Roman"/>
                <w:sz w:val="28"/>
                <w:szCs w:val="28"/>
                <w:lang w:val="en-US"/>
              </w:rPr>
              <w:t>Russian Federation (Moscow)</w:t>
            </w:r>
          </w:p>
        </w:tc>
      </w:tr>
    </w:tbl>
    <w:p w14:paraId="019A4F72" w14:textId="77777777" w:rsidR="00600C79" w:rsidRPr="00244343" w:rsidRDefault="00600C79" w:rsidP="00600C79">
      <w:pPr>
        <w:pStyle w:val="a4"/>
        <w:spacing w:before="0" w:beforeAutospacing="0" w:after="0" w:afterAutospacing="0"/>
        <w:jc w:val="center"/>
        <w:rPr>
          <w:sz w:val="28"/>
          <w:szCs w:val="28"/>
          <w:lang w:val="en-US"/>
        </w:rPr>
      </w:pPr>
    </w:p>
    <w:p w14:paraId="17E667E3" w14:textId="77777777" w:rsidR="00600C79" w:rsidRPr="00244343" w:rsidRDefault="00600C79" w:rsidP="00600C79">
      <w:pPr>
        <w:pStyle w:val="a4"/>
        <w:spacing w:before="0" w:beforeAutospacing="0" w:after="0" w:afterAutospacing="0"/>
        <w:jc w:val="center"/>
        <w:rPr>
          <w:sz w:val="28"/>
          <w:szCs w:val="28"/>
          <w:lang w:val="en-US"/>
        </w:rPr>
      </w:pPr>
    </w:p>
    <w:p w14:paraId="7D2C2E07" w14:textId="77777777" w:rsidR="00600C79" w:rsidRPr="00244343" w:rsidRDefault="00600C79" w:rsidP="00600C79">
      <w:pPr>
        <w:pStyle w:val="a4"/>
        <w:spacing w:before="0" w:beforeAutospacing="0" w:after="0" w:afterAutospacing="0"/>
        <w:jc w:val="center"/>
        <w:rPr>
          <w:sz w:val="28"/>
          <w:szCs w:val="28"/>
          <w:lang w:val="en-US"/>
        </w:rPr>
      </w:pPr>
    </w:p>
    <w:p w14:paraId="22EEC196" w14:textId="6DDB63DC" w:rsidR="00600C79" w:rsidRDefault="00600C79" w:rsidP="00600C79">
      <w:pPr>
        <w:pStyle w:val="a4"/>
        <w:spacing w:before="0" w:beforeAutospacing="0" w:after="0" w:afterAutospacing="0"/>
        <w:jc w:val="center"/>
        <w:rPr>
          <w:sz w:val="28"/>
          <w:szCs w:val="28"/>
          <w:lang w:val="en-US"/>
        </w:rPr>
      </w:pPr>
    </w:p>
    <w:p w14:paraId="1492E529" w14:textId="77777777" w:rsidR="004A56DC" w:rsidRPr="00244343" w:rsidRDefault="004A56DC" w:rsidP="00600C79">
      <w:pPr>
        <w:pStyle w:val="a4"/>
        <w:spacing w:before="0" w:beforeAutospacing="0" w:after="0" w:afterAutospacing="0"/>
        <w:jc w:val="center"/>
        <w:rPr>
          <w:sz w:val="28"/>
          <w:szCs w:val="28"/>
          <w:lang w:val="en-US"/>
        </w:rPr>
      </w:pPr>
    </w:p>
    <w:p w14:paraId="3C855D1A" w14:textId="77777777" w:rsidR="00600C79" w:rsidRPr="00244343" w:rsidRDefault="00600C79" w:rsidP="00600C79">
      <w:pPr>
        <w:pStyle w:val="a4"/>
        <w:spacing w:before="0" w:beforeAutospacing="0" w:after="0" w:afterAutospacing="0"/>
        <w:jc w:val="center"/>
        <w:rPr>
          <w:sz w:val="28"/>
          <w:szCs w:val="28"/>
        </w:rPr>
      </w:pPr>
      <w:r w:rsidRPr="00244343">
        <w:rPr>
          <w:sz w:val="28"/>
          <w:szCs w:val="28"/>
          <w:lang w:val="en-US"/>
        </w:rPr>
        <w:t>Republic of Kazakhstan</w:t>
      </w:r>
    </w:p>
    <w:p w14:paraId="610D71EE" w14:textId="626E21A5" w:rsidR="009F0914" w:rsidRPr="004A56DC" w:rsidRDefault="00600C79" w:rsidP="004A56DC">
      <w:pPr>
        <w:pStyle w:val="a4"/>
        <w:spacing w:before="0" w:beforeAutospacing="0" w:after="0" w:afterAutospacing="0"/>
        <w:jc w:val="center"/>
        <w:rPr>
          <w:sz w:val="28"/>
          <w:szCs w:val="28"/>
          <w:lang w:val="en-US"/>
        </w:rPr>
      </w:pPr>
      <w:r w:rsidRPr="00244343">
        <w:rPr>
          <w:sz w:val="28"/>
          <w:szCs w:val="28"/>
          <w:lang w:val="en-US"/>
        </w:rPr>
        <w:t>Almaty</w:t>
      </w:r>
      <w:r w:rsidRPr="00244343">
        <w:rPr>
          <w:sz w:val="28"/>
          <w:szCs w:val="28"/>
        </w:rPr>
        <w:t>, 202</w:t>
      </w:r>
      <w:r w:rsidRPr="00244343">
        <w:rPr>
          <w:sz w:val="28"/>
          <w:szCs w:val="28"/>
          <w:lang w:val="en-US"/>
        </w:rPr>
        <w:t>5</w:t>
      </w:r>
      <w:bookmarkEnd w:id="1"/>
    </w:p>
    <w:p w14:paraId="0427326C" w14:textId="3D78DEF0" w:rsidR="00385D33" w:rsidRPr="00244343" w:rsidRDefault="00385D33" w:rsidP="00385D33">
      <w:pPr>
        <w:pStyle w:val="a4"/>
        <w:spacing w:before="0" w:beforeAutospacing="0" w:after="0" w:afterAutospacing="0"/>
        <w:jc w:val="center"/>
        <w:rPr>
          <w:b/>
          <w:bCs/>
          <w:sz w:val="28"/>
          <w:szCs w:val="28"/>
          <w:lang w:val="kk-KZ"/>
        </w:rPr>
      </w:pPr>
      <w:r w:rsidRPr="00244343">
        <w:rPr>
          <w:b/>
          <w:bCs/>
          <w:sz w:val="28"/>
          <w:szCs w:val="28"/>
          <w:lang w:val="en-US"/>
        </w:rPr>
        <w:lastRenderedPageBreak/>
        <w:t>CONTENTS</w:t>
      </w:r>
    </w:p>
    <w:p w14:paraId="6EC60F08" w14:textId="77777777" w:rsidR="00385D33" w:rsidRPr="00244343" w:rsidRDefault="00385D33" w:rsidP="00385D33">
      <w:pPr>
        <w:pStyle w:val="a4"/>
        <w:spacing w:before="0" w:beforeAutospacing="0" w:after="0" w:afterAutospacing="0"/>
        <w:jc w:val="center"/>
        <w:rPr>
          <w:b/>
          <w:bCs/>
          <w:sz w:val="28"/>
          <w:szCs w:val="28"/>
          <w:lang w:val="kk-KZ"/>
        </w:rPr>
      </w:pPr>
    </w:p>
    <w:tbl>
      <w:tblPr>
        <w:tblStyle w:val="a8"/>
        <w:tblW w:w="949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1"/>
        <w:gridCol w:w="636"/>
      </w:tblGrid>
      <w:tr w:rsidR="00385D33" w:rsidRPr="00244343" w14:paraId="223C4150" w14:textId="77777777" w:rsidTr="006A6B97">
        <w:tc>
          <w:tcPr>
            <w:tcW w:w="8861" w:type="dxa"/>
          </w:tcPr>
          <w:p w14:paraId="3F3B8FC8" w14:textId="77777777" w:rsidR="00385D33" w:rsidRPr="00B4623F" w:rsidRDefault="00385D33" w:rsidP="00267B0C">
            <w:pPr>
              <w:pStyle w:val="a4"/>
              <w:spacing w:before="0" w:beforeAutospacing="0" w:after="0" w:afterAutospacing="0"/>
              <w:rPr>
                <w:sz w:val="28"/>
                <w:szCs w:val="28"/>
                <w:lang w:val="en-US"/>
              </w:rPr>
            </w:pPr>
            <w:r w:rsidRPr="00B4623F">
              <w:rPr>
                <w:sz w:val="28"/>
                <w:szCs w:val="28"/>
                <w:lang w:val="en-US"/>
              </w:rPr>
              <w:t>REGULATORY REFERENCES</w:t>
            </w:r>
          </w:p>
        </w:tc>
        <w:tc>
          <w:tcPr>
            <w:tcW w:w="636" w:type="dxa"/>
          </w:tcPr>
          <w:p w14:paraId="6B07B875" w14:textId="77777777" w:rsidR="00385D33" w:rsidRPr="00244343" w:rsidRDefault="00385D33" w:rsidP="00267B0C">
            <w:pPr>
              <w:pStyle w:val="a4"/>
              <w:spacing w:before="0" w:beforeAutospacing="0" w:after="0" w:afterAutospacing="0"/>
              <w:jc w:val="right"/>
              <w:rPr>
                <w:sz w:val="28"/>
                <w:szCs w:val="28"/>
                <w:lang w:val="en-US"/>
              </w:rPr>
            </w:pPr>
            <w:r w:rsidRPr="00244343">
              <w:rPr>
                <w:sz w:val="28"/>
                <w:szCs w:val="28"/>
                <w:lang w:val="en-US"/>
              </w:rPr>
              <w:t>3</w:t>
            </w:r>
          </w:p>
        </w:tc>
      </w:tr>
      <w:tr w:rsidR="00385D33" w:rsidRPr="00244343" w14:paraId="78304253" w14:textId="77777777" w:rsidTr="006A6B97">
        <w:tc>
          <w:tcPr>
            <w:tcW w:w="8861" w:type="dxa"/>
          </w:tcPr>
          <w:p w14:paraId="7CA2679C" w14:textId="77777777" w:rsidR="00385D33" w:rsidRPr="00B4623F" w:rsidRDefault="00385D33" w:rsidP="00267B0C">
            <w:pPr>
              <w:pStyle w:val="a4"/>
              <w:spacing w:before="0" w:beforeAutospacing="0" w:after="0" w:afterAutospacing="0"/>
              <w:rPr>
                <w:sz w:val="28"/>
                <w:szCs w:val="28"/>
                <w:lang w:val="en-US"/>
              </w:rPr>
            </w:pPr>
            <w:r w:rsidRPr="00B4623F">
              <w:rPr>
                <w:sz w:val="28"/>
                <w:szCs w:val="28"/>
                <w:lang w:val="en-US"/>
              </w:rPr>
              <w:t>NOTATIONS AND ABBREVIATIONS</w:t>
            </w:r>
          </w:p>
        </w:tc>
        <w:tc>
          <w:tcPr>
            <w:tcW w:w="636" w:type="dxa"/>
          </w:tcPr>
          <w:p w14:paraId="7D6DCBCC" w14:textId="77777777" w:rsidR="00385D33" w:rsidRPr="00244343" w:rsidRDefault="00385D33" w:rsidP="00267B0C">
            <w:pPr>
              <w:pStyle w:val="a4"/>
              <w:spacing w:before="0" w:beforeAutospacing="0" w:after="0" w:afterAutospacing="0"/>
              <w:jc w:val="right"/>
              <w:rPr>
                <w:sz w:val="28"/>
                <w:szCs w:val="28"/>
                <w:lang w:val="en-US"/>
              </w:rPr>
            </w:pPr>
            <w:r w:rsidRPr="00244343">
              <w:rPr>
                <w:sz w:val="28"/>
                <w:szCs w:val="28"/>
                <w:lang w:val="en-US"/>
              </w:rPr>
              <w:t>4</w:t>
            </w:r>
          </w:p>
        </w:tc>
      </w:tr>
      <w:tr w:rsidR="00385D33" w:rsidRPr="00244343" w14:paraId="0E3FF373" w14:textId="77777777" w:rsidTr="006A6B97">
        <w:tc>
          <w:tcPr>
            <w:tcW w:w="8861" w:type="dxa"/>
          </w:tcPr>
          <w:p w14:paraId="6E6D55AC" w14:textId="77777777" w:rsidR="00385D33" w:rsidRPr="00B4623F" w:rsidRDefault="00385D33" w:rsidP="00267B0C">
            <w:pPr>
              <w:pStyle w:val="a4"/>
              <w:spacing w:before="0" w:beforeAutospacing="0" w:after="0" w:afterAutospacing="0"/>
              <w:rPr>
                <w:sz w:val="28"/>
                <w:szCs w:val="28"/>
                <w:lang w:val="en-US"/>
              </w:rPr>
            </w:pPr>
            <w:r w:rsidRPr="00B4623F">
              <w:rPr>
                <w:sz w:val="28"/>
                <w:szCs w:val="28"/>
                <w:lang w:val="en-US"/>
              </w:rPr>
              <w:t>INTRODUCTION</w:t>
            </w:r>
          </w:p>
        </w:tc>
        <w:tc>
          <w:tcPr>
            <w:tcW w:w="636" w:type="dxa"/>
          </w:tcPr>
          <w:p w14:paraId="737C9A7F" w14:textId="77777777" w:rsidR="00385D33" w:rsidRPr="00244343" w:rsidRDefault="00385D33" w:rsidP="00267B0C">
            <w:pPr>
              <w:pStyle w:val="a4"/>
              <w:spacing w:before="0" w:beforeAutospacing="0" w:after="0" w:afterAutospacing="0"/>
              <w:jc w:val="right"/>
              <w:rPr>
                <w:sz w:val="28"/>
                <w:szCs w:val="28"/>
                <w:lang w:val="en-US"/>
              </w:rPr>
            </w:pPr>
            <w:r w:rsidRPr="00244343">
              <w:rPr>
                <w:sz w:val="28"/>
                <w:szCs w:val="28"/>
                <w:lang w:val="en-US"/>
              </w:rPr>
              <w:t>5</w:t>
            </w:r>
          </w:p>
        </w:tc>
      </w:tr>
      <w:tr w:rsidR="00385D33" w:rsidRPr="000E0481" w14:paraId="4A716786" w14:textId="77777777" w:rsidTr="006A6B97">
        <w:tc>
          <w:tcPr>
            <w:tcW w:w="8861" w:type="dxa"/>
          </w:tcPr>
          <w:p w14:paraId="466B3940" w14:textId="31BC6CF2" w:rsidR="00385D33" w:rsidRPr="00B4623F" w:rsidRDefault="00385D33" w:rsidP="001B500C">
            <w:pPr>
              <w:pStyle w:val="a4"/>
              <w:numPr>
                <w:ilvl w:val="0"/>
                <w:numId w:val="18"/>
              </w:numPr>
              <w:spacing w:before="0" w:beforeAutospacing="0" w:after="0" w:afterAutospacing="0"/>
              <w:ind w:left="0" w:firstLine="0"/>
              <w:jc w:val="both"/>
              <w:rPr>
                <w:sz w:val="28"/>
                <w:szCs w:val="28"/>
                <w:lang w:val="en-US"/>
              </w:rPr>
            </w:pPr>
            <w:r w:rsidRPr="00B4623F">
              <w:rPr>
                <w:sz w:val="27"/>
                <w:szCs w:val="27"/>
                <w:lang w:val="en-US" w:eastAsia="ru-RU"/>
              </w:rPr>
              <w:t>THEORETICAL</w:t>
            </w:r>
            <w:r w:rsidRPr="00B4623F">
              <w:rPr>
                <w:sz w:val="27"/>
                <w:szCs w:val="27"/>
                <w:lang w:val="kk-KZ" w:eastAsia="ru-RU"/>
              </w:rPr>
              <w:t xml:space="preserve"> </w:t>
            </w:r>
            <w:r w:rsidRPr="00B4623F">
              <w:rPr>
                <w:sz w:val="27"/>
                <w:szCs w:val="27"/>
                <w:lang w:val="en-US" w:eastAsia="ru-RU"/>
              </w:rPr>
              <w:t>FOUNDATIONS OF INNOVATION MANAGEMENT AND THE TRIPLE HELIX MODEL</w:t>
            </w:r>
          </w:p>
        </w:tc>
        <w:tc>
          <w:tcPr>
            <w:tcW w:w="636" w:type="dxa"/>
          </w:tcPr>
          <w:p w14:paraId="1A80281D" w14:textId="77777777" w:rsidR="00385D33" w:rsidRPr="00244343" w:rsidRDefault="00385D33" w:rsidP="00267B0C">
            <w:pPr>
              <w:pStyle w:val="a4"/>
              <w:spacing w:before="0" w:beforeAutospacing="0" w:after="0" w:afterAutospacing="0"/>
              <w:jc w:val="right"/>
              <w:rPr>
                <w:sz w:val="28"/>
                <w:szCs w:val="28"/>
                <w:lang w:val="en-US"/>
              </w:rPr>
            </w:pPr>
          </w:p>
          <w:p w14:paraId="40279AFB" w14:textId="77777777" w:rsidR="00385D33" w:rsidRPr="00244343" w:rsidRDefault="00385D33" w:rsidP="00385D33">
            <w:pPr>
              <w:pStyle w:val="a4"/>
              <w:spacing w:before="0" w:beforeAutospacing="0" w:after="0" w:afterAutospacing="0"/>
              <w:rPr>
                <w:sz w:val="28"/>
                <w:szCs w:val="28"/>
                <w:lang w:val="en-US"/>
              </w:rPr>
            </w:pPr>
          </w:p>
        </w:tc>
      </w:tr>
      <w:tr w:rsidR="00385D33" w:rsidRPr="00853725" w14:paraId="7A6CB4BC" w14:textId="77777777" w:rsidTr="006A6B97">
        <w:tc>
          <w:tcPr>
            <w:tcW w:w="8861" w:type="dxa"/>
          </w:tcPr>
          <w:p w14:paraId="7B9D5F6F" w14:textId="14A7A417" w:rsidR="00385D33" w:rsidRPr="00B4623F" w:rsidRDefault="00385D33" w:rsidP="00385D33">
            <w:pPr>
              <w:pStyle w:val="a4"/>
              <w:spacing w:before="0" w:beforeAutospacing="0" w:after="0" w:afterAutospacing="0"/>
              <w:rPr>
                <w:sz w:val="28"/>
                <w:szCs w:val="28"/>
                <w:lang w:val="kk-KZ"/>
              </w:rPr>
            </w:pPr>
            <w:r w:rsidRPr="00B4623F">
              <w:rPr>
                <w:sz w:val="28"/>
                <w:szCs w:val="28"/>
                <w:lang w:val="en-US"/>
              </w:rPr>
              <w:t xml:space="preserve">1.1 Concept of </w:t>
            </w:r>
            <w:r w:rsidR="00190C0E" w:rsidRPr="00B4623F">
              <w:rPr>
                <w:sz w:val="28"/>
                <w:szCs w:val="28"/>
                <w:lang w:val="en-US"/>
              </w:rPr>
              <w:t>i</w:t>
            </w:r>
            <w:r w:rsidRPr="00B4623F">
              <w:rPr>
                <w:sz w:val="28"/>
                <w:szCs w:val="28"/>
                <w:lang w:val="en-US"/>
              </w:rPr>
              <w:t xml:space="preserve">nnovation in </w:t>
            </w:r>
            <w:r w:rsidR="00190C0E" w:rsidRPr="00B4623F">
              <w:rPr>
                <w:sz w:val="28"/>
                <w:szCs w:val="28"/>
                <w:lang w:val="en-US"/>
              </w:rPr>
              <w:t>h</w:t>
            </w:r>
            <w:r w:rsidRPr="00B4623F">
              <w:rPr>
                <w:sz w:val="28"/>
                <w:szCs w:val="28"/>
                <w:lang w:val="en-US"/>
              </w:rPr>
              <w:t xml:space="preserve">igher </w:t>
            </w:r>
            <w:r w:rsidR="00190C0E" w:rsidRPr="00B4623F">
              <w:rPr>
                <w:sz w:val="28"/>
                <w:szCs w:val="28"/>
                <w:lang w:val="en-US"/>
              </w:rPr>
              <w:t>e</w:t>
            </w:r>
            <w:r w:rsidRPr="00B4623F">
              <w:rPr>
                <w:sz w:val="28"/>
                <w:szCs w:val="28"/>
                <w:lang w:val="en-US"/>
              </w:rPr>
              <w:t xml:space="preserve">ducation and </w:t>
            </w:r>
            <w:r w:rsidR="00190C0E" w:rsidRPr="00B4623F">
              <w:rPr>
                <w:sz w:val="28"/>
                <w:szCs w:val="28"/>
                <w:lang w:val="en-US"/>
              </w:rPr>
              <w:t>i</w:t>
            </w:r>
            <w:r w:rsidRPr="00B4623F">
              <w:rPr>
                <w:sz w:val="28"/>
                <w:szCs w:val="28"/>
                <w:lang w:val="en-US"/>
              </w:rPr>
              <w:t xml:space="preserve">ts </w:t>
            </w:r>
            <w:r w:rsidR="00190C0E" w:rsidRPr="00B4623F">
              <w:rPr>
                <w:sz w:val="28"/>
                <w:szCs w:val="28"/>
                <w:lang w:val="en-US"/>
              </w:rPr>
              <w:t>i</w:t>
            </w:r>
            <w:r w:rsidRPr="00B4623F">
              <w:rPr>
                <w:sz w:val="28"/>
                <w:szCs w:val="28"/>
                <w:lang w:val="en-US"/>
              </w:rPr>
              <w:t xml:space="preserve">mpact on </w:t>
            </w:r>
            <w:r w:rsidR="00190C0E" w:rsidRPr="00B4623F">
              <w:rPr>
                <w:sz w:val="28"/>
                <w:szCs w:val="28"/>
                <w:lang w:val="en-US"/>
              </w:rPr>
              <w:t>g</w:t>
            </w:r>
            <w:r w:rsidRPr="00B4623F">
              <w:rPr>
                <w:sz w:val="28"/>
                <w:szCs w:val="28"/>
                <w:lang w:val="en-US"/>
              </w:rPr>
              <w:t xml:space="preserve">raduate </w:t>
            </w:r>
            <w:r w:rsidR="00190C0E" w:rsidRPr="00B4623F">
              <w:rPr>
                <w:sz w:val="28"/>
                <w:szCs w:val="28"/>
                <w:lang w:val="en-US"/>
              </w:rPr>
              <w:t>e</w:t>
            </w:r>
            <w:r w:rsidRPr="00B4623F">
              <w:rPr>
                <w:sz w:val="28"/>
                <w:szCs w:val="28"/>
                <w:lang w:val="en-US"/>
              </w:rPr>
              <w:t>mployment</w:t>
            </w:r>
            <w:r w:rsidRPr="00B4623F">
              <w:rPr>
                <w:sz w:val="28"/>
                <w:szCs w:val="28"/>
                <w:lang w:val="kk-KZ"/>
              </w:rPr>
              <w:t xml:space="preserve"> </w:t>
            </w:r>
          </w:p>
        </w:tc>
        <w:tc>
          <w:tcPr>
            <w:tcW w:w="636" w:type="dxa"/>
          </w:tcPr>
          <w:p w14:paraId="5F632AC5" w14:textId="44C9214E" w:rsidR="00385D33" w:rsidRPr="00244343" w:rsidRDefault="006A6B97" w:rsidP="00385D33">
            <w:pPr>
              <w:pStyle w:val="a4"/>
              <w:spacing w:before="0" w:beforeAutospacing="0" w:after="0" w:afterAutospacing="0"/>
              <w:jc w:val="right"/>
              <w:rPr>
                <w:sz w:val="28"/>
                <w:szCs w:val="28"/>
                <w:lang w:val="en-US"/>
              </w:rPr>
            </w:pPr>
            <w:r>
              <w:rPr>
                <w:sz w:val="28"/>
                <w:szCs w:val="28"/>
                <w:lang w:val="en-US"/>
              </w:rPr>
              <w:t>1</w:t>
            </w:r>
            <w:r w:rsidR="00C04E9D">
              <w:rPr>
                <w:sz w:val="28"/>
                <w:szCs w:val="28"/>
                <w:lang w:val="en-US"/>
              </w:rPr>
              <w:t>1</w:t>
            </w:r>
          </w:p>
        </w:tc>
      </w:tr>
      <w:tr w:rsidR="00385D33" w:rsidRPr="00853725" w14:paraId="170DF9CF" w14:textId="77777777" w:rsidTr="006A6B97">
        <w:tc>
          <w:tcPr>
            <w:tcW w:w="8861" w:type="dxa"/>
          </w:tcPr>
          <w:p w14:paraId="375E8316" w14:textId="2DF109E8" w:rsidR="00385D33" w:rsidRPr="00B4623F" w:rsidRDefault="00385D33" w:rsidP="00385D33">
            <w:pPr>
              <w:pStyle w:val="a4"/>
              <w:spacing w:before="0" w:beforeAutospacing="0" w:after="0" w:afterAutospacing="0"/>
              <w:rPr>
                <w:sz w:val="28"/>
                <w:szCs w:val="28"/>
                <w:lang w:val="en-US"/>
              </w:rPr>
            </w:pPr>
            <w:r w:rsidRPr="00B4623F">
              <w:rPr>
                <w:sz w:val="28"/>
                <w:szCs w:val="28"/>
                <w:lang w:val="en-US"/>
              </w:rPr>
              <w:t xml:space="preserve">1.2 The Triple Helix </w:t>
            </w:r>
            <w:r w:rsidR="00190C0E" w:rsidRPr="00B4623F">
              <w:rPr>
                <w:sz w:val="28"/>
                <w:szCs w:val="28"/>
                <w:lang w:val="en-US"/>
              </w:rPr>
              <w:t>m</w:t>
            </w:r>
            <w:r w:rsidRPr="00B4623F">
              <w:rPr>
                <w:sz w:val="28"/>
                <w:szCs w:val="28"/>
                <w:lang w:val="en-US"/>
              </w:rPr>
              <w:t>odel: University-Industry-Government Interaction and Entrepreneurial Intentions</w:t>
            </w:r>
          </w:p>
        </w:tc>
        <w:tc>
          <w:tcPr>
            <w:tcW w:w="636" w:type="dxa"/>
          </w:tcPr>
          <w:p w14:paraId="540676F2" w14:textId="454358FF" w:rsidR="00385D33" w:rsidRPr="00244343" w:rsidRDefault="00FE1FBC" w:rsidP="00385D33">
            <w:pPr>
              <w:pStyle w:val="a4"/>
              <w:spacing w:before="0" w:beforeAutospacing="0" w:after="0" w:afterAutospacing="0"/>
              <w:jc w:val="right"/>
              <w:rPr>
                <w:sz w:val="28"/>
                <w:szCs w:val="28"/>
                <w:lang w:val="en-US"/>
              </w:rPr>
            </w:pPr>
            <w:r>
              <w:rPr>
                <w:sz w:val="28"/>
                <w:szCs w:val="28"/>
                <w:lang w:val="en-US"/>
              </w:rPr>
              <w:t>20</w:t>
            </w:r>
          </w:p>
        </w:tc>
      </w:tr>
      <w:tr w:rsidR="00385D33" w:rsidRPr="00853725" w14:paraId="57539EAB" w14:textId="77777777" w:rsidTr="006A6B97">
        <w:tc>
          <w:tcPr>
            <w:tcW w:w="8861" w:type="dxa"/>
          </w:tcPr>
          <w:p w14:paraId="0E353027" w14:textId="305B04FE" w:rsidR="00385D33" w:rsidRPr="00B4623F" w:rsidRDefault="00385D33" w:rsidP="00385D33">
            <w:pPr>
              <w:pStyle w:val="a4"/>
              <w:spacing w:before="0" w:beforeAutospacing="0" w:after="0" w:afterAutospacing="0"/>
              <w:rPr>
                <w:sz w:val="28"/>
                <w:szCs w:val="28"/>
                <w:lang w:val="en-US"/>
              </w:rPr>
            </w:pPr>
            <w:r w:rsidRPr="00B4623F">
              <w:rPr>
                <w:sz w:val="28"/>
                <w:szCs w:val="28"/>
                <w:lang w:val="en-US"/>
              </w:rPr>
              <w:t xml:space="preserve">1.3 Strategic </w:t>
            </w:r>
            <w:r w:rsidR="00190C0E" w:rsidRPr="00B4623F">
              <w:rPr>
                <w:sz w:val="28"/>
                <w:szCs w:val="28"/>
                <w:lang w:val="en-US"/>
              </w:rPr>
              <w:t>a</w:t>
            </w:r>
            <w:r w:rsidRPr="00B4623F">
              <w:rPr>
                <w:sz w:val="28"/>
                <w:szCs w:val="28"/>
                <w:lang w:val="en-US"/>
              </w:rPr>
              <w:t xml:space="preserve">pproaches to </w:t>
            </w:r>
            <w:r w:rsidR="00190C0E" w:rsidRPr="00B4623F">
              <w:rPr>
                <w:sz w:val="28"/>
                <w:szCs w:val="28"/>
                <w:lang w:val="en-US"/>
              </w:rPr>
              <w:t>i</w:t>
            </w:r>
            <w:r w:rsidRPr="00B4623F">
              <w:rPr>
                <w:sz w:val="28"/>
                <w:szCs w:val="28"/>
                <w:lang w:val="en-US"/>
              </w:rPr>
              <w:t xml:space="preserve">nnovation </w:t>
            </w:r>
            <w:r w:rsidR="00190C0E" w:rsidRPr="00B4623F">
              <w:rPr>
                <w:sz w:val="28"/>
                <w:szCs w:val="28"/>
                <w:lang w:val="en-US"/>
              </w:rPr>
              <w:t>m</w:t>
            </w:r>
            <w:r w:rsidRPr="00B4623F">
              <w:rPr>
                <w:sz w:val="28"/>
                <w:szCs w:val="28"/>
                <w:lang w:val="en-US"/>
              </w:rPr>
              <w:t xml:space="preserve">anagement in </w:t>
            </w:r>
            <w:r w:rsidR="00190C0E" w:rsidRPr="00B4623F">
              <w:rPr>
                <w:sz w:val="28"/>
                <w:szCs w:val="28"/>
                <w:lang w:val="en-US"/>
              </w:rPr>
              <w:t>u</w:t>
            </w:r>
            <w:r w:rsidRPr="00B4623F">
              <w:rPr>
                <w:sz w:val="28"/>
                <w:szCs w:val="28"/>
                <w:lang w:val="en-US"/>
              </w:rPr>
              <w:t xml:space="preserve">niversities and </w:t>
            </w:r>
            <w:r w:rsidR="00190C0E" w:rsidRPr="00B4623F">
              <w:rPr>
                <w:sz w:val="28"/>
                <w:szCs w:val="28"/>
                <w:lang w:val="en-US"/>
              </w:rPr>
              <w:t>t</w:t>
            </w:r>
            <w:r w:rsidRPr="00B4623F">
              <w:rPr>
                <w:sz w:val="28"/>
                <w:szCs w:val="28"/>
                <w:lang w:val="en-US"/>
              </w:rPr>
              <w:t xml:space="preserve">heir </w:t>
            </w:r>
            <w:r w:rsidR="00190C0E" w:rsidRPr="00B4623F">
              <w:rPr>
                <w:sz w:val="28"/>
                <w:szCs w:val="28"/>
                <w:lang w:val="en-US"/>
              </w:rPr>
              <w:t>r</w:t>
            </w:r>
            <w:r w:rsidRPr="00B4623F">
              <w:rPr>
                <w:sz w:val="28"/>
                <w:szCs w:val="28"/>
                <w:lang w:val="en-US"/>
              </w:rPr>
              <w:t xml:space="preserve">ole in </w:t>
            </w:r>
            <w:r w:rsidR="00190C0E" w:rsidRPr="00B4623F">
              <w:rPr>
                <w:sz w:val="28"/>
                <w:szCs w:val="28"/>
                <w:lang w:val="en-US"/>
              </w:rPr>
              <w:t>f</w:t>
            </w:r>
            <w:r w:rsidRPr="00B4623F">
              <w:rPr>
                <w:sz w:val="28"/>
                <w:szCs w:val="28"/>
                <w:lang w:val="en-US"/>
              </w:rPr>
              <w:t xml:space="preserve">ostering </w:t>
            </w:r>
            <w:r w:rsidR="00190C0E" w:rsidRPr="00B4623F">
              <w:rPr>
                <w:sz w:val="28"/>
                <w:szCs w:val="28"/>
                <w:lang w:val="en-US"/>
              </w:rPr>
              <w:t>s</w:t>
            </w:r>
            <w:r w:rsidRPr="00B4623F">
              <w:rPr>
                <w:sz w:val="28"/>
                <w:szCs w:val="28"/>
                <w:lang w:val="en-US"/>
              </w:rPr>
              <w:t xml:space="preserve">tudent </w:t>
            </w:r>
            <w:r w:rsidR="00190C0E" w:rsidRPr="00B4623F">
              <w:rPr>
                <w:sz w:val="28"/>
                <w:szCs w:val="28"/>
                <w:lang w:val="en-US"/>
              </w:rPr>
              <w:t>e</w:t>
            </w:r>
            <w:r w:rsidRPr="00B4623F">
              <w:rPr>
                <w:sz w:val="28"/>
                <w:szCs w:val="28"/>
                <w:lang w:val="en-US"/>
              </w:rPr>
              <w:t>ntrepreneurship</w:t>
            </w:r>
          </w:p>
        </w:tc>
        <w:tc>
          <w:tcPr>
            <w:tcW w:w="636" w:type="dxa"/>
          </w:tcPr>
          <w:p w14:paraId="6C74C918" w14:textId="6961F122" w:rsidR="00385D33" w:rsidRPr="00244343" w:rsidRDefault="00FE1FBC" w:rsidP="00385D33">
            <w:pPr>
              <w:pStyle w:val="a4"/>
              <w:spacing w:before="0" w:beforeAutospacing="0" w:after="0" w:afterAutospacing="0"/>
              <w:jc w:val="right"/>
              <w:rPr>
                <w:sz w:val="28"/>
                <w:szCs w:val="28"/>
                <w:lang w:val="en-US"/>
              </w:rPr>
            </w:pPr>
            <w:r>
              <w:rPr>
                <w:sz w:val="28"/>
                <w:szCs w:val="28"/>
                <w:lang w:val="en-US"/>
              </w:rPr>
              <w:t>30</w:t>
            </w:r>
          </w:p>
        </w:tc>
      </w:tr>
      <w:tr w:rsidR="00385D33" w:rsidRPr="00853725" w14:paraId="068B96A0" w14:textId="77777777" w:rsidTr="006A6B97">
        <w:tc>
          <w:tcPr>
            <w:tcW w:w="8861" w:type="dxa"/>
          </w:tcPr>
          <w:p w14:paraId="01664CAD" w14:textId="4DD25646" w:rsidR="00385D33" w:rsidRPr="00B4623F" w:rsidRDefault="00385D33" w:rsidP="00385D33">
            <w:pPr>
              <w:pStyle w:val="a4"/>
              <w:spacing w:before="0" w:beforeAutospacing="0" w:after="0" w:afterAutospacing="0"/>
              <w:rPr>
                <w:sz w:val="28"/>
                <w:szCs w:val="28"/>
                <w:lang w:val="en-US"/>
              </w:rPr>
            </w:pPr>
            <w:r w:rsidRPr="00B4623F">
              <w:rPr>
                <w:sz w:val="28"/>
                <w:szCs w:val="28"/>
                <w:lang w:val="en-US"/>
              </w:rPr>
              <w:t xml:space="preserve">1.4 Regional </w:t>
            </w:r>
            <w:r w:rsidR="0074076A" w:rsidRPr="00B4623F">
              <w:rPr>
                <w:sz w:val="28"/>
                <w:szCs w:val="28"/>
                <w:lang w:val="en-US"/>
              </w:rPr>
              <w:t>i</w:t>
            </w:r>
            <w:r w:rsidRPr="00B4623F">
              <w:rPr>
                <w:sz w:val="28"/>
                <w:szCs w:val="28"/>
                <w:lang w:val="en-US"/>
              </w:rPr>
              <w:t xml:space="preserve">nnovation and </w:t>
            </w:r>
            <w:r w:rsidR="0074076A" w:rsidRPr="00B4623F">
              <w:rPr>
                <w:sz w:val="28"/>
                <w:szCs w:val="28"/>
                <w:lang w:val="en-US"/>
              </w:rPr>
              <w:t>u</w:t>
            </w:r>
            <w:r w:rsidRPr="00B4623F">
              <w:rPr>
                <w:sz w:val="28"/>
                <w:szCs w:val="28"/>
                <w:lang w:val="en-US"/>
              </w:rPr>
              <w:t>niversity-</w:t>
            </w:r>
            <w:r w:rsidR="0074076A" w:rsidRPr="00B4623F">
              <w:rPr>
                <w:sz w:val="28"/>
                <w:szCs w:val="28"/>
                <w:lang w:val="en-US"/>
              </w:rPr>
              <w:t>i</w:t>
            </w:r>
            <w:r w:rsidRPr="00B4623F">
              <w:rPr>
                <w:sz w:val="28"/>
                <w:szCs w:val="28"/>
                <w:lang w:val="en-US"/>
              </w:rPr>
              <w:t xml:space="preserve">ndustry </w:t>
            </w:r>
            <w:r w:rsidR="0074076A" w:rsidRPr="00B4623F">
              <w:rPr>
                <w:sz w:val="28"/>
                <w:szCs w:val="28"/>
                <w:lang w:val="en-US"/>
              </w:rPr>
              <w:t>c</w:t>
            </w:r>
            <w:r w:rsidRPr="00B4623F">
              <w:rPr>
                <w:sz w:val="28"/>
                <w:szCs w:val="28"/>
                <w:lang w:val="en-US"/>
              </w:rPr>
              <w:t xml:space="preserve">ollaboration </w:t>
            </w:r>
            <w:r w:rsidR="0074076A" w:rsidRPr="00B4623F">
              <w:rPr>
                <w:sz w:val="28"/>
                <w:szCs w:val="28"/>
                <w:lang w:val="en-US"/>
              </w:rPr>
              <w:t>d</w:t>
            </w:r>
            <w:r w:rsidRPr="00B4623F">
              <w:rPr>
                <w:sz w:val="28"/>
                <w:szCs w:val="28"/>
                <w:lang w:val="en-US"/>
              </w:rPr>
              <w:t>ynamics</w:t>
            </w:r>
          </w:p>
        </w:tc>
        <w:tc>
          <w:tcPr>
            <w:tcW w:w="636" w:type="dxa"/>
          </w:tcPr>
          <w:p w14:paraId="4C98373A" w14:textId="79B3C5CD" w:rsidR="00385D33" w:rsidRPr="00244343" w:rsidRDefault="006A6B97" w:rsidP="00385D33">
            <w:pPr>
              <w:pStyle w:val="a4"/>
              <w:spacing w:before="0" w:beforeAutospacing="0" w:after="0" w:afterAutospacing="0"/>
              <w:jc w:val="right"/>
              <w:rPr>
                <w:sz w:val="28"/>
                <w:szCs w:val="28"/>
                <w:lang w:val="en-US"/>
              </w:rPr>
            </w:pPr>
            <w:r>
              <w:rPr>
                <w:sz w:val="28"/>
                <w:szCs w:val="28"/>
                <w:lang w:val="en-US"/>
              </w:rPr>
              <w:t>4</w:t>
            </w:r>
            <w:r w:rsidR="00FE1FBC">
              <w:rPr>
                <w:sz w:val="28"/>
                <w:szCs w:val="28"/>
                <w:lang w:val="en-US"/>
              </w:rPr>
              <w:t>5</w:t>
            </w:r>
          </w:p>
        </w:tc>
      </w:tr>
      <w:tr w:rsidR="00385D33" w:rsidRPr="000E0481" w14:paraId="26F53D21" w14:textId="77777777" w:rsidTr="006A6B97">
        <w:tc>
          <w:tcPr>
            <w:tcW w:w="8861" w:type="dxa"/>
          </w:tcPr>
          <w:p w14:paraId="3DFAF730" w14:textId="190D2C67" w:rsidR="00385D33" w:rsidRPr="00B4623F" w:rsidRDefault="00385D33" w:rsidP="001B500C">
            <w:pPr>
              <w:pStyle w:val="a4"/>
              <w:numPr>
                <w:ilvl w:val="0"/>
                <w:numId w:val="18"/>
              </w:numPr>
              <w:spacing w:before="0" w:beforeAutospacing="0" w:after="0" w:afterAutospacing="0"/>
              <w:ind w:left="0" w:firstLine="0"/>
              <w:jc w:val="both"/>
              <w:rPr>
                <w:sz w:val="28"/>
                <w:szCs w:val="28"/>
                <w:lang w:val="en-US"/>
              </w:rPr>
            </w:pPr>
            <w:r w:rsidRPr="00B4623F">
              <w:rPr>
                <w:sz w:val="27"/>
                <w:szCs w:val="27"/>
                <w:lang w:val="en-US" w:eastAsia="ru-RU"/>
              </w:rPr>
              <w:t>EMPIRICAL ANALYSIS – THE CASE OF KAZAKHSTAN</w:t>
            </w:r>
          </w:p>
        </w:tc>
        <w:tc>
          <w:tcPr>
            <w:tcW w:w="636" w:type="dxa"/>
          </w:tcPr>
          <w:p w14:paraId="5FE9C9F2" w14:textId="77777777" w:rsidR="00385D33" w:rsidRPr="00244343" w:rsidRDefault="00385D33" w:rsidP="00385D33">
            <w:pPr>
              <w:pStyle w:val="a4"/>
              <w:spacing w:before="0" w:beforeAutospacing="0" w:after="0" w:afterAutospacing="0"/>
              <w:jc w:val="right"/>
              <w:rPr>
                <w:sz w:val="28"/>
                <w:szCs w:val="28"/>
                <w:lang w:val="en-US"/>
              </w:rPr>
            </w:pPr>
          </w:p>
        </w:tc>
      </w:tr>
      <w:tr w:rsidR="00385D33" w:rsidRPr="00853725" w14:paraId="561EF8BE" w14:textId="77777777" w:rsidTr="006A6B97">
        <w:tc>
          <w:tcPr>
            <w:tcW w:w="8861" w:type="dxa"/>
          </w:tcPr>
          <w:p w14:paraId="2936EA44" w14:textId="52B62163" w:rsidR="00385D33" w:rsidRPr="00B4623F" w:rsidRDefault="00385D33" w:rsidP="00385D33">
            <w:pPr>
              <w:pStyle w:val="a4"/>
              <w:spacing w:before="0" w:beforeAutospacing="0" w:after="0" w:afterAutospacing="0"/>
              <w:rPr>
                <w:sz w:val="28"/>
                <w:szCs w:val="28"/>
                <w:lang w:val="en-US"/>
              </w:rPr>
            </w:pPr>
            <w:r w:rsidRPr="00B4623F">
              <w:rPr>
                <w:sz w:val="28"/>
                <w:szCs w:val="28"/>
                <w:lang w:val="en-US"/>
              </w:rPr>
              <w:t xml:space="preserve">2.1 Overview of Kazakhstan’s National Innovation Ecosystem: University-Industry </w:t>
            </w:r>
            <w:r w:rsidR="00190C0E" w:rsidRPr="00B4623F">
              <w:rPr>
                <w:sz w:val="28"/>
                <w:szCs w:val="28"/>
                <w:lang w:val="en-US"/>
              </w:rPr>
              <w:t>Collaboration</w:t>
            </w:r>
          </w:p>
        </w:tc>
        <w:tc>
          <w:tcPr>
            <w:tcW w:w="636" w:type="dxa"/>
          </w:tcPr>
          <w:p w14:paraId="3AC5ECEC" w14:textId="2F31E66F" w:rsidR="00385D33" w:rsidRPr="0021183A" w:rsidRDefault="006A6B97" w:rsidP="00385D33">
            <w:pPr>
              <w:pStyle w:val="a4"/>
              <w:spacing w:before="0" w:beforeAutospacing="0" w:after="0" w:afterAutospacing="0"/>
              <w:jc w:val="right"/>
              <w:rPr>
                <w:sz w:val="28"/>
                <w:szCs w:val="28"/>
                <w:lang w:val="kk-KZ"/>
              </w:rPr>
            </w:pPr>
            <w:r>
              <w:rPr>
                <w:sz w:val="28"/>
                <w:szCs w:val="28"/>
                <w:lang w:val="en-US"/>
              </w:rPr>
              <w:t>7</w:t>
            </w:r>
            <w:r w:rsidR="0021183A">
              <w:rPr>
                <w:sz w:val="28"/>
                <w:szCs w:val="28"/>
                <w:lang w:val="kk-KZ"/>
              </w:rPr>
              <w:t>2</w:t>
            </w:r>
          </w:p>
        </w:tc>
      </w:tr>
      <w:tr w:rsidR="00385D33" w:rsidRPr="00853725" w14:paraId="3CCD739D" w14:textId="77777777" w:rsidTr="006A6B97">
        <w:tc>
          <w:tcPr>
            <w:tcW w:w="8861" w:type="dxa"/>
          </w:tcPr>
          <w:p w14:paraId="7D397726" w14:textId="372BA744" w:rsidR="00385D33" w:rsidRPr="00B4623F" w:rsidRDefault="00385D33" w:rsidP="00385D33">
            <w:pPr>
              <w:pStyle w:val="a4"/>
              <w:spacing w:before="0" w:beforeAutospacing="0" w:after="0" w:afterAutospacing="0"/>
              <w:rPr>
                <w:sz w:val="28"/>
                <w:szCs w:val="28"/>
                <w:lang w:val="en-US"/>
              </w:rPr>
            </w:pPr>
            <w:r w:rsidRPr="00B4623F">
              <w:rPr>
                <w:sz w:val="28"/>
                <w:szCs w:val="28"/>
                <w:lang w:val="en-US"/>
              </w:rPr>
              <w:t xml:space="preserve">2.2 Analysis of </w:t>
            </w:r>
            <w:r w:rsidR="0074076A" w:rsidRPr="00B4623F">
              <w:rPr>
                <w:sz w:val="28"/>
                <w:szCs w:val="28"/>
                <w:lang w:val="en-US"/>
              </w:rPr>
              <w:t>s</w:t>
            </w:r>
            <w:r w:rsidRPr="00B4623F">
              <w:rPr>
                <w:sz w:val="28"/>
                <w:szCs w:val="28"/>
                <w:lang w:val="en-US"/>
              </w:rPr>
              <w:t xml:space="preserve">tudents’ </w:t>
            </w:r>
            <w:r w:rsidR="0074076A" w:rsidRPr="00B4623F">
              <w:rPr>
                <w:sz w:val="28"/>
                <w:szCs w:val="28"/>
                <w:lang w:val="en-US"/>
              </w:rPr>
              <w:t>e</w:t>
            </w:r>
            <w:r w:rsidRPr="00B4623F">
              <w:rPr>
                <w:sz w:val="28"/>
                <w:szCs w:val="28"/>
                <w:lang w:val="en-US"/>
              </w:rPr>
              <w:t xml:space="preserve">ntrepreneurial </w:t>
            </w:r>
            <w:r w:rsidR="0074076A" w:rsidRPr="00B4623F">
              <w:rPr>
                <w:sz w:val="28"/>
                <w:szCs w:val="28"/>
                <w:lang w:val="en-US"/>
              </w:rPr>
              <w:t>intentions</w:t>
            </w:r>
            <w:r w:rsidRPr="00B4623F">
              <w:rPr>
                <w:sz w:val="28"/>
                <w:szCs w:val="28"/>
                <w:lang w:val="en-US"/>
              </w:rPr>
              <w:t xml:space="preserve"> </w:t>
            </w:r>
            <w:r w:rsidR="0074076A" w:rsidRPr="00B4623F">
              <w:rPr>
                <w:sz w:val="28"/>
                <w:szCs w:val="28"/>
                <w:lang w:val="en-US"/>
              </w:rPr>
              <w:t>s</w:t>
            </w:r>
            <w:r w:rsidRPr="00B4623F">
              <w:rPr>
                <w:sz w:val="28"/>
                <w:szCs w:val="28"/>
                <w:lang w:val="en-US"/>
              </w:rPr>
              <w:t>urvey</w:t>
            </w:r>
          </w:p>
        </w:tc>
        <w:tc>
          <w:tcPr>
            <w:tcW w:w="636" w:type="dxa"/>
          </w:tcPr>
          <w:p w14:paraId="209CDCC0" w14:textId="534F7FE4" w:rsidR="00385D33" w:rsidRPr="0021183A" w:rsidRDefault="006A6B97" w:rsidP="00385D33">
            <w:pPr>
              <w:pStyle w:val="a4"/>
              <w:spacing w:before="0" w:beforeAutospacing="0" w:after="0" w:afterAutospacing="0"/>
              <w:jc w:val="right"/>
              <w:rPr>
                <w:sz w:val="28"/>
                <w:szCs w:val="28"/>
                <w:lang w:val="kk-KZ"/>
              </w:rPr>
            </w:pPr>
            <w:r>
              <w:rPr>
                <w:sz w:val="28"/>
                <w:szCs w:val="28"/>
                <w:lang w:val="en-US"/>
              </w:rPr>
              <w:t>10</w:t>
            </w:r>
            <w:r w:rsidR="0021183A">
              <w:rPr>
                <w:sz w:val="28"/>
                <w:szCs w:val="28"/>
                <w:lang w:val="kk-KZ"/>
              </w:rPr>
              <w:t>8</w:t>
            </w:r>
          </w:p>
        </w:tc>
      </w:tr>
      <w:tr w:rsidR="00385D33" w:rsidRPr="00853725" w14:paraId="149FCFE6" w14:textId="77777777" w:rsidTr="006A6B97">
        <w:tc>
          <w:tcPr>
            <w:tcW w:w="8861" w:type="dxa"/>
          </w:tcPr>
          <w:p w14:paraId="30D91AEA" w14:textId="4C5158DB" w:rsidR="00385D33" w:rsidRPr="00B4623F" w:rsidRDefault="00385D33" w:rsidP="00385D33">
            <w:pPr>
              <w:pStyle w:val="a4"/>
              <w:spacing w:before="0" w:beforeAutospacing="0" w:after="0" w:afterAutospacing="0"/>
              <w:rPr>
                <w:sz w:val="28"/>
                <w:szCs w:val="28"/>
                <w:lang w:val="en-US"/>
              </w:rPr>
            </w:pPr>
            <w:r w:rsidRPr="00B4623F">
              <w:rPr>
                <w:sz w:val="28"/>
                <w:szCs w:val="28"/>
                <w:lang w:val="en-US"/>
              </w:rPr>
              <w:t xml:space="preserve">2.3 Analysis of the </w:t>
            </w:r>
            <w:r w:rsidR="0074076A" w:rsidRPr="00B4623F">
              <w:rPr>
                <w:sz w:val="28"/>
                <w:szCs w:val="28"/>
                <w:lang w:val="en-US"/>
              </w:rPr>
              <w:t>g</w:t>
            </w:r>
            <w:r w:rsidRPr="00B4623F">
              <w:rPr>
                <w:sz w:val="28"/>
                <w:szCs w:val="28"/>
                <w:lang w:val="en-US"/>
              </w:rPr>
              <w:t xml:space="preserve">raduate </w:t>
            </w:r>
            <w:r w:rsidR="0074076A" w:rsidRPr="00B4623F">
              <w:rPr>
                <w:sz w:val="28"/>
                <w:szCs w:val="28"/>
                <w:lang w:val="en-US"/>
              </w:rPr>
              <w:t>e</w:t>
            </w:r>
            <w:r w:rsidRPr="00B4623F">
              <w:rPr>
                <w:sz w:val="28"/>
                <w:szCs w:val="28"/>
                <w:lang w:val="en-US"/>
              </w:rPr>
              <w:t xml:space="preserve">mployment </w:t>
            </w:r>
            <w:r w:rsidR="0074076A" w:rsidRPr="00B4623F">
              <w:rPr>
                <w:sz w:val="28"/>
                <w:szCs w:val="28"/>
                <w:lang w:val="en-US"/>
              </w:rPr>
              <w:t>s</w:t>
            </w:r>
            <w:r w:rsidRPr="00B4623F">
              <w:rPr>
                <w:sz w:val="28"/>
                <w:szCs w:val="28"/>
                <w:lang w:val="en-US"/>
              </w:rPr>
              <w:t>urvey</w:t>
            </w:r>
          </w:p>
        </w:tc>
        <w:tc>
          <w:tcPr>
            <w:tcW w:w="636" w:type="dxa"/>
          </w:tcPr>
          <w:p w14:paraId="1D4FACAB" w14:textId="51231B3E" w:rsidR="00385D33" w:rsidRPr="0021183A" w:rsidRDefault="006A6B97" w:rsidP="00385D33">
            <w:pPr>
              <w:pStyle w:val="a4"/>
              <w:spacing w:before="0" w:beforeAutospacing="0" w:after="0" w:afterAutospacing="0"/>
              <w:jc w:val="right"/>
              <w:rPr>
                <w:sz w:val="28"/>
                <w:szCs w:val="28"/>
                <w:lang w:val="kk-KZ"/>
              </w:rPr>
            </w:pPr>
            <w:r>
              <w:rPr>
                <w:sz w:val="28"/>
                <w:szCs w:val="28"/>
                <w:lang w:val="en-US"/>
              </w:rPr>
              <w:t>1</w:t>
            </w:r>
            <w:r w:rsidR="00C71F3D">
              <w:rPr>
                <w:sz w:val="28"/>
                <w:szCs w:val="28"/>
                <w:lang w:val="en-US"/>
              </w:rPr>
              <w:t>2</w:t>
            </w:r>
            <w:r w:rsidR="0021183A">
              <w:rPr>
                <w:sz w:val="28"/>
                <w:szCs w:val="28"/>
                <w:lang w:val="kk-KZ"/>
              </w:rPr>
              <w:t>0</w:t>
            </w:r>
          </w:p>
        </w:tc>
      </w:tr>
      <w:tr w:rsidR="00385D33" w:rsidRPr="00853725" w14:paraId="59C9C05D" w14:textId="77777777" w:rsidTr="006A6B97">
        <w:tc>
          <w:tcPr>
            <w:tcW w:w="8861" w:type="dxa"/>
          </w:tcPr>
          <w:p w14:paraId="4B2A9049" w14:textId="586B211A" w:rsidR="00385D33" w:rsidRPr="00B4623F" w:rsidRDefault="00385D33" w:rsidP="00385D33">
            <w:pPr>
              <w:pStyle w:val="a4"/>
              <w:spacing w:before="0" w:beforeAutospacing="0" w:after="0" w:afterAutospacing="0"/>
              <w:rPr>
                <w:sz w:val="28"/>
                <w:szCs w:val="28"/>
                <w:lang w:val="en-US"/>
              </w:rPr>
            </w:pPr>
            <w:r w:rsidRPr="00B4623F">
              <w:rPr>
                <w:sz w:val="28"/>
                <w:szCs w:val="28"/>
                <w:lang w:val="en-US"/>
              </w:rPr>
              <w:t xml:space="preserve">2.4 Key empirical </w:t>
            </w:r>
            <w:r w:rsidR="0074076A" w:rsidRPr="00B4623F">
              <w:rPr>
                <w:sz w:val="28"/>
                <w:szCs w:val="28"/>
                <w:lang w:val="en-US"/>
              </w:rPr>
              <w:t>f</w:t>
            </w:r>
            <w:r w:rsidRPr="00B4623F">
              <w:rPr>
                <w:sz w:val="28"/>
                <w:szCs w:val="28"/>
                <w:lang w:val="en-US"/>
              </w:rPr>
              <w:t xml:space="preserve">indings and </w:t>
            </w:r>
            <w:r w:rsidR="0074076A" w:rsidRPr="00B4623F">
              <w:rPr>
                <w:sz w:val="28"/>
                <w:szCs w:val="28"/>
                <w:lang w:val="en-US"/>
              </w:rPr>
              <w:t>d</w:t>
            </w:r>
            <w:r w:rsidRPr="00B4623F">
              <w:rPr>
                <w:sz w:val="28"/>
                <w:szCs w:val="28"/>
                <w:lang w:val="en-US"/>
              </w:rPr>
              <w:t>iscussion</w:t>
            </w:r>
          </w:p>
        </w:tc>
        <w:tc>
          <w:tcPr>
            <w:tcW w:w="636" w:type="dxa"/>
          </w:tcPr>
          <w:p w14:paraId="3AEE0F32" w14:textId="7E425C5F" w:rsidR="00385D33" w:rsidRPr="0021183A" w:rsidRDefault="006A6B97" w:rsidP="00385D33">
            <w:pPr>
              <w:pStyle w:val="a4"/>
              <w:spacing w:before="0" w:beforeAutospacing="0" w:after="0" w:afterAutospacing="0"/>
              <w:jc w:val="right"/>
              <w:rPr>
                <w:sz w:val="28"/>
                <w:szCs w:val="28"/>
                <w:lang w:val="kk-KZ"/>
              </w:rPr>
            </w:pPr>
            <w:r>
              <w:rPr>
                <w:sz w:val="28"/>
                <w:szCs w:val="28"/>
                <w:lang w:val="en-US"/>
              </w:rPr>
              <w:t>13</w:t>
            </w:r>
            <w:r w:rsidR="0021183A">
              <w:rPr>
                <w:sz w:val="28"/>
                <w:szCs w:val="28"/>
                <w:lang w:val="kk-KZ"/>
              </w:rPr>
              <w:t>1</w:t>
            </w:r>
          </w:p>
        </w:tc>
      </w:tr>
      <w:tr w:rsidR="00385D33" w:rsidRPr="000E0481" w14:paraId="665A8D59" w14:textId="77777777" w:rsidTr="006A6B97">
        <w:tc>
          <w:tcPr>
            <w:tcW w:w="8861" w:type="dxa"/>
          </w:tcPr>
          <w:p w14:paraId="51F771BC" w14:textId="08DB499F" w:rsidR="00385D33" w:rsidRPr="00B4623F" w:rsidRDefault="00385D33" w:rsidP="001B500C">
            <w:pPr>
              <w:pStyle w:val="a4"/>
              <w:numPr>
                <w:ilvl w:val="0"/>
                <w:numId w:val="18"/>
              </w:numPr>
              <w:spacing w:before="0" w:beforeAutospacing="0" w:after="0" w:afterAutospacing="0"/>
              <w:ind w:left="0" w:firstLine="0"/>
              <w:jc w:val="both"/>
              <w:rPr>
                <w:sz w:val="28"/>
                <w:szCs w:val="28"/>
                <w:lang w:val="en-US"/>
              </w:rPr>
            </w:pPr>
            <w:r w:rsidRPr="00B4623F">
              <w:rPr>
                <w:sz w:val="27"/>
                <w:szCs w:val="27"/>
                <w:lang w:val="en-US" w:eastAsia="ru-RU"/>
              </w:rPr>
              <w:t>STRENGTHENING THE TRIPLE HELIX MODEL IN KAZAKHSTAN</w:t>
            </w:r>
          </w:p>
        </w:tc>
        <w:tc>
          <w:tcPr>
            <w:tcW w:w="636" w:type="dxa"/>
          </w:tcPr>
          <w:p w14:paraId="7576B715" w14:textId="77777777" w:rsidR="00385D33" w:rsidRPr="00244343" w:rsidRDefault="00385D33" w:rsidP="00385D33">
            <w:pPr>
              <w:pStyle w:val="a4"/>
              <w:spacing w:before="0" w:beforeAutospacing="0" w:after="0" w:afterAutospacing="0"/>
              <w:jc w:val="right"/>
              <w:rPr>
                <w:sz w:val="28"/>
                <w:szCs w:val="28"/>
                <w:lang w:val="en-US"/>
              </w:rPr>
            </w:pPr>
          </w:p>
        </w:tc>
      </w:tr>
      <w:tr w:rsidR="00385D33" w:rsidRPr="00853725" w14:paraId="43ECBCEF" w14:textId="77777777" w:rsidTr="006A6B97">
        <w:tc>
          <w:tcPr>
            <w:tcW w:w="8861" w:type="dxa"/>
          </w:tcPr>
          <w:p w14:paraId="3AED7EC0" w14:textId="1AC1D287" w:rsidR="00385D33" w:rsidRPr="00B4623F" w:rsidRDefault="00385D33" w:rsidP="00385D33">
            <w:pPr>
              <w:pStyle w:val="a4"/>
              <w:spacing w:before="0" w:beforeAutospacing="0" w:after="0" w:afterAutospacing="0"/>
              <w:rPr>
                <w:sz w:val="28"/>
                <w:szCs w:val="28"/>
                <w:lang w:val="en-US"/>
              </w:rPr>
            </w:pPr>
            <w:r w:rsidRPr="00B4623F">
              <w:rPr>
                <w:sz w:val="28"/>
                <w:szCs w:val="28"/>
                <w:lang w:val="en-US"/>
              </w:rPr>
              <w:t xml:space="preserve">3.1 University-Industry Collaboration and AI-Driven </w:t>
            </w:r>
            <w:r w:rsidR="0074076A" w:rsidRPr="00B4623F">
              <w:rPr>
                <w:sz w:val="28"/>
                <w:szCs w:val="28"/>
                <w:lang w:val="en-US"/>
              </w:rPr>
              <w:t>c</w:t>
            </w:r>
            <w:r w:rsidRPr="00B4623F">
              <w:rPr>
                <w:sz w:val="28"/>
                <w:szCs w:val="28"/>
                <w:lang w:val="en-US"/>
              </w:rPr>
              <w:t xml:space="preserve">areer </w:t>
            </w:r>
            <w:r w:rsidR="0074076A" w:rsidRPr="00B4623F">
              <w:rPr>
                <w:sz w:val="28"/>
                <w:szCs w:val="28"/>
                <w:lang w:val="en-US"/>
              </w:rPr>
              <w:t>c</w:t>
            </w:r>
            <w:r w:rsidRPr="00B4623F">
              <w:rPr>
                <w:sz w:val="28"/>
                <w:szCs w:val="28"/>
                <w:lang w:val="en-US"/>
              </w:rPr>
              <w:t xml:space="preserve">enters for </w:t>
            </w:r>
            <w:r w:rsidR="0074076A" w:rsidRPr="00B4623F">
              <w:rPr>
                <w:sz w:val="28"/>
                <w:szCs w:val="28"/>
                <w:lang w:val="en-US"/>
              </w:rPr>
              <w:t>g</w:t>
            </w:r>
            <w:r w:rsidRPr="00B4623F">
              <w:rPr>
                <w:sz w:val="28"/>
                <w:szCs w:val="28"/>
                <w:lang w:val="en-US"/>
              </w:rPr>
              <w:t xml:space="preserve">raduate </w:t>
            </w:r>
            <w:r w:rsidR="0074076A" w:rsidRPr="00B4623F">
              <w:rPr>
                <w:sz w:val="28"/>
                <w:szCs w:val="28"/>
                <w:lang w:val="en-US"/>
              </w:rPr>
              <w:t>e</w:t>
            </w:r>
            <w:r w:rsidRPr="00B4623F">
              <w:rPr>
                <w:sz w:val="28"/>
                <w:szCs w:val="28"/>
                <w:lang w:val="en-US"/>
              </w:rPr>
              <w:t>mployability</w:t>
            </w:r>
          </w:p>
        </w:tc>
        <w:tc>
          <w:tcPr>
            <w:tcW w:w="636" w:type="dxa"/>
          </w:tcPr>
          <w:p w14:paraId="44246969" w14:textId="40496544" w:rsidR="00385D33" w:rsidRPr="0021183A" w:rsidRDefault="006A6B97" w:rsidP="00385D33">
            <w:pPr>
              <w:pStyle w:val="a4"/>
              <w:spacing w:before="0" w:beforeAutospacing="0" w:after="0" w:afterAutospacing="0"/>
              <w:jc w:val="right"/>
              <w:rPr>
                <w:sz w:val="28"/>
                <w:szCs w:val="28"/>
                <w:lang w:val="kk-KZ"/>
              </w:rPr>
            </w:pPr>
            <w:r>
              <w:rPr>
                <w:sz w:val="28"/>
                <w:szCs w:val="28"/>
                <w:lang w:val="en-US"/>
              </w:rPr>
              <w:t>14</w:t>
            </w:r>
            <w:r w:rsidR="0021183A">
              <w:rPr>
                <w:sz w:val="28"/>
                <w:szCs w:val="28"/>
                <w:lang w:val="kk-KZ"/>
              </w:rPr>
              <w:t>7</w:t>
            </w:r>
          </w:p>
        </w:tc>
      </w:tr>
      <w:tr w:rsidR="00385D33" w:rsidRPr="00853725" w14:paraId="5F55E7DE" w14:textId="77777777" w:rsidTr="006A6B97">
        <w:tc>
          <w:tcPr>
            <w:tcW w:w="8861" w:type="dxa"/>
          </w:tcPr>
          <w:p w14:paraId="6C18E3DB" w14:textId="4BBD1749" w:rsidR="00385D33" w:rsidRPr="00B4623F" w:rsidRDefault="00385D33" w:rsidP="00385D33">
            <w:pPr>
              <w:pStyle w:val="a4"/>
              <w:spacing w:before="0" w:beforeAutospacing="0" w:after="0" w:afterAutospacing="0"/>
              <w:rPr>
                <w:sz w:val="28"/>
                <w:szCs w:val="28"/>
                <w:lang w:val="en-US"/>
              </w:rPr>
            </w:pPr>
            <w:r w:rsidRPr="00B4623F">
              <w:rPr>
                <w:sz w:val="28"/>
                <w:szCs w:val="28"/>
                <w:lang w:val="en-US"/>
              </w:rPr>
              <w:t xml:space="preserve">3.2 Entrepreneurial </w:t>
            </w:r>
            <w:r w:rsidR="0074076A" w:rsidRPr="00B4623F">
              <w:rPr>
                <w:sz w:val="28"/>
                <w:szCs w:val="28"/>
                <w:lang w:val="en-US"/>
              </w:rPr>
              <w:t>u</w:t>
            </w:r>
            <w:r w:rsidRPr="00B4623F">
              <w:rPr>
                <w:sz w:val="28"/>
                <w:szCs w:val="28"/>
                <w:lang w:val="en-US"/>
              </w:rPr>
              <w:t xml:space="preserve">niversities and the </w:t>
            </w:r>
            <w:r w:rsidR="0074076A" w:rsidRPr="00B4623F">
              <w:rPr>
                <w:sz w:val="28"/>
                <w:szCs w:val="28"/>
                <w:lang w:val="en-US"/>
              </w:rPr>
              <w:t>g</w:t>
            </w:r>
            <w:r w:rsidRPr="00B4623F">
              <w:rPr>
                <w:sz w:val="28"/>
                <w:szCs w:val="28"/>
                <w:lang w:val="en-US"/>
              </w:rPr>
              <w:t>oal-</w:t>
            </w:r>
            <w:r w:rsidR="0074076A" w:rsidRPr="00B4623F">
              <w:rPr>
                <w:sz w:val="28"/>
                <w:szCs w:val="28"/>
                <w:lang w:val="en-US"/>
              </w:rPr>
              <w:t>g</w:t>
            </w:r>
            <w:r w:rsidRPr="00B4623F">
              <w:rPr>
                <w:sz w:val="28"/>
                <w:szCs w:val="28"/>
                <w:lang w:val="en-US"/>
              </w:rPr>
              <w:t xml:space="preserve">radient </w:t>
            </w:r>
            <w:r w:rsidR="0074076A" w:rsidRPr="00B4623F">
              <w:rPr>
                <w:sz w:val="28"/>
                <w:szCs w:val="28"/>
                <w:lang w:val="en-US"/>
              </w:rPr>
              <w:t>e</w:t>
            </w:r>
            <w:r w:rsidRPr="00B4623F">
              <w:rPr>
                <w:sz w:val="28"/>
                <w:szCs w:val="28"/>
                <w:lang w:val="en-US"/>
              </w:rPr>
              <w:t xml:space="preserve">ffect in </w:t>
            </w:r>
            <w:r w:rsidR="0074076A" w:rsidRPr="00B4623F">
              <w:rPr>
                <w:sz w:val="28"/>
                <w:szCs w:val="28"/>
                <w:lang w:val="en-US"/>
              </w:rPr>
              <w:t>s</w:t>
            </w:r>
            <w:r w:rsidRPr="00B4623F">
              <w:rPr>
                <w:sz w:val="28"/>
                <w:szCs w:val="28"/>
                <w:lang w:val="en-US"/>
              </w:rPr>
              <w:t xml:space="preserve">tudent </w:t>
            </w:r>
            <w:r w:rsidR="0074076A" w:rsidRPr="00B4623F">
              <w:rPr>
                <w:sz w:val="28"/>
                <w:szCs w:val="28"/>
                <w:lang w:val="en-US"/>
              </w:rPr>
              <w:t>s</w:t>
            </w:r>
            <w:r w:rsidRPr="00B4623F">
              <w:rPr>
                <w:sz w:val="28"/>
                <w:szCs w:val="28"/>
                <w:lang w:val="en-US"/>
              </w:rPr>
              <w:t xml:space="preserve">tartup </w:t>
            </w:r>
            <w:r w:rsidR="0074076A" w:rsidRPr="00B4623F">
              <w:rPr>
                <w:sz w:val="28"/>
                <w:szCs w:val="28"/>
                <w:lang w:val="en-US"/>
              </w:rPr>
              <w:t>d</w:t>
            </w:r>
            <w:r w:rsidRPr="00B4623F">
              <w:rPr>
                <w:sz w:val="28"/>
                <w:szCs w:val="28"/>
                <w:lang w:val="en-US"/>
              </w:rPr>
              <w:t>evelopment</w:t>
            </w:r>
          </w:p>
        </w:tc>
        <w:tc>
          <w:tcPr>
            <w:tcW w:w="636" w:type="dxa"/>
          </w:tcPr>
          <w:p w14:paraId="11EA29E5" w14:textId="61E5B866" w:rsidR="00385D33" w:rsidRPr="0021183A" w:rsidRDefault="006A6B97" w:rsidP="00385D33">
            <w:pPr>
              <w:pStyle w:val="a4"/>
              <w:spacing w:before="0" w:beforeAutospacing="0" w:after="0" w:afterAutospacing="0"/>
              <w:jc w:val="right"/>
              <w:rPr>
                <w:sz w:val="28"/>
                <w:szCs w:val="28"/>
                <w:lang w:val="kk-KZ"/>
              </w:rPr>
            </w:pPr>
            <w:r>
              <w:rPr>
                <w:sz w:val="28"/>
                <w:szCs w:val="28"/>
                <w:lang w:val="en-US"/>
              </w:rPr>
              <w:t>16</w:t>
            </w:r>
            <w:r w:rsidR="0021183A">
              <w:rPr>
                <w:sz w:val="28"/>
                <w:szCs w:val="28"/>
                <w:lang w:val="kk-KZ"/>
              </w:rPr>
              <w:t>4</w:t>
            </w:r>
          </w:p>
        </w:tc>
      </w:tr>
      <w:tr w:rsidR="00385D33" w:rsidRPr="00853725" w14:paraId="4E2C99C3" w14:textId="77777777" w:rsidTr="006A6B97">
        <w:tc>
          <w:tcPr>
            <w:tcW w:w="8861" w:type="dxa"/>
          </w:tcPr>
          <w:p w14:paraId="2DB7BF3F" w14:textId="7C6FB8AA" w:rsidR="00385D33" w:rsidRPr="00B4623F" w:rsidRDefault="00385D33" w:rsidP="00385D33">
            <w:pPr>
              <w:pStyle w:val="a4"/>
              <w:spacing w:before="0" w:beforeAutospacing="0" w:after="0" w:afterAutospacing="0"/>
              <w:rPr>
                <w:sz w:val="28"/>
                <w:szCs w:val="28"/>
                <w:lang w:val="en-US"/>
              </w:rPr>
            </w:pPr>
            <w:r w:rsidRPr="00B4623F">
              <w:rPr>
                <w:sz w:val="28"/>
                <w:szCs w:val="28"/>
                <w:lang w:val="en-US"/>
              </w:rPr>
              <w:t xml:space="preserve">3.3 Government </w:t>
            </w:r>
            <w:r w:rsidR="0074076A" w:rsidRPr="00B4623F">
              <w:rPr>
                <w:sz w:val="28"/>
                <w:szCs w:val="28"/>
                <w:lang w:val="en-US"/>
              </w:rPr>
              <w:t>p</w:t>
            </w:r>
            <w:r w:rsidRPr="00B4623F">
              <w:rPr>
                <w:sz w:val="28"/>
                <w:szCs w:val="28"/>
                <w:lang w:val="en-US"/>
              </w:rPr>
              <w:t xml:space="preserve">olicies </w:t>
            </w:r>
            <w:r w:rsidR="0074076A" w:rsidRPr="00B4623F">
              <w:rPr>
                <w:sz w:val="28"/>
                <w:szCs w:val="28"/>
                <w:lang w:val="en-US"/>
              </w:rPr>
              <w:t>s</w:t>
            </w:r>
            <w:r w:rsidRPr="00B4623F">
              <w:rPr>
                <w:sz w:val="28"/>
                <w:szCs w:val="28"/>
                <w:lang w:val="en-US"/>
              </w:rPr>
              <w:t xml:space="preserve">upporting </w:t>
            </w:r>
            <w:r w:rsidR="0074076A" w:rsidRPr="00B4623F">
              <w:rPr>
                <w:sz w:val="28"/>
                <w:szCs w:val="28"/>
                <w:lang w:val="en-US"/>
              </w:rPr>
              <w:t>a</w:t>
            </w:r>
            <w:r w:rsidRPr="00B4623F">
              <w:rPr>
                <w:sz w:val="28"/>
                <w:szCs w:val="28"/>
                <w:lang w:val="en-US"/>
              </w:rPr>
              <w:t xml:space="preserve">cademic </w:t>
            </w:r>
            <w:r w:rsidR="0074076A" w:rsidRPr="00B4623F">
              <w:rPr>
                <w:sz w:val="28"/>
                <w:szCs w:val="28"/>
                <w:lang w:val="en-US"/>
              </w:rPr>
              <w:t>i</w:t>
            </w:r>
            <w:r w:rsidRPr="00B4623F">
              <w:rPr>
                <w:sz w:val="28"/>
                <w:szCs w:val="28"/>
                <w:lang w:val="en-US"/>
              </w:rPr>
              <w:t xml:space="preserve">nnovation and </w:t>
            </w:r>
            <w:r w:rsidR="0074076A" w:rsidRPr="00B4623F">
              <w:rPr>
                <w:sz w:val="28"/>
                <w:szCs w:val="28"/>
                <w:lang w:val="en-US"/>
              </w:rPr>
              <w:t>g</w:t>
            </w:r>
            <w:r w:rsidRPr="00B4623F">
              <w:rPr>
                <w:sz w:val="28"/>
                <w:szCs w:val="28"/>
                <w:lang w:val="en-US"/>
              </w:rPr>
              <w:t xml:space="preserve">raduate </w:t>
            </w:r>
            <w:r w:rsidR="0074076A" w:rsidRPr="00B4623F">
              <w:rPr>
                <w:sz w:val="28"/>
                <w:szCs w:val="28"/>
                <w:lang w:val="en-US"/>
              </w:rPr>
              <w:t>c</w:t>
            </w:r>
            <w:r w:rsidRPr="00B4623F">
              <w:rPr>
                <w:sz w:val="28"/>
                <w:szCs w:val="28"/>
                <w:lang w:val="en-US"/>
              </w:rPr>
              <w:t xml:space="preserve">areer </w:t>
            </w:r>
            <w:r w:rsidR="0074076A" w:rsidRPr="00B4623F">
              <w:rPr>
                <w:sz w:val="28"/>
                <w:szCs w:val="28"/>
                <w:lang w:val="en-US"/>
              </w:rPr>
              <w:t>d</w:t>
            </w:r>
            <w:r w:rsidRPr="00B4623F">
              <w:rPr>
                <w:sz w:val="28"/>
                <w:szCs w:val="28"/>
                <w:lang w:val="en-US"/>
              </w:rPr>
              <w:t>evelopment</w:t>
            </w:r>
          </w:p>
        </w:tc>
        <w:tc>
          <w:tcPr>
            <w:tcW w:w="636" w:type="dxa"/>
          </w:tcPr>
          <w:p w14:paraId="7D30A4BB" w14:textId="6388A83E" w:rsidR="00385D33" w:rsidRPr="0021183A" w:rsidRDefault="006A6B97" w:rsidP="00385D33">
            <w:pPr>
              <w:pStyle w:val="a4"/>
              <w:spacing w:before="0" w:beforeAutospacing="0" w:after="0" w:afterAutospacing="0"/>
              <w:jc w:val="right"/>
              <w:rPr>
                <w:sz w:val="28"/>
                <w:szCs w:val="28"/>
                <w:lang w:val="kk-KZ"/>
              </w:rPr>
            </w:pPr>
            <w:r>
              <w:rPr>
                <w:sz w:val="28"/>
                <w:szCs w:val="28"/>
                <w:lang w:val="en-US"/>
              </w:rPr>
              <w:t>18</w:t>
            </w:r>
            <w:r w:rsidR="0021183A">
              <w:rPr>
                <w:sz w:val="28"/>
                <w:szCs w:val="28"/>
                <w:lang w:val="kk-KZ"/>
              </w:rPr>
              <w:t>4</w:t>
            </w:r>
          </w:p>
        </w:tc>
      </w:tr>
      <w:tr w:rsidR="00385D33" w:rsidRPr="00244343" w14:paraId="1E31DF27" w14:textId="77777777" w:rsidTr="006A6B97">
        <w:tc>
          <w:tcPr>
            <w:tcW w:w="8861" w:type="dxa"/>
          </w:tcPr>
          <w:p w14:paraId="7DAD19E5" w14:textId="77777777" w:rsidR="00385D33" w:rsidRPr="00B4623F" w:rsidRDefault="00385D33" w:rsidP="00385D33">
            <w:pPr>
              <w:pStyle w:val="a4"/>
              <w:spacing w:before="0" w:beforeAutospacing="0" w:after="0" w:afterAutospacing="0"/>
              <w:rPr>
                <w:sz w:val="28"/>
                <w:szCs w:val="28"/>
                <w:lang w:val="en-US"/>
              </w:rPr>
            </w:pPr>
            <w:r w:rsidRPr="00B4623F">
              <w:rPr>
                <w:sz w:val="28"/>
                <w:szCs w:val="28"/>
                <w:lang w:val="en-US"/>
              </w:rPr>
              <w:t>CONCLUSIONS</w:t>
            </w:r>
          </w:p>
        </w:tc>
        <w:tc>
          <w:tcPr>
            <w:tcW w:w="636" w:type="dxa"/>
          </w:tcPr>
          <w:p w14:paraId="74C755C2" w14:textId="23272007" w:rsidR="00385D33" w:rsidRPr="0021183A" w:rsidRDefault="006A6B97" w:rsidP="00385D33">
            <w:pPr>
              <w:pStyle w:val="a4"/>
              <w:spacing w:before="0" w:beforeAutospacing="0" w:after="0" w:afterAutospacing="0"/>
              <w:jc w:val="right"/>
              <w:rPr>
                <w:sz w:val="28"/>
                <w:szCs w:val="28"/>
                <w:lang w:val="kk-KZ"/>
              </w:rPr>
            </w:pPr>
            <w:r>
              <w:rPr>
                <w:sz w:val="28"/>
                <w:szCs w:val="28"/>
                <w:lang w:val="en-US"/>
              </w:rPr>
              <w:t>19</w:t>
            </w:r>
            <w:r w:rsidR="0021183A">
              <w:rPr>
                <w:sz w:val="28"/>
                <w:szCs w:val="28"/>
                <w:lang w:val="kk-KZ"/>
              </w:rPr>
              <w:t>5</w:t>
            </w:r>
          </w:p>
        </w:tc>
      </w:tr>
      <w:tr w:rsidR="00385D33" w:rsidRPr="00244343" w14:paraId="5A898054" w14:textId="77777777" w:rsidTr="006A6B97">
        <w:tc>
          <w:tcPr>
            <w:tcW w:w="8861" w:type="dxa"/>
          </w:tcPr>
          <w:p w14:paraId="7A4A8F64" w14:textId="77777777" w:rsidR="00385D33" w:rsidRPr="00B4623F" w:rsidRDefault="00385D33" w:rsidP="00385D33">
            <w:pPr>
              <w:pStyle w:val="a4"/>
              <w:spacing w:before="0" w:beforeAutospacing="0" w:after="0" w:afterAutospacing="0"/>
              <w:rPr>
                <w:sz w:val="28"/>
                <w:szCs w:val="28"/>
                <w:lang w:val="en-US"/>
              </w:rPr>
            </w:pPr>
            <w:r w:rsidRPr="00B4623F">
              <w:rPr>
                <w:sz w:val="28"/>
                <w:szCs w:val="28"/>
                <w:lang w:val="en-US"/>
              </w:rPr>
              <w:t>REFERENCES</w:t>
            </w:r>
          </w:p>
        </w:tc>
        <w:tc>
          <w:tcPr>
            <w:tcW w:w="636" w:type="dxa"/>
          </w:tcPr>
          <w:p w14:paraId="196BE053" w14:textId="5B6D91BB" w:rsidR="00385D33" w:rsidRPr="0021183A" w:rsidRDefault="006A6B97" w:rsidP="00385D33">
            <w:pPr>
              <w:pStyle w:val="a4"/>
              <w:spacing w:before="0" w:beforeAutospacing="0" w:after="0" w:afterAutospacing="0"/>
              <w:jc w:val="right"/>
              <w:rPr>
                <w:sz w:val="28"/>
                <w:szCs w:val="28"/>
                <w:lang w:val="kk-KZ"/>
              </w:rPr>
            </w:pPr>
            <w:r>
              <w:rPr>
                <w:sz w:val="28"/>
                <w:szCs w:val="28"/>
                <w:lang w:val="en-US"/>
              </w:rPr>
              <w:t>20</w:t>
            </w:r>
            <w:r w:rsidR="0021183A">
              <w:rPr>
                <w:sz w:val="28"/>
                <w:szCs w:val="28"/>
                <w:lang w:val="kk-KZ"/>
              </w:rPr>
              <w:t>3</w:t>
            </w:r>
          </w:p>
        </w:tc>
      </w:tr>
      <w:tr w:rsidR="00796F29" w:rsidRPr="00853725" w14:paraId="20A4079B" w14:textId="77777777" w:rsidTr="006A6B97">
        <w:tc>
          <w:tcPr>
            <w:tcW w:w="8861" w:type="dxa"/>
          </w:tcPr>
          <w:p w14:paraId="1809623E" w14:textId="39B96708" w:rsidR="00796F29" w:rsidRPr="00B4623F" w:rsidRDefault="00796F29" w:rsidP="00796F29">
            <w:pPr>
              <w:pStyle w:val="a4"/>
              <w:spacing w:before="0" w:beforeAutospacing="0" w:after="0" w:afterAutospacing="0"/>
              <w:rPr>
                <w:sz w:val="28"/>
                <w:szCs w:val="28"/>
                <w:lang w:val="en-US"/>
              </w:rPr>
            </w:pPr>
            <w:r w:rsidRPr="00B4623F">
              <w:rPr>
                <w:sz w:val="28"/>
                <w:szCs w:val="28"/>
                <w:lang w:val="en-US"/>
              </w:rPr>
              <w:t>APPENDIX</w:t>
            </w:r>
            <w:r>
              <w:rPr>
                <w:sz w:val="28"/>
                <w:szCs w:val="28"/>
                <w:lang w:val="en-US"/>
              </w:rPr>
              <w:t xml:space="preserve"> A – GUESS: Cooperation Agreement </w:t>
            </w:r>
            <w:proofErr w:type="gramStart"/>
            <w:r>
              <w:rPr>
                <w:sz w:val="28"/>
                <w:szCs w:val="28"/>
                <w:lang w:val="en-US"/>
              </w:rPr>
              <w:t>For</w:t>
            </w:r>
            <w:proofErr w:type="gramEnd"/>
            <w:r w:rsidR="003119BB">
              <w:rPr>
                <w:sz w:val="28"/>
                <w:szCs w:val="28"/>
                <w:lang w:val="en-US"/>
              </w:rPr>
              <w:t xml:space="preserve"> </w:t>
            </w:r>
            <w:r>
              <w:rPr>
                <w:sz w:val="28"/>
                <w:szCs w:val="28"/>
                <w:lang w:val="en-US"/>
              </w:rPr>
              <w:t>Country Delegates</w:t>
            </w:r>
          </w:p>
        </w:tc>
        <w:tc>
          <w:tcPr>
            <w:tcW w:w="636" w:type="dxa"/>
          </w:tcPr>
          <w:p w14:paraId="3B0A9933" w14:textId="665C77A9" w:rsidR="00796F29" w:rsidRPr="0021183A" w:rsidRDefault="00796F29" w:rsidP="00796F29">
            <w:pPr>
              <w:pStyle w:val="a4"/>
              <w:spacing w:before="0" w:beforeAutospacing="0" w:after="0" w:afterAutospacing="0"/>
              <w:jc w:val="right"/>
              <w:rPr>
                <w:sz w:val="28"/>
                <w:szCs w:val="28"/>
                <w:lang w:val="kk-KZ"/>
              </w:rPr>
            </w:pPr>
            <w:r>
              <w:rPr>
                <w:sz w:val="28"/>
                <w:szCs w:val="28"/>
                <w:lang w:val="en-US"/>
              </w:rPr>
              <w:t>23</w:t>
            </w:r>
            <w:r w:rsidR="0021183A">
              <w:rPr>
                <w:sz w:val="28"/>
                <w:szCs w:val="28"/>
                <w:lang w:val="kk-KZ"/>
              </w:rPr>
              <w:t>1</w:t>
            </w:r>
          </w:p>
        </w:tc>
      </w:tr>
      <w:tr w:rsidR="00796F29" w:rsidRPr="00853725" w14:paraId="0247CCD4" w14:textId="77777777" w:rsidTr="006A6B97">
        <w:tc>
          <w:tcPr>
            <w:tcW w:w="8861" w:type="dxa"/>
          </w:tcPr>
          <w:p w14:paraId="680D0ED9" w14:textId="6D6A9F83" w:rsidR="00796F29" w:rsidRPr="00B4623F" w:rsidRDefault="00796F29" w:rsidP="00796F29">
            <w:pPr>
              <w:pStyle w:val="a4"/>
              <w:spacing w:before="0" w:beforeAutospacing="0" w:after="0" w:afterAutospacing="0"/>
              <w:rPr>
                <w:sz w:val="28"/>
                <w:szCs w:val="28"/>
                <w:lang w:val="en-US"/>
              </w:rPr>
            </w:pPr>
            <w:r w:rsidRPr="00B4623F">
              <w:rPr>
                <w:sz w:val="28"/>
                <w:szCs w:val="28"/>
                <w:lang w:val="en-US"/>
              </w:rPr>
              <w:t xml:space="preserve">APPENDIX </w:t>
            </w:r>
            <w:r>
              <w:rPr>
                <w:sz w:val="28"/>
                <w:szCs w:val="28"/>
                <w:lang w:val="en-US"/>
              </w:rPr>
              <w:t>B</w:t>
            </w:r>
            <w:r w:rsidRPr="00B4623F">
              <w:rPr>
                <w:sz w:val="28"/>
                <w:szCs w:val="28"/>
                <w:lang w:val="en-US"/>
              </w:rPr>
              <w:t xml:space="preserve"> </w:t>
            </w:r>
            <w:r>
              <w:rPr>
                <w:sz w:val="28"/>
                <w:szCs w:val="28"/>
                <w:lang w:val="en-US"/>
              </w:rPr>
              <w:t xml:space="preserve">– </w:t>
            </w:r>
            <w:r w:rsidRPr="00B4623F">
              <w:rPr>
                <w:sz w:val="28"/>
                <w:szCs w:val="28"/>
                <w:lang w:val="en-US"/>
              </w:rPr>
              <w:t>Secondary data on Global Innovation Index pillars rank</w:t>
            </w:r>
          </w:p>
        </w:tc>
        <w:tc>
          <w:tcPr>
            <w:tcW w:w="636" w:type="dxa"/>
          </w:tcPr>
          <w:p w14:paraId="57FF9018" w14:textId="10415E83" w:rsidR="00796F29" w:rsidRPr="0021183A" w:rsidRDefault="00796F29" w:rsidP="00796F29">
            <w:pPr>
              <w:pStyle w:val="a4"/>
              <w:spacing w:before="0" w:beforeAutospacing="0" w:after="0" w:afterAutospacing="0"/>
              <w:jc w:val="right"/>
              <w:rPr>
                <w:sz w:val="28"/>
                <w:szCs w:val="28"/>
                <w:lang w:val="kk-KZ"/>
              </w:rPr>
            </w:pPr>
            <w:r>
              <w:rPr>
                <w:sz w:val="28"/>
                <w:szCs w:val="28"/>
                <w:lang w:val="en-US"/>
              </w:rPr>
              <w:t>23</w:t>
            </w:r>
            <w:r w:rsidR="0021183A">
              <w:rPr>
                <w:sz w:val="28"/>
                <w:szCs w:val="28"/>
                <w:lang w:val="kk-KZ"/>
              </w:rPr>
              <w:t>2</w:t>
            </w:r>
          </w:p>
        </w:tc>
      </w:tr>
      <w:tr w:rsidR="00796F29" w:rsidRPr="00244343" w14:paraId="4547C32D" w14:textId="77777777" w:rsidTr="006A6B97">
        <w:tc>
          <w:tcPr>
            <w:tcW w:w="8861" w:type="dxa"/>
          </w:tcPr>
          <w:p w14:paraId="178987E8" w14:textId="317FD280" w:rsidR="00796F29" w:rsidRPr="00B4623F" w:rsidRDefault="00796F29" w:rsidP="00796F29">
            <w:pPr>
              <w:pStyle w:val="a4"/>
              <w:spacing w:before="0" w:beforeAutospacing="0" w:after="0" w:afterAutospacing="0"/>
              <w:rPr>
                <w:sz w:val="28"/>
                <w:szCs w:val="28"/>
                <w:lang w:val="en-US"/>
              </w:rPr>
            </w:pPr>
            <w:r w:rsidRPr="00B4623F">
              <w:rPr>
                <w:sz w:val="28"/>
                <w:szCs w:val="28"/>
                <w:lang w:val="en-US"/>
              </w:rPr>
              <w:t xml:space="preserve">APPENDIX </w:t>
            </w:r>
            <w:r>
              <w:rPr>
                <w:sz w:val="28"/>
                <w:szCs w:val="28"/>
                <w:lang w:val="en-US"/>
              </w:rPr>
              <w:t>C</w:t>
            </w:r>
            <w:r w:rsidRPr="00B4623F">
              <w:rPr>
                <w:sz w:val="28"/>
                <w:szCs w:val="28"/>
                <w:lang w:val="en-US"/>
              </w:rPr>
              <w:t xml:space="preserve"> – Survey</w:t>
            </w:r>
          </w:p>
        </w:tc>
        <w:tc>
          <w:tcPr>
            <w:tcW w:w="636" w:type="dxa"/>
          </w:tcPr>
          <w:p w14:paraId="122F8D2D" w14:textId="6B9D9BE7" w:rsidR="00796F29" w:rsidRPr="0021183A" w:rsidRDefault="00796F29" w:rsidP="00796F29">
            <w:pPr>
              <w:pStyle w:val="a4"/>
              <w:spacing w:before="0" w:beforeAutospacing="0" w:after="0" w:afterAutospacing="0"/>
              <w:jc w:val="right"/>
              <w:rPr>
                <w:sz w:val="28"/>
                <w:szCs w:val="28"/>
                <w:lang w:val="kk-KZ"/>
              </w:rPr>
            </w:pPr>
            <w:r>
              <w:rPr>
                <w:sz w:val="28"/>
                <w:szCs w:val="28"/>
                <w:lang w:val="en-US"/>
              </w:rPr>
              <w:t>23</w:t>
            </w:r>
            <w:r w:rsidR="0021183A">
              <w:rPr>
                <w:sz w:val="28"/>
                <w:szCs w:val="28"/>
                <w:lang w:val="kk-KZ"/>
              </w:rPr>
              <w:t>5</w:t>
            </w:r>
          </w:p>
        </w:tc>
      </w:tr>
      <w:tr w:rsidR="00796F29" w:rsidRPr="00244343" w14:paraId="0DD33BC6" w14:textId="77777777" w:rsidTr="006A6B97">
        <w:tc>
          <w:tcPr>
            <w:tcW w:w="8861" w:type="dxa"/>
          </w:tcPr>
          <w:p w14:paraId="6D17684A" w14:textId="1F1393A3" w:rsidR="00796F29" w:rsidRPr="00B4623F" w:rsidRDefault="00796F29" w:rsidP="00796F29">
            <w:pPr>
              <w:pStyle w:val="a4"/>
              <w:spacing w:before="0" w:beforeAutospacing="0" w:after="0" w:afterAutospacing="0"/>
              <w:rPr>
                <w:sz w:val="28"/>
                <w:szCs w:val="28"/>
                <w:lang w:val="en-US"/>
              </w:rPr>
            </w:pPr>
            <w:r w:rsidRPr="00B4623F">
              <w:rPr>
                <w:sz w:val="28"/>
                <w:szCs w:val="28"/>
                <w:lang w:val="en-US"/>
              </w:rPr>
              <w:t xml:space="preserve">APPENDIX </w:t>
            </w:r>
            <w:r>
              <w:rPr>
                <w:sz w:val="28"/>
                <w:szCs w:val="28"/>
                <w:lang w:val="en-US"/>
              </w:rPr>
              <w:t>D</w:t>
            </w:r>
            <w:r w:rsidRPr="00B4623F">
              <w:rPr>
                <w:sz w:val="28"/>
                <w:szCs w:val="28"/>
                <w:lang w:val="en-US"/>
              </w:rPr>
              <w:t xml:space="preserve"> – </w:t>
            </w:r>
            <w:proofErr w:type="spellStart"/>
            <w:r w:rsidRPr="00B4623F">
              <w:rPr>
                <w:sz w:val="28"/>
                <w:szCs w:val="28"/>
                <w:lang w:val="en-US"/>
              </w:rPr>
              <w:t>UniChecker</w:t>
            </w:r>
            <w:proofErr w:type="spellEnd"/>
            <w:r w:rsidRPr="00B4623F">
              <w:rPr>
                <w:sz w:val="28"/>
                <w:szCs w:val="28"/>
                <w:lang w:val="en-US"/>
              </w:rPr>
              <w:t xml:space="preserve"> program </w:t>
            </w:r>
          </w:p>
        </w:tc>
        <w:tc>
          <w:tcPr>
            <w:tcW w:w="636" w:type="dxa"/>
          </w:tcPr>
          <w:p w14:paraId="3608E202" w14:textId="70679C7C" w:rsidR="00796F29" w:rsidRPr="0021183A" w:rsidRDefault="00796F29" w:rsidP="00796F29">
            <w:pPr>
              <w:pStyle w:val="a4"/>
              <w:spacing w:before="0" w:beforeAutospacing="0" w:after="0" w:afterAutospacing="0"/>
              <w:jc w:val="right"/>
              <w:rPr>
                <w:sz w:val="28"/>
                <w:szCs w:val="28"/>
                <w:lang w:val="kk-KZ"/>
              </w:rPr>
            </w:pPr>
            <w:r>
              <w:rPr>
                <w:sz w:val="28"/>
                <w:szCs w:val="28"/>
                <w:lang w:val="en-US"/>
              </w:rPr>
              <w:t>2</w:t>
            </w:r>
            <w:r w:rsidR="0021183A">
              <w:rPr>
                <w:sz w:val="28"/>
                <w:szCs w:val="28"/>
                <w:lang w:val="kk-KZ"/>
              </w:rPr>
              <w:t>39</w:t>
            </w:r>
          </w:p>
        </w:tc>
      </w:tr>
      <w:tr w:rsidR="00796F29" w:rsidRPr="00244343" w14:paraId="21361040" w14:textId="77777777" w:rsidTr="006A6B97">
        <w:tc>
          <w:tcPr>
            <w:tcW w:w="8861" w:type="dxa"/>
          </w:tcPr>
          <w:p w14:paraId="04570A78" w14:textId="00C808CC" w:rsidR="00796F29" w:rsidRPr="00B4623F" w:rsidRDefault="00796F29" w:rsidP="00796F29">
            <w:pPr>
              <w:pStyle w:val="a4"/>
              <w:spacing w:before="0" w:beforeAutospacing="0" w:after="0" w:afterAutospacing="0"/>
              <w:rPr>
                <w:sz w:val="28"/>
                <w:szCs w:val="28"/>
                <w:lang w:val="en-US"/>
              </w:rPr>
            </w:pPr>
            <w:r w:rsidRPr="00B4623F">
              <w:rPr>
                <w:sz w:val="28"/>
                <w:szCs w:val="28"/>
                <w:lang w:val="en-US"/>
              </w:rPr>
              <w:t xml:space="preserve">APPENDIX </w:t>
            </w:r>
            <w:r>
              <w:rPr>
                <w:sz w:val="28"/>
                <w:szCs w:val="28"/>
                <w:lang w:val="en-US"/>
              </w:rPr>
              <w:t>E</w:t>
            </w:r>
            <w:r w:rsidRPr="00B4623F">
              <w:rPr>
                <w:sz w:val="28"/>
                <w:szCs w:val="28"/>
                <w:lang w:val="en-US"/>
              </w:rPr>
              <w:t xml:space="preserve"> –</w:t>
            </w:r>
            <w:r w:rsidRPr="00B4623F">
              <w:rPr>
                <w:sz w:val="28"/>
                <w:szCs w:val="28"/>
                <w:lang w:val="kk-KZ"/>
              </w:rPr>
              <w:t xml:space="preserve"> </w:t>
            </w:r>
            <w:r w:rsidRPr="00B4623F">
              <w:rPr>
                <w:sz w:val="28"/>
                <w:szCs w:val="28"/>
                <w:lang w:val="en-US"/>
              </w:rPr>
              <w:t>Implementation act</w:t>
            </w:r>
          </w:p>
        </w:tc>
        <w:tc>
          <w:tcPr>
            <w:tcW w:w="636" w:type="dxa"/>
          </w:tcPr>
          <w:p w14:paraId="1A393F17" w14:textId="46C901BA" w:rsidR="00796F29" w:rsidRPr="0021183A" w:rsidRDefault="00796F29" w:rsidP="00796F29">
            <w:pPr>
              <w:pStyle w:val="a4"/>
              <w:spacing w:before="0" w:beforeAutospacing="0" w:after="0" w:afterAutospacing="0"/>
              <w:jc w:val="right"/>
              <w:rPr>
                <w:sz w:val="28"/>
                <w:szCs w:val="28"/>
                <w:lang w:val="kk-KZ"/>
              </w:rPr>
            </w:pPr>
            <w:r>
              <w:rPr>
                <w:sz w:val="28"/>
                <w:szCs w:val="28"/>
                <w:lang w:val="en-US"/>
              </w:rPr>
              <w:t>24</w:t>
            </w:r>
            <w:r w:rsidR="0021183A">
              <w:rPr>
                <w:sz w:val="28"/>
                <w:szCs w:val="28"/>
                <w:lang w:val="kk-KZ"/>
              </w:rPr>
              <w:t>2</w:t>
            </w:r>
          </w:p>
        </w:tc>
      </w:tr>
    </w:tbl>
    <w:p w14:paraId="7BA8D49F" w14:textId="77777777" w:rsidR="00385D33" w:rsidRPr="00244343" w:rsidRDefault="00385D33" w:rsidP="00385D33">
      <w:pPr>
        <w:spacing w:after="0" w:line="240" w:lineRule="auto"/>
        <w:rPr>
          <w:rFonts w:ascii="Times New Roman" w:hAnsi="Times New Roman" w:cs="Times New Roman"/>
          <w:b/>
          <w:bCs/>
          <w:sz w:val="28"/>
          <w:szCs w:val="28"/>
          <w:lang w:val="kk-KZ"/>
        </w:rPr>
      </w:pPr>
    </w:p>
    <w:p w14:paraId="4E02CFD5" w14:textId="77777777" w:rsidR="00600C79" w:rsidRPr="00FE1185" w:rsidRDefault="00600C79" w:rsidP="00600C79">
      <w:pPr>
        <w:spacing w:after="0" w:line="240" w:lineRule="auto"/>
        <w:rPr>
          <w:rFonts w:ascii="Times New Roman" w:eastAsia="Times New Roman" w:hAnsi="Times New Roman" w:cs="Times New Roman"/>
          <w:sz w:val="24"/>
          <w:szCs w:val="24"/>
          <w:lang w:val="en-US" w:eastAsia="ru-RU"/>
        </w:rPr>
      </w:pPr>
    </w:p>
    <w:p w14:paraId="3126D5AA" w14:textId="321A3840" w:rsidR="00600C79" w:rsidRDefault="00600C79" w:rsidP="00600C79">
      <w:pPr>
        <w:spacing w:after="0" w:line="240" w:lineRule="auto"/>
        <w:ind w:firstLine="720"/>
        <w:contextualSpacing/>
        <w:jc w:val="both"/>
        <w:rPr>
          <w:rFonts w:ascii="Times New Roman" w:hAnsi="Times New Roman" w:cs="Times New Roman"/>
          <w:b/>
          <w:bCs/>
          <w:sz w:val="28"/>
          <w:szCs w:val="28"/>
          <w:lang w:val="en-US"/>
        </w:rPr>
      </w:pPr>
    </w:p>
    <w:p w14:paraId="32ECB04A" w14:textId="3D33D3D6" w:rsidR="00385D33" w:rsidRDefault="00385D33" w:rsidP="00600C79">
      <w:pPr>
        <w:spacing w:after="0" w:line="240" w:lineRule="auto"/>
        <w:ind w:firstLine="720"/>
        <w:contextualSpacing/>
        <w:jc w:val="both"/>
        <w:rPr>
          <w:rFonts w:ascii="Times New Roman" w:hAnsi="Times New Roman" w:cs="Times New Roman"/>
          <w:b/>
          <w:bCs/>
          <w:sz w:val="28"/>
          <w:szCs w:val="28"/>
          <w:lang w:val="en-US"/>
        </w:rPr>
      </w:pPr>
    </w:p>
    <w:p w14:paraId="08528120" w14:textId="60306DEF" w:rsidR="00385D33" w:rsidRDefault="00385D33" w:rsidP="00600C79">
      <w:pPr>
        <w:spacing w:after="0" w:line="240" w:lineRule="auto"/>
        <w:ind w:firstLine="720"/>
        <w:contextualSpacing/>
        <w:jc w:val="both"/>
        <w:rPr>
          <w:rFonts w:ascii="Times New Roman" w:hAnsi="Times New Roman" w:cs="Times New Roman"/>
          <w:b/>
          <w:bCs/>
          <w:sz w:val="28"/>
          <w:szCs w:val="28"/>
          <w:lang w:val="en-US"/>
        </w:rPr>
      </w:pPr>
    </w:p>
    <w:p w14:paraId="3CF64457" w14:textId="4EA88144" w:rsidR="00385D33" w:rsidRDefault="00385D33" w:rsidP="00600C79">
      <w:pPr>
        <w:spacing w:after="0" w:line="240" w:lineRule="auto"/>
        <w:ind w:firstLine="720"/>
        <w:contextualSpacing/>
        <w:jc w:val="both"/>
        <w:rPr>
          <w:rFonts w:ascii="Times New Roman" w:hAnsi="Times New Roman" w:cs="Times New Roman"/>
          <w:b/>
          <w:bCs/>
          <w:sz w:val="28"/>
          <w:szCs w:val="28"/>
          <w:lang w:val="en-US"/>
        </w:rPr>
      </w:pPr>
    </w:p>
    <w:p w14:paraId="3173E85E" w14:textId="46A62FBF" w:rsidR="00385D33" w:rsidRDefault="00385D33" w:rsidP="00600C79">
      <w:pPr>
        <w:spacing w:after="0" w:line="240" w:lineRule="auto"/>
        <w:ind w:firstLine="720"/>
        <w:contextualSpacing/>
        <w:jc w:val="both"/>
        <w:rPr>
          <w:rFonts w:ascii="Times New Roman" w:hAnsi="Times New Roman" w:cs="Times New Roman"/>
          <w:b/>
          <w:bCs/>
          <w:sz w:val="28"/>
          <w:szCs w:val="28"/>
          <w:lang w:val="en-US"/>
        </w:rPr>
      </w:pPr>
    </w:p>
    <w:p w14:paraId="708284CE" w14:textId="4891086E" w:rsidR="00385D33" w:rsidRDefault="00385D33" w:rsidP="00600C79">
      <w:pPr>
        <w:spacing w:after="0" w:line="240" w:lineRule="auto"/>
        <w:ind w:firstLine="720"/>
        <w:contextualSpacing/>
        <w:jc w:val="both"/>
        <w:rPr>
          <w:rFonts w:ascii="Times New Roman" w:hAnsi="Times New Roman" w:cs="Times New Roman"/>
          <w:b/>
          <w:bCs/>
          <w:sz w:val="28"/>
          <w:szCs w:val="28"/>
          <w:lang w:val="en-US"/>
        </w:rPr>
      </w:pPr>
    </w:p>
    <w:p w14:paraId="7EFD2F43" w14:textId="520B0C3C" w:rsidR="003E6682" w:rsidRDefault="003E6682" w:rsidP="00600C79">
      <w:pPr>
        <w:spacing w:after="0" w:line="240" w:lineRule="auto"/>
        <w:ind w:firstLine="720"/>
        <w:contextualSpacing/>
        <w:jc w:val="both"/>
        <w:rPr>
          <w:rFonts w:ascii="Times New Roman" w:hAnsi="Times New Roman" w:cs="Times New Roman"/>
          <w:b/>
          <w:bCs/>
          <w:sz w:val="28"/>
          <w:szCs w:val="28"/>
          <w:lang w:val="en-US"/>
        </w:rPr>
      </w:pPr>
    </w:p>
    <w:p w14:paraId="0CE12D0C" w14:textId="77777777" w:rsidR="003E6682" w:rsidRDefault="003E6682" w:rsidP="00600C79">
      <w:pPr>
        <w:spacing w:after="0" w:line="240" w:lineRule="auto"/>
        <w:ind w:firstLine="720"/>
        <w:contextualSpacing/>
        <w:jc w:val="both"/>
        <w:rPr>
          <w:rFonts w:ascii="Times New Roman" w:hAnsi="Times New Roman" w:cs="Times New Roman"/>
          <w:b/>
          <w:bCs/>
          <w:sz w:val="28"/>
          <w:szCs w:val="28"/>
          <w:lang w:val="en-US"/>
        </w:rPr>
      </w:pPr>
    </w:p>
    <w:p w14:paraId="69780C33" w14:textId="77777777" w:rsidR="009F0914" w:rsidRDefault="009F0914" w:rsidP="00996F9A">
      <w:pPr>
        <w:spacing w:after="0" w:line="240" w:lineRule="auto"/>
        <w:contextualSpacing/>
        <w:jc w:val="both"/>
        <w:rPr>
          <w:rFonts w:ascii="Times New Roman" w:hAnsi="Times New Roman" w:cs="Times New Roman"/>
          <w:b/>
          <w:bCs/>
          <w:sz w:val="28"/>
          <w:szCs w:val="28"/>
          <w:lang w:val="en-US"/>
        </w:rPr>
      </w:pPr>
    </w:p>
    <w:p w14:paraId="6B439435" w14:textId="77777777" w:rsidR="00600C79" w:rsidRPr="00244343" w:rsidRDefault="00600C79" w:rsidP="00600C79">
      <w:pPr>
        <w:spacing w:after="0" w:line="240" w:lineRule="auto"/>
        <w:jc w:val="center"/>
        <w:rPr>
          <w:rFonts w:ascii="Times New Roman" w:hAnsi="Times New Roman" w:cs="Times New Roman"/>
          <w:b/>
          <w:bCs/>
          <w:sz w:val="28"/>
          <w:szCs w:val="28"/>
          <w:lang w:val="en-US"/>
        </w:rPr>
      </w:pPr>
      <w:r w:rsidRPr="00244343">
        <w:rPr>
          <w:rFonts w:ascii="Times New Roman" w:hAnsi="Times New Roman" w:cs="Times New Roman"/>
          <w:b/>
          <w:bCs/>
          <w:sz w:val="28"/>
          <w:szCs w:val="28"/>
          <w:lang w:val="en-US"/>
        </w:rPr>
        <w:lastRenderedPageBreak/>
        <w:t>REGULATORY REFERENCES</w:t>
      </w:r>
    </w:p>
    <w:p w14:paraId="1A99B0D0" w14:textId="77777777" w:rsidR="00600C79" w:rsidRPr="00244343" w:rsidRDefault="00600C79" w:rsidP="00600C79">
      <w:pPr>
        <w:spacing w:after="0" w:line="240" w:lineRule="auto"/>
        <w:jc w:val="center"/>
        <w:rPr>
          <w:rFonts w:ascii="Times New Roman" w:hAnsi="Times New Roman" w:cs="Times New Roman"/>
          <w:b/>
          <w:bCs/>
          <w:sz w:val="28"/>
          <w:szCs w:val="28"/>
          <w:lang w:val="en-US"/>
        </w:rPr>
      </w:pPr>
    </w:p>
    <w:p w14:paraId="1520E346" w14:textId="77777777" w:rsidR="00600C79" w:rsidRPr="00244343" w:rsidRDefault="00600C79" w:rsidP="00600C79">
      <w:pPr>
        <w:pStyle w:val="a4"/>
        <w:spacing w:before="0" w:beforeAutospacing="0" w:after="0" w:afterAutospacing="0"/>
        <w:ind w:firstLine="709"/>
        <w:jc w:val="both"/>
        <w:rPr>
          <w:sz w:val="28"/>
          <w:szCs w:val="28"/>
          <w:lang w:val="en-US"/>
        </w:rPr>
      </w:pPr>
      <w:r w:rsidRPr="00244343">
        <w:rPr>
          <w:sz w:val="28"/>
          <w:szCs w:val="28"/>
          <w:lang w:val="en-US"/>
        </w:rPr>
        <w:t>World Intellectual Property Organization. Global Innovation Index 2023: Innovation in the Face of Uncertainty. – 16th ed. – Geneva, Switzerland: WIPO, 2023. – 250 p.</w:t>
      </w:r>
    </w:p>
    <w:p w14:paraId="29BBA163" w14:textId="77777777" w:rsidR="00600C79" w:rsidRPr="00244343" w:rsidRDefault="00600C79" w:rsidP="00600C79">
      <w:pPr>
        <w:pStyle w:val="a4"/>
        <w:spacing w:before="0" w:beforeAutospacing="0" w:after="0" w:afterAutospacing="0"/>
        <w:ind w:firstLine="709"/>
        <w:jc w:val="both"/>
        <w:rPr>
          <w:sz w:val="28"/>
          <w:szCs w:val="28"/>
          <w:lang w:val="en-US"/>
        </w:rPr>
      </w:pPr>
      <w:r w:rsidRPr="00244343">
        <w:rPr>
          <w:sz w:val="28"/>
          <w:szCs w:val="28"/>
          <w:lang w:val="en-US"/>
        </w:rPr>
        <w:t>The Code of the Republic of Kazakhstan dated October 29, 2015 № 375-V LRK, Entrepreneur Code of the Republic of Kazakhstan.</w:t>
      </w:r>
    </w:p>
    <w:p w14:paraId="1E2B2C35" w14:textId="77777777" w:rsidR="00600C79" w:rsidRPr="00244343" w:rsidRDefault="00600C79" w:rsidP="00600C79">
      <w:pPr>
        <w:pStyle w:val="a4"/>
        <w:spacing w:before="0" w:beforeAutospacing="0" w:after="0" w:afterAutospacing="0"/>
        <w:ind w:firstLine="709"/>
        <w:jc w:val="both"/>
        <w:rPr>
          <w:sz w:val="28"/>
          <w:szCs w:val="28"/>
          <w:lang w:val="en-US"/>
        </w:rPr>
      </w:pPr>
      <w:r w:rsidRPr="00244343">
        <w:rPr>
          <w:sz w:val="28"/>
          <w:szCs w:val="28"/>
          <w:lang w:val="en-US"/>
        </w:rPr>
        <w:t>Resolution of the Government of the Republic of Kazakhstan dated March 28, 2023 No. 248 on approval of the Concept for the Development of Higher Education and Science in the Republic of Kazakhstan for 2023–2029.</w:t>
      </w:r>
    </w:p>
    <w:p w14:paraId="794BAD8A" w14:textId="77777777" w:rsidR="00600C79" w:rsidRPr="00244343" w:rsidRDefault="00600C79" w:rsidP="00600C79">
      <w:pPr>
        <w:pStyle w:val="a4"/>
        <w:spacing w:before="0" w:beforeAutospacing="0" w:after="0" w:afterAutospacing="0"/>
        <w:ind w:firstLine="709"/>
        <w:jc w:val="both"/>
        <w:rPr>
          <w:sz w:val="28"/>
          <w:szCs w:val="28"/>
          <w:lang w:val="kk-KZ"/>
        </w:rPr>
      </w:pPr>
      <w:r w:rsidRPr="00244343">
        <w:rPr>
          <w:sz w:val="28"/>
          <w:szCs w:val="28"/>
          <w:lang w:val="en-US"/>
        </w:rPr>
        <w:t>Resolution of the Government of the Republic of Kazakhstan № 846 dated December 20, 2018 on approval of the Concept of development of the manufacturing industry of the Republic of Kazakhstan for 2023-2029.</w:t>
      </w:r>
    </w:p>
    <w:p w14:paraId="674D817D" w14:textId="77777777" w:rsidR="00600C79" w:rsidRPr="00244343" w:rsidRDefault="00600C79" w:rsidP="00600C79">
      <w:pPr>
        <w:pStyle w:val="a4"/>
        <w:spacing w:before="0" w:beforeAutospacing="0" w:after="0" w:afterAutospacing="0"/>
        <w:ind w:firstLine="709"/>
        <w:jc w:val="both"/>
        <w:rPr>
          <w:sz w:val="28"/>
          <w:szCs w:val="28"/>
          <w:lang w:val="en-US"/>
        </w:rPr>
      </w:pPr>
      <w:r w:rsidRPr="00244343">
        <w:rPr>
          <w:sz w:val="28"/>
          <w:szCs w:val="28"/>
          <w:lang w:val="kk-KZ"/>
        </w:rPr>
        <w:t xml:space="preserve">Resolution of the Government of the Republic of Kazakhstan dated March 28, 2023 No. 247 On approval of the Concept of state youth policy of the Republic of Kazakhstan for 2023 </w:t>
      </w:r>
      <w:r w:rsidRPr="00244343">
        <w:rPr>
          <w:sz w:val="28"/>
          <w:szCs w:val="28"/>
          <w:lang w:val="en-US"/>
        </w:rPr>
        <w:t>-</w:t>
      </w:r>
      <w:r w:rsidRPr="00244343">
        <w:rPr>
          <w:sz w:val="28"/>
          <w:szCs w:val="28"/>
          <w:lang w:val="kk-KZ"/>
        </w:rPr>
        <w:t xml:space="preserve"> 2029</w:t>
      </w:r>
      <w:r w:rsidRPr="00244343">
        <w:rPr>
          <w:sz w:val="28"/>
          <w:szCs w:val="28"/>
          <w:lang w:val="en-US"/>
        </w:rPr>
        <w:t xml:space="preserve">. </w:t>
      </w:r>
    </w:p>
    <w:p w14:paraId="236D8A14" w14:textId="77777777" w:rsidR="00600C79" w:rsidRPr="00244343" w:rsidRDefault="00600C79" w:rsidP="00600C79">
      <w:pPr>
        <w:spacing w:after="0" w:line="240" w:lineRule="auto"/>
        <w:rPr>
          <w:rFonts w:ascii="Times New Roman" w:hAnsi="Times New Roman" w:cs="Times New Roman"/>
          <w:sz w:val="28"/>
          <w:szCs w:val="28"/>
          <w:lang w:val="en-US"/>
        </w:rPr>
      </w:pPr>
    </w:p>
    <w:p w14:paraId="3C56E9CC" w14:textId="77777777" w:rsidR="00600C79" w:rsidRPr="00244343" w:rsidRDefault="00600C79" w:rsidP="00600C79">
      <w:pPr>
        <w:spacing w:after="0" w:line="240" w:lineRule="auto"/>
        <w:ind w:firstLine="567"/>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rPr>
        <w:br w:type="page"/>
      </w:r>
    </w:p>
    <w:p w14:paraId="6D540A5A" w14:textId="77777777" w:rsidR="00600C79" w:rsidRPr="00244343" w:rsidRDefault="00600C79" w:rsidP="00600C79">
      <w:pPr>
        <w:pStyle w:val="a4"/>
        <w:spacing w:before="0" w:beforeAutospacing="0" w:after="0" w:afterAutospacing="0"/>
        <w:jc w:val="center"/>
        <w:rPr>
          <w:sz w:val="28"/>
          <w:szCs w:val="28"/>
          <w:lang w:val="en-US"/>
        </w:rPr>
      </w:pPr>
      <w:r w:rsidRPr="00244343">
        <w:rPr>
          <w:b/>
          <w:bCs/>
          <w:sz w:val="28"/>
          <w:szCs w:val="28"/>
          <w:lang w:val="en-US"/>
        </w:rPr>
        <w:lastRenderedPageBreak/>
        <w:t>NOTATIONS AND ABBREVIATIONS</w:t>
      </w:r>
    </w:p>
    <w:p w14:paraId="4C1E1754" w14:textId="77777777" w:rsidR="00600C79" w:rsidRPr="00244343" w:rsidRDefault="00600C79" w:rsidP="00600C79">
      <w:pPr>
        <w:pStyle w:val="a4"/>
        <w:spacing w:before="0" w:beforeAutospacing="0" w:after="0" w:afterAutospacing="0"/>
        <w:ind w:firstLine="709"/>
        <w:jc w:val="both"/>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7826"/>
      </w:tblGrid>
      <w:tr w:rsidR="00600C79" w:rsidRPr="00244343" w14:paraId="29EAB565" w14:textId="77777777" w:rsidTr="004E5D21">
        <w:tc>
          <w:tcPr>
            <w:tcW w:w="1383" w:type="dxa"/>
          </w:tcPr>
          <w:p w14:paraId="3971DC70" w14:textId="77777777" w:rsidR="00600C79" w:rsidRPr="00244343" w:rsidRDefault="00600C79" w:rsidP="004524BE">
            <w:pPr>
              <w:pStyle w:val="a4"/>
              <w:spacing w:before="0" w:beforeAutospacing="0" w:after="0" w:afterAutospacing="0"/>
              <w:contextualSpacing/>
              <w:jc w:val="both"/>
              <w:rPr>
                <w:sz w:val="28"/>
                <w:szCs w:val="28"/>
                <w:lang w:val="en-US"/>
              </w:rPr>
            </w:pPr>
            <w:r w:rsidRPr="00244343">
              <w:rPr>
                <w:sz w:val="28"/>
                <w:szCs w:val="28"/>
                <w:lang w:val="en-US"/>
              </w:rPr>
              <w:t>THM</w:t>
            </w:r>
          </w:p>
        </w:tc>
        <w:tc>
          <w:tcPr>
            <w:tcW w:w="7826" w:type="dxa"/>
          </w:tcPr>
          <w:p w14:paraId="6022963E" w14:textId="77777777" w:rsidR="00600C79" w:rsidRPr="00244343" w:rsidRDefault="00600C79" w:rsidP="004524BE">
            <w:pPr>
              <w:pStyle w:val="a4"/>
              <w:spacing w:before="0" w:beforeAutospacing="0" w:after="0" w:afterAutospacing="0"/>
              <w:contextualSpacing/>
              <w:jc w:val="both"/>
              <w:rPr>
                <w:sz w:val="28"/>
                <w:szCs w:val="28"/>
                <w:lang w:val="kk-KZ"/>
              </w:rPr>
            </w:pPr>
            <w:r w:rsidRPr="00244343">
              <w:rPr>
                <w:sz w:val="28"/>
                <w:szCs w:val="28"/>
                <w:lang w:val="en-US"/>
              </w:rPr>
              <w:t>triple helix model</w:t>
            </w:r>
          </w:p>
        </w:tc>
      </w:tr>
      <w:tr w:rsidR="00600C79" w:rsidRPr="00244343" w14:paraId="6AF9A2EB" w14:textId="77777777" w:rsidTr="004E5D21">
        <w:tc>
          <w:tcPr>
            <w:tcW w:w="1383" w:type="dxa"/>
          </w:tcPr>
          <w:p w14:paraId="2C3DBA9C" w14:textId="77777777" w:rsidR="00600C79" w:rsidRPr="00244343" w:rsidRDefault="00600C79" w:rsidP="004524BE">
            <w:pPr>
              <w:pStyle w:val="a4"/>
              <w:spacing w:before="0" w:beforeAutospacing="0" w:after="0" w:afterAutospacing="0"/>
              <w:contextualSpacing/>
              <w:jc w:val="both"/>
              <w:rPr>
                <w:sz w:val="28"/>
                <w:szCs w:val="28"/>
                <w:lang w:val="en-US"/>
              </w:rPr>
            </w:pPr>
            <w:r w:rsidRPr="00244343">
              <w:rPr>
                <w:sz w:val="28"/>
                <w:szCs w:val="28"/>
                <w:lang w:val="en-US"/>
              </w:rPr>
              <w:t>TH</w:t>
            </w:r>
          </w:p>
        </w:tc>
        <w:tc>
          <w:tcPr>
            <w:tcW w:w="7826" w:type="dxa"/>
          </w:tcPr>
          <w:p w14:paraId="572CC11F" w14:textId="77777777" w:rsidR="00600C79" w:rsidRPr="00244343" w:rsidRDefault="00600C79" w:rsidP="004524BE">
            <w:pPr>
              <w:pStyle w:val="a4"/>
              <w:spacing w:before="0" w:beforeAutospacing="0" w:after="0" w:afterAutospacing="0"/>
              <w:contextualSpacing/>
              <w:jc w:val="both"/>
              <w:rPr>
                <w:sz w:val="28"/>
                <w:szCs w:val="28"/>
                <w:lang w:val="kk-KZ"/>
              </w:rPr>
            </w:pPr>
            <w:r w:rsidRPr="00244343">
              <w:rPr>
                <w:sz w:val="28"/>
                <w:szCs w:val="28"/>
                <w:lang w:val="en-US"/>
              </w:rPr>
              <w:t>triple helix</w:t>
            </w:r>
          </w:p>
        </w:tc>
      </w:tr>
      <w:tr w:rsidR="00600C79" w:rsidRPr="00244343" w14:paraId="7C92FA6D" w14:textId="77777777" w:rsidTr="004E5D21">
        <w:tc>
          <w:tcPr>
            <w:tcW w:w="1383" w:type="dxa"/>
          </w:tcPr>
          <w:p w14:paraId="05EBF75A" w14:textId="77777777" w:rsidR="00600C79" w:rsidRPr="00244343" w:rsidRDefault="00600C79" w:rsidP="004524BE">
            <w:pPr>
              <w:pStyle w:val="a4"/>
              <w:spacing w:before="0" w:beforeAutospacing="0" w:after="0" w:afterAutospacing="0"/>
              <w:contextualSpacing/>
              <w:jc w:val="both"/>
              <w:rPr>
                <w:sz w:val="28"/>
                <w:szCs w:val="28"/>
                <w:lang w:val="en-US"/>
              </w:rPr>
            </w:pPr>
            <w:r w:rsidRPr="00244343">
              <w:rPr>
                <w:sz w:val="28"/>
                <w:szCs w:val="28"/>
                <w:lang w:val="en-US"/>
              </w:rPr>
              <w:t>UIC</w:t>
            </w:r>
          </w:p>
        </w:tc>
        <w:tc>
          <w:tcPr>
            <w:tcW w:w="7826" w:type="dxa"/>
          </w:tcPr>
          <w:p w14:paraId="487CF36A" w14:textId="77777777" w:rsidR="00600C79" w:rsidRPr="00244343" w:rsidRDefault="00600C79" w:rsidP="004524BE">
            <w:pPr>
              <w:pStyle w:val="a4"/>
              <w:spacing w:before="0" w:beforeAutospacing="0" w:after="0" w:afterAutospacing="0"/>
              <w:contextualSpacing/>
              <w:jc w:val="both"/>
              <w:rPr>
                <w:sz w:val="28"/>
                <w:szCs w:val="28"/>
                <w:lang w:val="kk-KZ"/>
              </w:rPr>
            </w:pPr>
            <w:r w:rsidRPr="00244343">
              <w:rPr>
                <w:sz w:val="28"/>
                <w:szCs w:val="28"/>
                <w:lang w:val="en-US"/>
              </w:rPr>
              <w:t>university-industry collaboration/cooperation</w:t>
            </w:r>
          </w:p>
        </w:tc>
      </w:tr>
      <w:tr w:rsidR="00600C79" w:rsidRPr="00244343" w14:paraId="058E6C15" w14:textId="77777777" w:rsidTr="004E5D21">
        <w:tc>
          <w:tcPr>
            <w:tcW w:w="1383" w:type="dxa"/>
          </w:tcPr>
          <w:p w14:paraId="2D9E2E65" w14:textId="77777777" w:rsidR="00600C79" w:rsidRPr="00244343" w:rsidRDefault="00600C79" w:rsidP="004524BE">
            <w:pPr>
              <w:pStyle w:val="a4"/>
              <w:spacing w:before="0" w:beforeAutospacing="0" w:after="0" w:afterAutospacing="0"/>
              <w:contextualSpacing/>
              <w:jc w:val="both"/>
              <w:rPr>
                <w:sz w:val="28"/>
                <w:szCs w:val="28"/>
                <w:lang w:val="en-US"/>
              </w:rPr>
            </w:pPr>
            <w:r w:rsidRPr="00244343">
              <w:rPr>
                <w:sz w:val="28"/>
                <w:szCs w:val="28"/>
                <w:lang w:val="en-US"/>
              </w:rPr>
              <w:t>UIL</w:t>
            </w:r>
          </w:p>
        </w:tc>
        <w:tc>
          <w:tcPr>
            <w:tcW w:w="7826" w:type="dxa"/>
          </w:tcPr>
          <w:p w14:paraId="2866A9D7" w14:textId="77777777" w:rsidR="00600C79" w:rsidRPr="00244343" w:rsidRDefault="00600C79" w:rsidP="004524BE">
            <w:pPr>
              <w:pStyle w:val="a4"/>
              <w:spacing w:before="0" w:beforeAutospacing="0" w:after="0" w:afterAutospacing="0"/>
              <w:contextualSpacing/>
              <w:jc w:val="both"/>
              <w:rPr>
                <w:sz w:val="28"/>
                <w:szCs w:val="28"/>
                <w:lang w:val="kk-KZ"/>
              </w:rPr>
            </w:pPr>
            <w:r w:rsidRPr="00244343">
              <w:rPr>
                <w:sz w:val="28"/>
                <w:szCs w:val="28"/>
                <w:lang w:val="en-US"/>
              </w:rPr>
              <w:t xml:space="preserve">university-industry linkage </w:t>
            </w:r>
          </w:p>
        </w:tc>
      </w:tr>
      <w:tr w:rsidR="00600C79" w:rsidRPr="00244343" w14:paraId="421F30ED" w14:textId="77777777" w:rsidTr="004E5D21">
        <w:tc>
          <w:tcPr>
            <w:tcW w:w="1383" w:type="dxa"/>
          </w:tcPr>
          <w:p w14:paraId="43D52657" w14:textId="77777777" w:rsidR="00600C79" w:rsidRPr="00244343" w:rsidRDefault="00600C79" w:rsidP="004524BE">
            <w:pPr>
              <w:pStyle w:val="a4"/>
              <w:spacing w:before="0" w:beforeAutospacing="0" w:after="0" w:afterAutospacing="0"/>
              <w:contextualSpacing/>
              <w:jc w:val="both"/>
              <w:rPr>
                <w:sz w:val="28"/>
                <w:szCs w:val="28"/>
                <w:lang w:val="en-US"/>
              </w:rPr>
            </w:pPr>
            <w:r w:rsidRPr="00244343">
              <w:rPr>
                <w:sz w:val="28"/>
                <w:szCs w:val="28"/>
                <w:lang w:val="en-US"/>
              </w:rPr>
              <w:t>NIS</w:t>
            </w:r>
          </w:p>
        </w:tc>
        <w:tc>
          <w:tcPr>
            <w:tcW w:w="7826" w:type="dxa"/>
          </w:tcPr>
          <w:p w14:paraId="632CA0BC" w14:textId="77777777" w:rsidR="00600C79" w:rsidRPr="00244343" w:rsidRDefault="00600C79" w:rsidP="004524BE">
            <w:pPr>
              <w:pStyle w:val="a4"/>
              <w:spacing w:before="0" w:beforeAutospacing="0" w:after="0" w:afterAutospacing="0"/>
              <w:contextualSpacing/>
              <w:jc w:val="both"/>
              <w:rPr>
                <w:sz w:val="28"/>
                <w:szCs w:val="28"/>
                <w:lang w:val="kk-KZ"/>
              </w:rPr>
            </w:pPr>
            <w:r w:rsidRPr="00244343">
              <w:rPr>
                <w:sz w:val="28"/>
                <w:szCs w:val="28"/>
                <w:lang w:val="en-US"/>
              </w:rPr>
              <w:t>national innovation system</w:t>
            </w:r>
          </w:p>
        </w:tc>
      </w:tr>
      <w:tr w:rsidR="00600C79" w:rsidRPr="00244343" w14:paraId="645A6F7B" w14:textId="77777777" w:rsidTr="004E5D21">
        <w:tc>
          <w:tcPr>
            <w:tcW w:w="1383" w:type="dxa"/>
          </w:tcPr>
          <w:p w14:paraId="41A4CBC4" w14:textId="77777777" w:rsidR="00600C79" w:rsidRPr="00244343" w:rsidRDefault="00600C79" w:rsidP="004524BE">
            <w:pPr>
              <w:pStyle w:val="a4"/>
              <w:spacing w:before="0" w:beforeAutospacing="0" w:after="0" w:afterAutospacing="0"/>
              <w:contextualSpacing/>
              <w:jc w:val="both"/>
              <w:rPr>
                <w:sz w:val="28"/>
                <w:szCs w:val="28"/>
                <w:lang w:val="en-US"/>
              </w:rPr>
            </w:pPr>
            <w:r w:rsidRPr="00244343">
              <w:rPr>
                <w:sz w:val="28"/>
                <w:szCs w:val="28"/>
                <w:lang w:val="en-US"/>
              </w:rPr>
              <w:t>UI (U-I)</w:t>
            </w:r>
          </w:p>
        </w:tc>
        <w:tc>
          <w:tcPr>
            <w:tcW w:w="7826" w:type="dxa"/>
          </w:tcPr>
          <w:p w14:paraId="6A29E59C" w14:textId="77777777" w:rsidR="00600C79" w:rsidRPr="00244343" w:rsidRDefault="00600C79" w:rsidP="004524BE">
            <w:pPr>
              <w:pStyle w:val="a4"/>
              <w:spacing w:before="0" w:beforeAutospacing="0" w:after="0" w:afterAutospacing="0"/>
              <w:contextualSpacing/>
              <w:jc w:val="both"/>
              <w:rPr>
                <w:sz w:val="28"/>
                <w:szCs w:val="28"/>
                <w:lang w:val="kk-KZ"/>
              </w:rPr>
            </w:pPr>
            <w:r w:rsidRPr="00244343">
              <w:rPr>
                <w:sz w:val="28"/>
                <w:szCs w:val="28"/>
                <w:lang w:val="en-US"/>
              </w:rPr>
              <w:t>University-Industry</w:t>
            </w:r>
          </w:p>
        </w:tc>
      </w:tr>
      <w:tr w:rsidR="00600C79" w:rsidRPr="00244343" w14:paraId="5FB5480E" w14:textId="77777777" w:rsidTr="004E5D21">
        <w:tc>
          <w:tcPr>
            <w:tcW w:w="1383" w:type="dxa"/>
          </w:tcPr>
          <w:p w14:paraId="7C73AB67" w14:textId="77777777" w:rsidR="00600C79" w:rsidRPr="00244343" w:rsidRDefault="00600C79" w:rsidP="004524BE">
            <w:pPr>
              <w:pStyle w:val="a4"/>
              <w:spacing w:before="0" w:beforeAutospacing="0" w:after="0" w:afterAutospacing="0"/>
              <w:contextualSpacing/>
              <w:jc w:val="both"/>
              <w:rPr>
                <w:sz w:val="28"/>
                <w:szCs w:val="28"/>
                <w:lang w:val="en-US"/>
              </w:rPr>
            </w:pPr>
            <w:r w:rsidRPr="00244343">
              <w:rPr>
                <w:sz w:val="28"/>
                <w:szCs w:val="28"/>
                <w:lang w:val="en-US"/>
              </w:rPr>
              <w:t>SOEs</w:t>
            </w:r>
          </w:p>
        </w:tc>
        <w:tc>
          <w:tcPr>
            <w:tcW w:w="7826" w:type="dxa"/>
          </w:tcPr>
          <w:p w14:paraId="7C8399EE" w14:textId="77777777" w:rsidR="00600C79" w:rsidRPr="00244343" w:rsidRDefault="00600C79" w:rsidP="004524BE">
            <w:pPr>
              <w:pStyle w:val="a4"/>
              <w:spacing w:before="0" w:beforeAutospacing="0" w:after="0" w:afterAutospacing="0"/>
              <w:contextualSpacing/>
              <w:jc w:val="both"/>
              <w:rPr>
                <w:sz w:val="28"/>
                <w:szCs w:val="28"/>
                <w:lang w:val="kk-KZ"/>
              </w:rPr>
            </w:pPr>
            <w:r w:rsidRPr="00244343">
              <w:rPr>
                <w:sz w:val="28"/>
                <w:szCs w:val="28"/>
                <w:lang w:val="en-US"/>
              </w:rPr>
              <w:t>state-owned enterprises</w:t>
            </w:r>
          </w:p>
        </w:tc>
      </w:tr>
      <w:tr w:rsidR="00600C79" w:rsidRPr="00244343" w14:paraId="1F3BCA86" w14:textId="77777777" w:rsidTr="004E5D21">
        <w:tc>
          <w:tcPr>
            <w:tcW w:w="1383" w:type="dxa"/>
          </w:tcPr>
          <w:p w14:paraId="489A2005" w14:textId="77777777" w:rsidR="00600C79" w:rsidRPr="00244343" w:rsidRDefault="00600C79" w:rsidP="004524BE">
            <w:pPr>
              <w:pStyle w:val="a4"/>
              <w:spacing w:before="0" w:beforeAutospacing="0" w:after="0" w:afterAutospacing="0"/>
              <w:contextualSpacing/>
              <w:jc w:val="both"/>
              <w:rPr>
                <w:sz w:val="28"/>
                <w:szCs w:val="28"/>
                <w:lang w:val="en-US"/>
              </w:rPr>
            </w:pPr>
            <w:r w:rsidRPr="00244343">
              <w:rPr>
                <w:sz w:val="28"/>
                <w:szCs w:val="28"/>
                <w:lang w:val="en-US"/>
              </w:rPr>
              <w:t>UREs</w:t>
            </w:r>
          </w:p>
        </w:tc>
        <w:tc>
          <w:tcPr>
            <w:tcW w:w="7826" w:type="dxa"/>
          </w:tcPr>
          <w:p w14:paraId="5BCB3EF9" w14:textId="77777777" w:rsidR="00600C79" w:rsidRPr="00244343" w:rsidRDefault="00600C79" w:rsidP="004524BE">
            <w:pPr>
              <w:pStyle w:val="a4"/>
              <w:spacing w:before="0" w:beforeAutospacing="0" w:after="0" w:afterAutospacing="0"/>
              <w:contextualSpacing/>
              <w:jc w:val="both"/>
              <w:rPr>
                <w:sz w:val="28"/>
                <w:szCs w:val="28"/>
                <w:lang w:val="kk-KZ"/>
              </w:rPr>
            </w:pPr>
            <w:r w:rsidRPr="00244343">
              <w:rPr>
                <w:sz w:val="28"/>
                <w:szCs w:val="28"/>
                <w:lang w:val="en-US"/>
              </w:rPr>
              <w:t>university-run enterprises</w:t>
            </w:r>
          </w:p>
        </w:tc>
      </w:tr>
      <w:tr w:rsidR="00600C79" w:rsidRPr="00244343" w14:paraId="750CB40D" w14:textId="77777777" w:rsidTr="004E5D21">
        <w:tc>
          <w:tcPr>
            <w:tcW w:w="1383" w:type="dxa"/>
          </w:tcPr>
          <w:p w14:paraId="53D53804" w14:textId="77777777" w:rsidR="00600C79" w:rsidRPr="00244343" w:rsidRDefault="00600C79" w:rsidP="004524BE">
            <w:pPr>
              <w:pStyle w:val="a4"/>
              <w:spacing w:before="0" w:beforeAutospacing="0" w:after="0" w:afterAutospacing="0"/>
              <w:contextualSpacing/>
              <w:jc w:val="both"/>
              <w:rPr>
                <w:sz w:val="28"/>
                <w:szCs w:val="28"/>
                <w:lang w:val="en-US"/>
              </w:rPr>
            </w:pPr>
            <w:r w:rsidRPr="00244343">
              <w:rPr>
                <w:sz w:val="28"/>
                <w:szCs w:val="28"/>
                <w:lang w:val="en-US"/>
              </w:rPr>
              <w:t>UIR</w:t>
            </w:r>
          </w:p>
        </w:tc>
        <w:tc>
          <w:tcPr>
            <w:tcW w:w="7826" w:type="dxa"/>
          </w:tcPr>
          <w:p w14:paraId="35D2DA47" w14:textId="77777777" w:rsidR="00600C79" w:rsidRPr="00244343" w:rsidRDefault="00600C79" w:rsidP="004524BE">
            <w:pPr>
              <w:pStyle w:val="a4"/>
              <w:spacing w:before="0" w:beforeAutospacing="0" w:after="0" w:afterAutospacing="0"/>
              <w:contextualSpacing/>
              <w:jc w:val="both"/>
              <w:rPr>
                <w:sz w:val="28"/>
                <w:szCs w:val="28"/>
                <w:lang w:val="kk-KZ"/>
              </w:rPr>
            </w:pPr>
            <w:r w:rsidRPr="00244343">
              <w:rPr>
                <w:sz w:val="28"/>
                <w:szCs w:val="28"/>
                <w:lang w:val="en-US"/>
              </w:rPr>
              <w:t>university-industry relationship</w:t>
            </w:r>
          </w:p>
        </w:tc>
      </w:tr>
      <w:tr w:rsidR="00600C79" w:rsidRPr="00244343" w14:paraId="25C2959A" w14:textId="77777777" w:rsidTr="004E5D21">
        <w:tc>
          <w:tcPr>
            <w:tcW w:w="1383" w:type="dxa"/>
          </w:tcPr>
          <w:p w14:paraId="036443E6" w14:textId="77777777" w:rsidR="00600C79" w:rsidRPr="00244343" w:rsidRDefault="00600C79" w:rsidP="004524BE">
            <w:pPr>
              <w:pStyle w:val="a4"/>
              <w:spacing w:before="0" w:beforeAutospacing="0" w:after="0" w:afterAutospacing="0"/>
              <w:contextualSpacing/>
              <w:jc w:val="both"/>
              <w:rPr>
                <w:sz w:val="28"/>
                <w:szCs w:val="28"/>
                <w:lang w:val="en-US"/>
              </w:rPr>
            </w:pPr>
            <w:r w:rsidRPr="00244343">
              <w:rPr>
                <w:sz w:val="28"/>
                <w:szCs w:val="28"/>
                <w:lang w:val="en-US"/>
              </w:rPr>
              <w:t>UII</w:t>
            </w:r>
          </w:p>
        </w:tc>
        <w:tc>
          <w:tcPr>
            <w:tcW w:w="7826" w:type="dxa"/>
          </w:tcPr>
          <w:p w14:paraId="388D74B2" w14:textId="77777777" w:rsidR="00600C79" w:rsidRPr="00244343" w:rsidRDefault="00600C79" w:rsidP="004524BE">
            <w:pPr>
              <w:pStyle w:val="a4"/>
              <w:spacing w:before="0" w:beforeAutospacing="0" w:after="0" w:afterAutospacing="0"/>
              <w:contextualSpacing/>
              <w:jc w:val="both"/>
              <w:rPr>
                <w:sz w:val="28"/>
                <w:szCs w:val="28"/>
                <w:lang w:val="kk-KZ"/>
              </w:rPr>
            </w:pPr>
            <w:r w:rsidRPr="00244343">
              <w:rPr>
                <w:sz w:val="28"/>
                <w:szCs w:val="28"/>
                <w:lang w:val="en-US"/>
              </w:rPr>
              <w:t>university-industry interaction</w:t>
            </w:r>
          </w:p>
        </w:tc>
      </w:tr>
      <w:tr w:rsidR="00600C79" w:rsidRPr="00244343" w14:paraId="2456EF8D" w14:textId="77777777" w:rsidTr="004E5D21">
        <w:tc>
          <w:tcPr>
            <w:tcW w:w="1383" w:type="dxa"/>
          </w:tcPr>
          <w:p w14:paraId="34F1EC9E" w14:textId="77777777" w:rsidR="00600C79" w:rsidRPr="00244343" w:rsidRDefault="00600C79" w:rsidP="004524BE">
            <w:pPr>
              <w:pStyle w:val="a4"/>
              <w:spacing w:before="0" w:beforeAutospacing="0" w:after="0" w:afterAutospacing="0"/>
              <w:contextualSpacing/>
              <w:jc w:val="both"/>
              <w:rPr>
                <w:sz w:val="28"/>
                <w:szCs w:val="28"/>
                <w:lang w:val="en-US"/>
              </w:rPr>
            </w:pPr>
            <w:r w:rsidRPr="00244343">
              <w:rPr>
                <w:sz w:val="28"/>
                <w:szCs w:val="28"/>
                <w:lang w:val="en-US"/>
              </w:rPr>
              <w:t>PRI</w:t>
            </w:r>
          </w:p>
        </w:tc>
        <w:tc>
          <w:tcPr>
            <w:tcW w:w="7826" w:type="dxa"/>
          </w:tcPr>
          <w:p w14:paraId="400F41AA" w14:textId="77777777" w:rsidR="00600C79" w:rsidRPr="00244343" w:rsidRDefault="00600C79" w:rsidP="004524BE">
            <w:pPr>
              <w:pStyle w:val="a4"/>
              <w:spacing w:before="0" w:beforeAutospacing="0" w:after="0" w:afterAutospacing="0"/>
              <w:contextualSpacing/>
              <w:jc w:val="both"/>
              <w:rPr>
                <w:sz w:val="28"/>
                <w:szCs w:val="28"/>
                <w:lang w:val="kk-KZ"/>
              </w:rPr>
            </w:pPr>
            <w:r w:rsidRPr="00244343">
              <w:rPr>
                <w:sz w:val="28"/>
                <w:szCs w:val="28"/>
                <w:lang w:val="en-US"/>
              </w:rPr>
              <w:t>Public Research Institutes</w:t>
            </w:r>
          </w:p>
        </w:tc>
      </w:tr>
      <w:tr w:rsidR="00600C79" w:rsidRPr="00244343" w14:paraId="43C613C0" w14:textId="77777777" w:rsidTr="004E5D21">
        <w:tc>
          <w:tcPr>
            <w:tcW w:w="1383" w:type="dxa"/>
          </w:tcPr>
          <w:p w14:paraId="3630B111" w14:textId="77777777" w:rsidR="00600C79" w:rsidRPr="00244343" w:rsidRDefault="00600C79" w:rsidP="004524BE">
            <w:pPr>
              <w:pStyle w:val="a4"/>
              <w:spacing w:before="0" w:beforeAutospacing="0" w:after="0" w:afterAutospacing="0"/>
              <w:contextualSpacing/>
              <w:jc w:val="both"/>
              <w:rPr>
                <w:sz w:val="28"/>
                <w:szCs w:val="28"/>
                <w:lang w:val="en-US"/>
              </w:rPr>
            </w:pPr>
            <w:r w:rsidRPr="00244343">
              <w:rPr>
                <w:sz w:val="28"/>
                <w:szCs w:val="28"/>
                <w:lang w:val="en-US"/>
              </w:rPr>
              <w:t>ISR</w:t>
            </w:r>
          </w:p>
        </w:tc>
        <w:tc>
          <w:tcPr>
            <w:tcW w:w="7826" w:type="dxa"/>
          </w:tcPr>
          <w:p w14:paraId="05059F8A" w14:textId="77777777" w:rsidR="00600C79" w:rsidRPr="00244343" w:rsidRDefault="00600C79" w:rsidP="004524BE">
            <w:pPr>
              <w:pStyle w:val="a4"/>
              <w:spacing w:before="0" w:beforeAutospacing="0" w:after="0" w:afterAutospacing="0"/>
              <w:contextualSpacing/>
              <w:jc w:val="both"/>
              <w:rPr>
                <w:sz w:val="28"/>
                <w:szCs w:val="28"/>
                <w:lang w:val="kk-KZ"/>
              </w:rPr>
            </w:pPr>
            <w:r w:rsidRPr="00244343">
              <w:rPr>
                <w:sz w:val="28"/>
                <w:szCs w:val="28"/>
                <w:lang w:val="en-US"/>
              </w:rPr>
              <w:t>industry-science relations</w:t>
            </w:r>
          </w:p>
        </w:tc>
      </w:tr>
      <w:tr w:rsidR="00600C79" w:rsidRPr="00244343" w14:paraId="0C275507" w14:textId="77777777" w:rsidTr="004E5D21">
        <w:trPr>
          <w:trHeight w:val="175"/>
        </w:trPr>
        <w:tc>
          <w:tcPr>
            <w:tcW w:w="1383" w:type="dxa"/>
          </w:tcPr>
          <w:p w14:paraId="20F08372" w14:textId="77777777" w:rsidR="00600C79" w:rsidRPr="00244343" w:rsidRDefault="00600C79" w:rsidP="004524BE">
            <w:pPr>
              <w:jc w:val="both"/>
              <w:rPr>
                <w:rFonts w:ascii="Times New Roman" w:hAnsi="Times New Roman"/>
                <w:sz w:val="28"/>
                <w:szCs w:val="28"/>
                <w:lang w:val="en-US"/>
              </w:rPr>
            </w:pPr>
            <w:r w:rsidRPr="00244343">
              <w:rPr>
                <w:rFonts w:ascii="Times New Roman" w:hAnsi="Times New Roman"/>
                <w:sz w:val="28"/>
                <w:szCs w:val="28"/>
                <w:lang w:val="en-US"/>
              </w:rPr>
              <w:t>NTBFs</w:t>
            </w:r>
          </w:p>
        </w:tc>
        <w:tc>
          <w:tcPr>
            <w:tcW w:w="7826" w:type="dxa"/>
          </w:tcPr>
          <w:p w14:paraId="45EF65F5" w14:textId="77777777" w:rsidR="00600C79" w:rsidRPr="00244343" w:rsidRDefault="00600C79" w:rsidP="004524BE">
            <w:pPr>
              <w:pStyle w:val="a4"/>
              <w:spacing w:before="0" w:beforeAutospacing="0" w:after="0" w:afterAutospacing="0"/>
              <w:contextualSpacing/>
              <w:jc w:val="both"/>
              <w:rPr>
                <w:sz w:val="28"/>
                <w:szCs w:val="28"/>
                <w:lang w:val="kk-KZ"/>
              </w:rPr>
            </w:pPr>
            <w:r w:rsidRPr="00244343">
              <w:rPr>
                <w:sz w:val="28"/>
                <w:szCs w:val="28"/>
                <w:lang w:val="en-US"/>
              </w:rPr>
              <w:t>new technology-based firms</w:t>
            </w:r>
          </w:p>
        </w:tc>
      </w:tr>
      <w:tr w:rsidR="00600C79" w:rsidRPr="00244343" w14:paraId="6FBA78B9" w14:textId="77777777" w:rsidTr="004E5D21">
        <w:tc>
          <w:tcPr>
            <w:tcW w:w="1383" w:type="dxa"/>
          </w:tcPr>
          <w:p w14:paraId="5BF5AC08" w14:textId="77777777" w:rsidR="00600C79" w:rsidRPr="00244343" w:rsidRDefault="00600C79" w:rsidP="004524BE">
            <w:pPr>
              <w:jc w:val="both"/>
              <w:rPr>
                <w:rFonts w:ascii="Times New Roman" w:hAnsi="Times New Roman"/>
                <w:sz w:val="28"/>
                <w:szCs w:val="28"/>
                <w:lang w:val="en-US"/>
              </w:rPr>
            </w:pPr>
            <w:r w:rsidRPr="00244343">
              <w:rPr>
                <w:rFonts w:ascii="Times New Roman" w:hAnsi="Times New Roman"/>
                <w:sz w:val="28"/>
                <w:szCs w:val="28"/>
                <w:lang w:val="en-US"/>
              </w:rPr>
              <w:t>KT</w:t>
            </w:r>
          </w:p>
        </w:tc>
        <w:tc>
          <w:tcPr>
            <w:tcW w:w="7826" w:type="dxa"/>
          </w:tcPr>
          <w:p w14:paraId="7AD59B79" w14:textId="77777777" w:rsidR="00600C79" w:rsidRPr="00244343" w:rsidRDefault="00600C79" w:rsidP="004524BE">
            <w:pPr>
              <w:pStyle w:val="a4"/>
              <w:spacing w:before="0" w:beforeAutospacing="0" w:after="0" w:afterAutospacing="0"/>
              <w:contextualSpacing/>
              <w:jc w:val="both"/>
              <w:rPr>
                <w:sz w:val="28"/>
                <w:szCs w:val="28"/>
                <w:lang w:val="kk-KZ"/>
              </w:rPr>
            </w:pPr>
            <w:r w:rsidRPr="00244343">
              <w:rPr>
                <w:sz w:val="28"/>
                <w:szCs w:val="28"/>
                <w:lang w:val="en-US"/>
              </w:rPr>
              <w:t>knowledge transfer</w:t>
            </w:r>
          </w:p>
        </w:tc>
      </w:tr>
      <w:tr w:rsidR="00600C79" w:rsidRPr="00244343" w14:paraId="2B22FDC1" w14:textId="77777777" w:rsidTr="004E5D21">
        <w:tc>
          <w:tcPr>
            <w:tcW w:w="1383" w:type="dxa"/>
          </w:tcPr>
          <w:p w14:paraId="5FB65681" w14:textId="77777777" w:rsidR="00600C79" w:rsidRPr="00244343" w:rsidRDefault="00600C79" w:rsidP="004524BE">
            <w:pPr>
              <w:jc w:val="both"/>
              <w:rPr>
                <w:rFonts w:ascii="Times New Roman" w:hAnsi="Times New Roman"/>
                <w:sz w:val="28"/>
                <w:szCs w:val="28"/>
                <w:lang w:val="en-US"/>
              </w:rPr>
            </w:pPr>
            <w:r w:rsidRPr="00244343">
              <w:rPr>
                <w:rFonts w:ascii="Times New Roman" w:hAnsi="Times New Roman"/>
                <w:sz w:val="28"/>
                <w:szCs w:val="28"/>
                <w:lang w:val="en-US"/>
              </w:rPr>
              <w:t>KC</w:t>
            </w:r>
          </w:p>
        </w:tc>
        <w:tc>
          <w:tcPr>
            <w:tcW w:w="7826" w:type="dxa"/>
          </w:tcPr>
          <w:p w14:paraId="71217218" w14:textId="77777777" w:rsidR="00600C79" w:rsidRPr="00244343" w:rsidRDefault="00600C79" w:rsidP="004524BE">
            <w:pPr>
              <w:contextualSpacing/>
              <w:rPr>
                <w:rFonts w:ascii="Times New Roman" w:hAnsi="Times New Roman"/>
                <w:sz w:val="28"/>
                <w:szCs w:val="28"/>
                <w:lang w:val="kk-KZ"/>
              </w:rPr>
            </w:pPr>
            <w:r w:rsidRPr="00244343">
              <w:rPr>
                <w:rFonts w:ascii="Times New Roman" w:hAnsi="Times New Roman"/>
                <w:sz w:val="28"/>
                <w:szCs w:val="28"/>
                <w:lang w:val="en-US"/>
              </w:rPr>
              <w:t>knowledge capitalization/commerce</w:t>
            </w:r>
          </w:p>
        </w:tc>
      </w:tr>
      <w:tr w:rsidR="00600C79" w:rsidRPr="00244343" w14:paraId="79A3E026" w14:textId="77777777" w:rsidTr="004E5D21">
        <w:tc>
          <w:tcPr>
            <w:tcW w:w="1383" w:type="dxa"/>
          </w:tcPr>
          <w:p w14:paraId="786D927A" w14:textId="77777777" w:rsidR="00600C79" w:rsidRPr="00244343" w:rsidRDefault="00600C79" w:rsidP="004524BE">
            <w:pPr>
              <w:jc w:val="both"/>
              <w:rPr>
                <w:rFonts w:ascii="Times New Roman" w:hAnsi="Times New Roman"/>
                <w:sz w:val="28"/>
                <w:szCs w:val="28"/>
                <w:lang w:val="en-US"/>
              </w:rPr>
            </w:pPr>
            <w:r w:rsidRPr="00244343">
              <w:rPr>
                <w:rFonts w:ascii="Times New Roman" w:hAnsi="Times New Roman"/>
                <w:sz w:val="28"/>
                <w:szCs w:val="28"/>
                <w:lang w:val="en-US"/>
              </w:rPr>
              <w:t>EE</w:t>
            </w:r>
          </w:p>
        </w:tc>
        <w:tc>
          <w:tcPr>
            <w:tcW w:w="7826" w:type="dxa"/>
          </w:tcPr>
          <w:p w14:paraId="1E994975" w14:textId="77777777" w:rsidR="00600C79" w:rsidRPr="00244343" w:rsidRDefault="00600C79" w:rsidP="004524BE">
            <w:pPr>
              <w:contextualSpacing/>
              <w:rPr>
                <w:rFonts w:ascii="Times New Roman" w:eastAsiaTheme="minorEastAsia" w:hAnsi="Times New Roman"/>
                <w:sz w:val="28"/>
                <w:szCs w:val="28"/>
                <w:lang w:val="kk-KZ" w:eastAsia="ru-RU"/>
              </w:rPr>
            </w:pPr>
            <w:r w:rsidRPr="00244343">
              <w:rPr>
                <w:rFonts w:ascii="Times New Roman" w:hAnsi="Times New Roman"/>
                <w:sz w:val="28"/>
                <w:szCs w:val="28"/>
                <w:lang w:val="en-US"/>
              </w:rPr>
              <w:t>entrepreneurship education</w:t>
            </w:r>
          </w:p>
        </w:tc>
      </w:tr>
      <w:tr w:rsidR="00600C79" w:rsidRPr="00244343" w14:paraId="540D2C98" w14:textId="77777777" w:rsidTr="004E5D21">
        <w:tc>
          <w:tcPr>
            <w:tcW w:w="1383" w:type="dxa"/>
          </w:tcPr>
          <w:p w14:paraId="1EDAF90F" w14:textId="77777777" w:rsidR="00600C79" w:rsidRPr="00244343" w:rsidRDefault="00600C79" w:rsidP="004524BE">
            <w:pPr>
              <w:jc w:val="both"/>
              <w:rPr>
                <w:rFonts w:ascii="Times New Roman" w:hAnsi="Times New Roman"/>
                <w:sz w:val="28"/>
                <w:szCs w:val="28"/>
                <w:lang w:val="en-US"/>
              </w:rPr>
            </w:pPr>
            <w:r w:rsidRPr="00244343">
              <w:rPr>
                <w:rFonts w:ascii="Times New Roman" w:hAnsi="Times New Roman"/>
                <w:sz w:val="28"/>
                <w:szCs w:val="28"/>
                <w:lang w:val="en-US"/>
              </w:rPr>
              <w:t>SDG</w:t>
            </w:r>
          </w:p>
        </w:tc>
        <w:tc>
          <w:tcPr>
            <w:tcW w:w="7826" w:type="dxa"/>
          </w:tcPr>
          <w:p w14:paraId="5191739D" w14:textId="77777777" w:rsidR="00600C79" w:rsidRPr="00244343" w:rsidRDefault="00600C79" w:rsidP="004524BE">
            <w:pPr>
              <w:contextualSpacing/>
              <w:rPr>
                <w:rFonts w:ascii="Times New Roman" w:eastAsiaTheme="minorEastAsia" w:hAnsi="Times New Roman"/>
                <w:sz w:val="28"/>
                <w:szCs w:val="28"/>
                <w:lang w:val="kk-KZ" w:eastAsia="ru-RU"/>
              </w:rPr>
            </w:pPr>
            <w:r w:rsidRPr="00244343">
              <w:rPr>
                <w:rFonts w:ascii="Times New Roman" w:hAnsi="Times New Roman"/>
                <w:sz w:val="28"/>
                <w:szCs w:val="28"/>
                <w:lang w:val="en-US"/>
              </w:rPr>
              <w:t>sustainable development goals</w:t>
            </w:r>
          </w:p>
        </w:tc>
      </w:tr>
      <w:tr w:rsidR="00600C79" w:rsidRPr="00244343" w14:paraId="6EFDBFBF" w14:textId="77777777" w:rsidTr="004E5D21">
        <w:tc>
          <w:tcPr>
            <w:tcW w:w="1383" w:type="dxa"/>
          </w:tcPr>
          <w:p w14:paraId="1874A5E7" w14:textId="77777777" w:rsidR="00600C79" w:rsidRPr="00244343" w:rsidRDefault="00600C79" w:rsidP="004524BE">
            <w:pPr>
              <w:jc w:val="both"/>
              <w:rPr>
                <w:rFonts w:ascii="Times New Roman" w:hAnsi="Times New Roman"/>
                <w:sz w:val="28"/>
                <w:szCs w:val="28"/>
                <w:lang w:val="en-US"/>
              </w:rPr>
            </w:pPr>
            <w:r w:rsidRPr="00244343">
              <w:rPr>
                <w:rFonts w:ascii="Times New Roman" w:hAnsi="Times New Roman"/>
                <w:sz w:val="28"/>
                <w:szCs w:val="28"/>
                <w:lang w:val="en-US"/>
              </w:rPr>
              <w:t>UIEEs</w:t>
            </w:r>
          </w:p>
        </w:tc>
        <w:tc>
          <w:tcPr>
            <w:tcW w:w="7826" w:type="dxa"/>
          </w:tcPr>
          <w:p w14:paraId="4E0D4ADC" w14:textId="77777777" w:rsidR="00600C79" w:rsidRPr="00244343" w:rsidRDefault="00600C79" w:rsidP="004524BE">
            <w:pPr>
              <w:contextualSpacing/>
              <w:rPr>
                <w:rFonts w:ascii="Times New Roman" w:eastAsiaTheme="minorEastAsia" w:hAnsi="Times New Roman"/>
                <w:sz w:val="28"/>
                <w:szCs w:val="28"/>
                <w:lang w:val="kk-KZ" w:eastAsia="ru-RU"/>
              </w:rPr>
            </w:pPr>
            <w:r w:rsidRPr="00244343">
              <w:rPr>
                <w:rFonts w:ascii="Times New Roman" w:hAnsi="Times New Roman"/>
                <w:sz w:val="28"/>
                <w:szCs w:val="28"/>
                <w:lang w:val="en-US"/>
              </w:rPr>
              <w:t>university innovation entrepreneurial ecosystems</w:t>
            </w:r>
          </w:p>
        </w:tc>
      </w:tr>
      <w:tr w:rsidR="00600C79" w:rsidRPr="00244343" w14:paraId="1302F699" w14:textId="77777777" w:rsidTr="004E5D21">
        <w:tc>
          <w:tcPr>
            <w:tcW w:w="1383" w:type="dxa"/>
          </w:tcPr>
          <w:p w14:paraId="17B1FCD3" w14:textId="77777777" w:rsidR="00600C79" w:rsidRPr="00244343" w:rsidRDefault="00600C79" w:rsidP="004524BE">
            <w:pPr>
              <w:jc w:val="both"/>
              <w:rPr>
                <w:rFonts w:ascii="Times New Roman" w:hAnsi="Times New Roman"/>
                <w:sz w:val="28"/>
                <w:szCs w:val="28"/>
                <w:lang w:val="en-US"/>
              </w:rPr>
            </w:pPr>
            <w:r w:rsidRPr="00244343">
              <w:rPr>
                <w:rFonts w:ascii="Times New Roman" w:hAnsi="Times New Roman"/>
                <w:sz w:val="28"/>
                <w:szCs w:val="28"/>
                <w:lang w:val="en-US"/>
              </w:rPr>
              <w:t>LOC</w:t>
            </w:r>
          </w:p>
        </w:tc>
        <w:tc>
          <w:tcPr>
            <w:tcW w:w="7826" w:type="dxa"/>
          </w:tcPr>
          <w:p w14:paraId="223CD6A3" w14:textId="77777777" w:rsidR="00600C79" w:rsidRPr="00244343" w:rsidRDefault="00600C79" w:rsidP="004524BE">
            <w:pPr>
              <w:contextualSpacing/>
              <w:rPr>
                <w:rFonts w:ascii="Times New Roman" w:eastAsiaTheme="minorEastAsia" w:hAnsi="Times New Roman"/>
                <w:sz w:val="28"/>
                <w:szCs w:val="28"/>
                <w:lang w:val="kk-KZ" w:eastAsia="ru-RU"/>
              </w:rPr>
            </w:pPr>
            <w:r w:rsidRPr="00244343">
              <w:rPr>
                <w:rFonts w:ascii="Times New Roman" w:hAnsi="Times New Roman"/>
                <w:sz w:val="28"/>
                <w:szCs w:val="28"/>
                <w:lang w:val="en-US"/>
              </w:rPr>
              <w:t xml:space="preserve">locus of control </w:t>
            </w:r>
          </w:p>
        </w:tc>
      </w:tr>
      <w:tr w:rsidR="00600C79" w:rsidRPr="00244343" w14:paraId="6730CDBD" w14:textId="77777777" w:rsidTr="004E5D21">
        <w:tc>
          <w:tcPr>
            <w:tcW w:w="1383" w:type="dxa"/>
          </w:tcPr>
          <w:p w14:paraId="73BAF4B7" w14:textId="77777777" w:rsidR="00600C79" w:rsidRPr="00244343" w:rsidRDefault="00600C79" w:rsidP="004524BE">
            <w:pPr>
              <w:jc w:val="both"/>
              <w:rPr>
                <w:rFonts w:ascii="Times New Roman" w:hAnsi="Times New Roman"/>
                <w:sz w:val="28"/>
                <w:szCs w:val="28"/>
                <w:lang w:val="en-US"/>
              </w:rPr>
            </w:pPr>
            <w:r w:rsidRPr="00244343">
              <w:rPr>
                <w:rFonts w:ascii="Times New Roman" w:hAnsi="Times New Roman"/>
                <w:sz w:val="28"/>
                <w:szCs w:val="28"/>
                <w:lang w:val="en-US"/>
              </w:rPr>
              <w:t>ESE</w:t>
            </w:r>
          </w:p>
        </w:tc>
        <w:tc>
          <w:tcPr>
            <w:tcW w:w="7826" w:type="dxa"/>
          </w:tcPr>
          <w:p w14:paraId="664B05F7" w14:textId="77777777" w:rsidR="00600C79" w:rsidRPr="00244343" w:rsidRDefault="00600C79" w:rsidP="004524BE">
            <w:pPr>
              <w:contextualSpacing/>
              <w:rPr>
                <w:rFonts w:ascii="Times New Roman" w:eastAsiaTheme="minorEastAsia" w:hAnsi="Times New Roman"/>
                <w:sz w:val="28"/>
                <w:szCs w:val="28"/>
                <w:lang w:val="kk-KZ" w:eastAsia="ru-RU"/>
              </w:rPr>
            </w:pPr>
            <w:r w:rsidRPr="00244343">
              <w:rPr>
                <w:rFonts w:ascii="Times New Roman" w:hAnsi="Times New Roman"/>
                <w:sz w:val="28"/>
                <w:szCs w:val="28"/>
                <w:lang w:val="en-US"/>
              </w:rPr>
              <w:t xml:space="preserve">entrepreneurial self-efficacy </w:t>
            </w:r>
          </w:p>
        </w:tc>
      </w:tr>
      <w:tr w:rsidR="00600C79" w:rsidRPr="00244343" w14:paraId="78DB08CD" w14:textId="77777777" w:rsidTr="004E5D21">
        <w:tc>
          <w:tcPr>
            <w:tcW w:w="1383" w:type="dxa"/>
          </w:tcPr>
          <w:p w14:paraId="5651B2E9" w14:textId="77777777" w:rsidR="00600C79" w:rsidRPr="00244343" w:rsidRDefault="00600C79" w:rsidP="004524BE">
            <w:pPr>
              <w:jc w:val="both"/>
              <w:rPr>
                <w:rFonts w:ascii="Times New Roman" w:hAnsi="Times New Roman"/>
                <w:sz w:val="28"/>
                <w:szCs w:val="28"/>
                <w:lang w:val="en-US"/>
              </w:rPr>
            </w:pPr>
            <w:r w:rsidRPr="00244343">
              <w:rPr>
                <w:rFonts w:ascii="Times New Roman" w:hAnsi="Times New Roman"/>
                <w:sz w:val="28"/>
                <w:szCs w:val="28"/>
                <w:lang w:val="en-US"/>
              </w:rPr>
              <w:t>EE</w:t>
            </w:r>
          </w:p>
        </w:tc>
        <w:tc>
          <w:tcPr>
            <w:tcW w:w="7826" w:type="dxa"/>
          </w:tcPr>
          <w:p w14:paraId="17497A06" w14:textId="77777777" w:rsidR="00600C79" w:rsidRPr="00244343" w:rsidRDefault="00600C79" w:rsidP="004524BE">
            <w:pPr>
              <w:contextualSpacing/>
              <w:rPr>
                <w:rFonts w:ascii="Times New Roman" w:eastAsiaTheme="minorEastAsia" w:hAnsi="Times New Roman"/>
                <w:sz w:val="28"/>
                <w:szCs w:val="28"/>
                <w:lang w:val="kk-KZ" w:eastAsia="ru-RU"/>
              </w:rPr>
            </w:pPr>
            <w:r w:rsidRPr="00244343">
              <w:rPr>
                <w:rFonts w:ascii="Times New Roman" w:hAnsi="Times New Roman"/>
                <w:sz w:val="28"/>
                <w:szCs w:val="28"/>
                <w:lang w:val="en-US"/>
              </w:rPr>
              <w:t>entrepreneurial education</w:t>
            </w:r>
          </w:p>
        </w:tc>
      </w:tr>
      <w:tr w:rsidR="00600C79" w:rsidRPr="00244343" w14:paraId="58FFD4A1" w14:textId="77777777" w:rsidTr="004E5D21">
        <w:tc>
          <w:tcPr>
            <w:tcW w:w="1383" w:type="dxa"/>
          </w:tcPr>
          <w:p w14:paraId="05ED8B66" w14:textId="77777777" w:rsidR="00600C79" w:rsidRPr="00244343" w:rsidRDefault="00600C79" w:rsidP="004524BE">
            <w:pPr>
              <w:jc w:val="both"/>
              <w:rPr>
                <w:rFonts w:ascii="Times New Roman" w:hAnsi="Times New Roman"/>
                <w:sz w:val="28"/>
                <w:szCs w:val="28"/>
                <w:lang w:val="en-US"/>
              </w:rPr>
            </w:pPr>
            <w:r w:rsidRPr="00244343">
              <w:rPr>
                <w:rFonts w:ascii="Times New Roman" w:hAnsi="Times New Roman"/>
                <w:sz w:val="28"/>
                <w:szCs w:val="28"/>
                <w:lang w:val="en-US"/>
              </w:rPr>
              <w:t>CC</w:t>
            </w:r>
          </w:p>
        </w:tc>
        <w:tc>
          <w:tcPr>
            <w:tcW w:w="7826" w:type="dxa"/>
          </w:tcPr>
          <w:p w14:paraId="05098354" w14:textId="77777777" w:rsidR="00600C79" w:rsidRPr="00244343" w:rsidRDefault="00600C79" w:rsidP="004524BE">
            <w:pPr>
              <w:contextualSpacing/>
              <w:rPr>
                <w:rFonts w:ascii="Times New Roman" w:eastAsiaTheme="minorEastAsia" w:hAnsi="Times New Roman"/>
                <w:sz w:val="28"/>
                <w:szCs w:val="28"/>
                <w:lang w:val="kk-KZ" w:eastAsia="ru-RU"/>
              </w:rPr>
            </w:pPr>
            <w:r w:rsidRPr="00244343">
              <w:rPr>
                <w:rFonts w:ascii="Times New Roman" w:hAnsi="Times New Roman"/>
                <w:sz w:val="28"/>
                <w:szCs w:val="28"/>
                <w:lang w:val="en-US"/>
              </w:rPr>
              <w:t xml:space="preserve">career </w:t>
            </w:r>
            <w:proofErr w:type="spellStart"/>
            <w:r w:rsidRPr="00244343">
              <w:rPr>
                <w:rFonts w:ascii="Times New Roman" w:hAnsi="Times New Roman"/>
                <w:sz w:val="28"/>
                <w:szCs w:val="28"/>
                <w:lang w:val="en-US"/>
              </w:rPr>
              <w:t>centre</w:t>
            </w:r>
            <w:proofErr w:type="spellEnd"/>
          </w:p>
        </w:tc>
      </w:tr>
      <w:tr w:rsidR="00600C79" w:rsidRPr="00244343" w14:paraId="341D5F1B" w14:textId="77777777" w:rsidTr="004E5D21">
        <w:tc>
          <w:tcPr>
            <w:tcW w:w="1383" w:type="dxa"/>
          </w:tcPr>
          <w:p w14:paraId="698CF748" w14:textId="77777777" w:rsidR="00600C79" w:rsidRPr="00244343" w:rsidRDefault="00600C79" w:rsidP="004524BE">
            <w:pPr>
              <w:jc w:val="both"/>
              <w:rPr>
                <w:rFonts w:ascii="Times New Roman" w:hAnsi="Times New Roman"/>
                <w:sz w:val="28"/>
                <w:szCs w:val="28"/>
                <w:lang w:val="en-US"/>
              </w:rPr>
            </w:pPr>
            <w:r w:rsidRPr="00244343">
              <w:rPr>
                <w:rFonts w:ascii="Times New Roman" w:hAnsi="Times New Roman"/>
                <w:sz w:val="28"/>
                <w:szCs w:val="28"/>
                <w:lang w:val="en-US"/>
              </w:rPr>
              <w:t>HR</w:t>
            </w:r>
          </w:p>
        </w:tc>
        <w:tc>
          <w:tcPr>
            <w:tcW w:w="7826" w:type="dxa"/>
          </w:tcPr>
          <w:p w14:paraId="5FF77A58" w14:textId="77777777" w:rsidR="00600C79" w:rsidRPr="00244343" w:rsidRDefault="00600C79" w:rsidP="004524BE">
            <w:pPr>
              <w:contextualSpacing/>
              <w:rPr>
                <w:rFonts w:ascii="Times New Roman" w:eastAsiaTheme="minorEastAsia" w:hAnsi="Times New Roman"/>
                <w:sz w:val="28"/>
                <w:szCs w:val="28"/>
                <w:lang w:val="kk-KZ" w:eastAsia="ru-RU"/>
              </w:rPr>
            </w:pPr>
            <w:r w:rsidRPr="00244343">
              <w:rPr>
                <w:rFonts w:ascii="Times New Roman" w:hAnsi="Times New Roman"/>
                <w:sz w:val="28"/>
                <w:szCs w:val="28"/>
                <w:lang w:val="en-US"/>
              </w:rPr>
              <w:t xml:space="preserve">human resource </w:t>
            </w:r>
          </w:p>
        </w:tc>
      </w:tr>
      <w:tr w:rsidR="00600C79" w:rsidRPr="00244343" w14:paraId="3B348791" w14:textId="77777777" w:rsidTr="004E5D21">
        <w:tc>
          <w:tcPr>
            <w:tcW w:w="1383" w:type="dxa"/>
          </w:tcPr>
          <w:p w14:paraId="65D6602E" w14:textId="77777777" w:rsidR="00600C79" w:rsidRPr="00244343" w:rsidRDefault="00600C79" w:rsidP="004524BE">
            <w:pPr>
              <w:jc w:val="both"/>
              <w:rPr>
                <w:rFonts w:ascii="Times New Roman" w:hAnsi="Times New Roman"/>
                <w:sz w:val="28"/>
                <w:szCs w:val="28"/>
                <w:lang w:val="en-US"/>
              </w:rPr>
            </w:pPr>
            <w:r w:rsidRPr="00244343">
              <w:rPr>
                <w:rFonts w:ascii="Times New Roman" w:hAnsi="Times New Roman"/>
                <w:sz w:val="28"/>
                <w:szCs w:val="28"/>
                <w:lang w:val="en-US"/>
              </w:rPr>
              <w:t>HRM</w:t>
            </w:r>
          </w:p>
        </w:tc>
        <w:tc>
          <w:tcPr>
            <w:tcW w:w="7826" w:type="dxa"/>
          </w:tcPr>
          <w:p w14:paraId="6C34A897" w14:textId="77777777" w:rsidR="00600C79" w:rsidRPr="00244343" w:rsidRDefault="00600C79" w:rsidP="004524BE">
            <w:pPr>
              <w:contextualSpacing/>
              <w:rPr>
                <w:rFonts w:ascii="Times New Roman" w:hAnsi="Times New Roman"/>
                <w:sz w:val="28"/>
                <w:szCs w:val="28"/>
                <w:lang w:val="kk-KZ"/>
              </w:rPr>
            </w:pPr>
            <w:r w:rsidRPr="00244343">
              <w:rPr>
                <w:rFonts w:ascii="Times New Roman" w:hAnsi="Times New Roman"/>
                <w:sz w:val="28"/>
                <w:szCs w:val="28"/>
                <w:lang w:val="en-US"/>
              </w:rPr>
              <w:t xml:space="preserve">human resource management </w:t>
            </w:r>
          </w:p>
        </w:tc>
      </w:tr>
      <w:tr w:rsidR="00600C79" w:rsidRPr="00244343" w14:paraId="6B653641" w14:textId="77777777" w:rsidTr="004E5D21">
        <w:tc>
          <w:tcPr>
            <w:tcW w:w="1383" w:type="dxa"/>
          </w:tcPr>
          <w:p w14:paraId="69418FED" w14:textId="77777777" w:rsidR="00600C79" w:rsidRPr="00244343" w:rsidRDefault="00600C79" w:rsidP="004524BE">
            <w:pPr>
              <w:jc w:val="both"/>
              <w:rPr>
                <w:rFonts w:ascii="Times New Roman" w:hAnsi="Times New Roman"/>
                <w:sz w:val="28"/>
                <w:szCs w:val="28"/>
                <w:lang w:val="en-US"/>
              </w:rPr>
            </w:pPr>
            <w:r w:rsidRPr="00244343">
              <w:rPr>
                <w:rFonts w:ascii="Times New Roman" w:hAnsi="Times New Roman"/>
                <w:sz w:val="28"/>
                <w:szCs w:val="28"/>
                <w:lang w:val="en-US"/>
              </w:rPr>
              <w:t>RI</w:t>
            </w:r>
          </w:p>
        </w:tc>
        <w:tc>
          <w:tcPr>
            <w:tcW w:w="7826" w:type="dxa"/>
          </w:tcPr>
          <w:p w14:paraId="133B7787" w14:textId="77777777" w:rsidR="00600C79" w:rsidRPr="00244343" w:rsidRDefault="00600C79" w:rsidP="004524BE">
            <w:pPr>
              <w:jc w:val="both"/>
              <w:rPr>
                <w:rFonts w:ascii="Times New Roman" w:hAnsi="Times New Roman"/>
                <w:sz w:val="28"/>
                <w:szCs w:val="28"/>
                <w:lang w:val="en-US"/>
              </w:rPr>
            </w:pPr>
            <w:r w:rsidRPr="00244343">
              <w:rPr>
                <w:rFonts w:ascii="Times New Roman" w:hAnsi="Times New Roman"/>
                <w:sz w:val="28"/>
                <w:szCs w:val="28"/>
                <w:lang w:val="en-US"/>
              </w:rPr>
              <w:t>regional innovation</w:t>
            </w:r>
          </w:p>
        </w:tc>
      </w:tr>
      <w:tr w:rsidR="00477AA9" w:rsidRPr="00244343" w14:paraId="290C8238" w14:textId="77777777" w:rsidTr="004E5D21">
        <w:tc>
          <w:tcPr>
            <w:tcW w:w="1383" w:type="dxa"/>
          </w:tcPr>
          <w:p w14:paraId="6D95B6F3" w14:textId="2011DB8F" w:rsidR="00477AA9" w:rsidRPr="00244343" w:rsidRDefault="00477AA9" w:rsidP="004524BE">
            <w:pPr>
              <w:jc w:val="both"/>
              <w:rPr>
                <w:rFonts w:ascii="Times New Roman" w:hAnsi="Times New Roman"/>
                <w:sz w:val="28"/>
                <w:szCs w:val="28"/>
                <w:lang w:val="en-US"/>
              </w:rPr>
            </w:pPr>
            <w:r w:rsidRPr="00477AA9">
              <w:rPr>
                <w:rFonts w:ascii="Times New Roman" w:hAnsi="Times New Roman" w:cs="Times New Roman"/>
                <w:sz w:val="28"/>
                <w:szCs w:val="28"/>
                <w:lang w:val="en-US"/>
              </w:rPr>
              <w:t xml:space="preserve">R&amp;D            </w:t>
            </w:r>
          </w:p>
        </w:tc>
        <w:tc>
          <w:tcPr>
            <w:tcW w:w="7826" w:type="dxa"/>
          </w:tcPr>
          <w:p w14:paraId="2398694D" w14:textId="1A9C2EFB" w:rsidR="00477AA9" w:rsidRPr="00477AA9" w:rsidRDefault="00477AA9" w:rsidP="00477AA9">
            <w:pPr>
              <w:rPr>
                <w:rFonts w:ascii="Times New Roman" w:hAnsi="Times New Roman" w:cs="Times New Roman"/>
                <w:sz w:val="28"/>
                <w:szCs w:val="28"/>
                <w:lang w:val="en-US"/>
              </w:rPr>
            </w:pPr>
            <w:r w:rsidRPr="00477AA9">
              <w:rPr>
                <w:rFonts w:ascii="Times New Roman" w:hAnsi="Times New Roman" w:cs="Times New Roman"/>
                <w:sz w:val="28"/>
                <w:szCs w:val="28"/>
                <w:lang w:val="en-US"/>
              </w:rPr>
              <w:t>research and development</w:t>
            </w:r>
          </w:p>
        </w:tc>
      </w:tr>
      <w:tr w:rsidR="00477AA9" w:rsidRPr="00244343" w14:paraId="4F82D5D2" w14:textId="77777777" w:rsidTr="004E5D21">
        <w:tc>
          <w:tcPr>
            <w:tcW w:w="1383" w:type="dxa"/>
          </w:tcPr>
          <w:p w14:paraId="5FEC709D" w14:textId="461B2661" w:rsidR="00477AA9" w:rsidRPr="00244343" w:rsidRDefault="00477AA9" w:rsidP="004524BE">
            <w:pPr>
              <w:jc w:val="both"/>
              <w:rPr>
                <w:rFonts w:ascii="Times New Roman" w:hAnsi="Times New Roman"/>
                <w:sz w:val="28"/>
                <w:szCs w:val="28"/>
                <w:lang w:val="en-US"/>
              </w:rPr>
            </w:pPr>
            <w:r w:rsidRPr="00477AA9">
              <w:rPr>
                <w:rFonts w:ascii="Times New Roman" w:hAnsi="Times New Roman" w:cs="Times New Roman"/>
                <w:sz w:val="28"/>
                <w:szCs w:val="28"/>
                <w:lang w:val="en-US"/>
              </w:rPr>
              <w:t xml:space="preserve">GII               </w:t>
            </w:r>
          </w:p>
        </w:tc>
        <w:tc>
          <w:tcPr>
            <w:tcW w:w="7826" w:type="dxa"/>
          </w:tcPr>
          <w:p w14:paraId="0CA921D0" w14:textId="1730401A" w:rsidR="00477AA9" w:rsidRPr="00477AA9" w:rsidRDefault="00477AA9" w:rsidP="00477AA9">
            <w:pPr>
              <w:rPr>
                <w:rFonts w:ascii="Times New Roman" w:hAnsi="Times New Roman" w:cs="Times New Roman"/>
                <w:sz w:val="28"/>
                <w:szCs w:val="28"/>
                <w:lang w:val="en-US"/>
              </w:rPr>
            </w:pPr>
            <w:r w:rsidRPr="00477AA9">
              <w:rPr>
                <w:rFonts w:ascii="Times New Roman" w:hAnsi="Times New Roman" w:cs="Times New Roman"/>
                <w:sz w:val="28"/>
                <w:szCs w:val="28"/>
                <w:lang w:val="en-US"/>
              </w:rPr>
              <w:t>Global Innovation Index</w:t>
            </w:r>
          </w:p>
        </w:tc>
      </w:tr>
      <w:tr w:rsidR="00477AA9" w:rsidRPr="00244343" w14:paraId="622356F7" w14:textId="77777777" w:rsidTr="004E5D21">
        <w:tc>
          <w:tcPr>
            <w:tcW w:w="1383" w:type="dxa"/>
          </w:tcPr>
          <w:p w14:paraId="6951A809" w14:textId="75B018F1" w:rsidR="00477AA9" w:rsidRPr="00244343" w:rsidRDefault="00477AA9" w:rsidP="004524BE">
            <w:pPr>
              <w:jc w:val="both"/>
              <w:rPr>
                <w:rFonts w:ascii="Times New Roman" w:hAnsi="Times New Roman"/>
                <w:sz w:val="28"/>
                <w:szCs w:val="28"/>
                <w:lang w:val="en-US"/>
              </w:rPr>
            </w:pPr>
            <w:r w:rsidRPr="00477AA9">
              <w:rPr>
                <w:rFonts w:ascii="Times New Roman" w:hAnsi="Times New Roman" w:cs="Times New Roman"/>
                <w:sz w:val="28"/>
                <w:szCs w:val="28"/>
                <w:lang w:val="en-US"/>
              </w:rPr>
              <w:t xml:space="preserve">WIPO          </w:t>
            </w:r>
          </w:p>
        </w:tc>
        <w:tc>
          <w:tcPr>
            <w:tcW w:w="7826" w:type="dxa"/>
          </w:tcPr>
          <w:p w14:paraId="7CA85DCC" w14:textId="7FB9D513" w:rsidR="00477AA9" w:rsidRPr="00477AA9" w:rsidRDefault="00477AA9" w:rsidP="00477AA9">
            <w:pPr>
              <w:rPr>
                <w:rFonts w:ascii="Times New Roman" w:hAnsi="Times New Roman" w:cs="Times New Roman"/>
                <w:sz w:val="28"/>
                <w:szCs w:val="28"/>
                <w:lang w:val="en-US"/>
              </w:rPr>
            </w:pPr>
            <w:r w:rsidRPr="00477AA9">
              <w:rPr>
                <w:rFonts w:ascii="Times New Roman" w:hAnsi="Times New Roman" w:cs="Times New Roman"/>
                <w:sz w:val="28"/>
                <w:szCs w:val="28"/>
                <w:lang w:val="en-US"/>
              </w:rPr>
              <w:t>World Intellectual Property Organization</w:t>
            </w:r>
          </w:p>
        </w:tc>
      </w:tr>
      <w:tr w:rsidR="00477AA9" w:rsidRPr="00244343" w14:paraId="1220C24C" w14:textId="77777777" w:rsidTr="004E5D21">
        <w:tc>
          <w:tcPr>
            <w:tcW w:w="1383" w:type="dxa"/>
          </w:tcPr>
          <w:p w14:paraId="00CC2550" w14:textId="64843989" w:rsidR="00477AA9" w:rsidRPr="00244343" w:rsidRDefault="00477AA9" w:rsidP="004524BE">
            <w:pPr>
              <w:jc w:val="both"/>
              <w:rPr>
                <w:rFonts w:ascii="Times New Roman" w:hAnsi="Times New Roman"/>
                <w:sz w:val="28"/>
                <w:szCs w:val="28"/>
                <w:lang w:val="en-US"/>
              </w:rPr>
            </w:pPr>
            <w:r w:rsidRPr="00477AA9">
              <w:rPr>
                <w:rFonts w:ascii="Times New Roman" w:hAnsi="Times New Roman" w:cs="Times New Roman"/>
                <w:sz w:val="28"/>
                <w:szCs w:val="28"/>
                <w:lang w:val="en-US"/>
              </w:rPr>
              <w:t xml:space="preserve">STC             </w:t>
            </w:r>
          </w:p>
        </w:tc>
        <w:tc>
          <w:tcPr>
            <w:tcW w:w="7826" w:type="dxa"/>
          </w:tcPr>
          <w:p w14:paraId="32C030E6" w14:textId="7F4703DB" w:rsidR="00477AA9" w:rsidRPr="00477AA9" w:rsidRDefault="00477AA9" w:rsidP="00477AA9">
            <w:pPr>
              <w:rPr>
                <w:rFonts w:ascii="Times New Roman" w:hAnsi="Times New Roman" w:cs="Times New Roman"/>
                <w:sz w:val="28"/>
                <w:szCs w:val="28"/>
                <w:lang w:val="en-US"/>
              </w:rPr>
            </w:pPr>
            <w:r w:rsidRPr="00477AA9">
              <w:rPr>
                <w:rFonts w:ascii="Times New Roman" w:hAnsi="Times New Roman" w:cs="Times New Roman"/>
                <w:sz w:val="28"/>
                <w:szCs w:val="28"/>
                <w:lang w:val="en-US"/>
              </w:rPr>
              <w:t>Science and Technology cluster</w:t>
            </w:r>
          </w:p>
        </w:tc>
      </w:tr>
      <w:tr w:rsidR="00477AA9" w:rsidRPr="00244343" w14:paraId="30F32B39" w14:textId="77777777" w:rsidTr="004E5D21">
        <w:tc>
          <w:tcPr>
            <w:tcW w:w="1383" w:type="dxa"/>
          </w:tcPr>
          <w:p w14:paraId="0DCA9B51" w14:textId="2F26D1AF" w:rsidR="00477AA9" w:rsidRPr="00244343" w:rsidRDefault="00477AA9" w:rsidP="004524BE">
            <w:pPr>
              <w:jc w:val="both"/>
              <w:rPr>
                <w:rFonts w:ascii="Times New Roman" w:hAnsi="Times New Roman"/>
                <w:sz w:val="28"/>
                <w:szCs w:val="28"/>
                <w:lang w:val="en-US"/>
              </w:rPr>
            </w:pPr>
            <w:r w:rsidRPr="00477AA9">
              <w:rPr>
                <w:rFonts w:ascii="Times New Roman" w:hAnsi="Times New Roman" w:cs="Times New Roman"/>
                <w:sz w:val="28"/>
                <w:szCs w:val="28"/>
                <w:lang w:val="en-US"/>
              </w:rPr>
              <w:t xml:space="preserve">HEI              </w:t>
            </w:r>
          </w:p>
        </w:tc>
        <w:tc>
          <w:tcPr>
            <w:tcW w:w="7826" w:type="dxa"/>
          </w:tcPr>
          <w:p w14:paraId="30B52903" w14:textId="7D9CFE35" w:rsidR="00477AA9" w:rsidRPr="00477AA9" w:rsidRDefault="00477AA9" w:rsidP="00477AA9">
            <w:pPr>
              <w:rPr>
                <w:rFonts w:ascii="Times New Roman" w:hAnsi="Times New Roman" w:cs="Times New Roman"/>
                <w:sz w:val="28"/>
                <w:szCs w:val="28"/>
                <w:lang w:val="en-US"/>
              </w:rPr>
            </w:pPr>
            <w:r w:rsidRPr="00477AA9">
              <w:rPr>
                <w:rFonts w:ascii="Times New Roman" w:hAnsi="Times New Roman" w:cs="Times New Roman"/>
                <w:sz w:val="28"/>
                <w:szCs w:val="28"/>
                <w:lang w:val="en-US"/>
              </w:rPr>
              <w:t xml:space="preserve">Higher Education Institution </w:t>
            </w:r>
          </w:p>
        </w:tc>
      </w:tr>
      <w:tr w:rsidR="00477AA9" w:rsidRPr="000E0481" w14:paraId="31EB1B24" w14:textId="77777777" w:rsidTr="004E5D21">
        <w:tc>
          <w:tcPr>
            <w:tcW w:w="1383" w:type="dxa"/>
          </w:tcPr>
          <w:p w14:paraId="7BCE04B4" w14:textId="5B95364D" w:rsidR="00477AA9" w:rsidRPr="00244343" w:rsidRDefault="00477AA9" w:rsidP="004524BE">
            <w:pPr>
              <w:jc w:val="both"/>
              <w:rPr>
                <w:rFonts w:ascii="Times New Roman" w:hAnsi="Times New Roman"/>
                <w:sz w:val="28"/>
                <w:szCs w:val="28"/>
                <w:lang w:val="en-US"/>
              </w:rPr>
            </w:pPr>
            <w:r w:rsidRPr="00477AA9">
              <w:rPr>
                <w:rFonts w:ascii="Times New Roman" w:hAnsi="Times New Roman" w:cs="Times New Roman"/>
                <w:sz w:val="28"/>
                <w:szCs w:val="28"/>
                <w:lang w:val="en-US"/>
              </w:rPr>
              <w:t xml:space="preserve">GUESSS     </w:t>
            </w:r>
          </w:p>
        </w:tc>
        <w:tc>
          <w:tcPr>
            <w:tcW w:w="7826" w:type="dxa"/>
          </w:tcPr>
          <w:p w14:paraId="29977187" w14:textId="06511299" w:rsidR="00477AA9" w:rsidRPr="00477AA9" w:rsidRDefault="00477AA9" w:rsidP="00477AA9">
            <w:pPr>
              <w:rPr>
                <w:rFonts w:ascii="Times New Roman" w:hAnsi="Times New Roman" w:cs="Times New Roman"/>
                <w:sz w:val="28"/>
                <w:szCs w:val="28"/>
                <w:lang w:val="en-US"/>
              </w:rPr>
            </w:pPr>
            <w:r w:rsidRPr="00477AA9">
              <w:rPr>
                <w:rFonts w:ascii="Times New Roman" w:hAnsi="Times New Roman" w:cs="Times New Roman"/>
                <w:sz w:val="28"/>
                <w:szCs w:val="28"/>
                <w:lang w:val="en-US"/>
              </w:rPr>
              <w:t>Global University Entrepreneurial Spirit Students` Survey</w:t>
            </w:r>
          </w:p>
        </w:tc>
      </w:tr>
      <w:tr w:rsidR="00477AA9" w:rsidRPr="00477AA9" w14:paraId="3291F2E3" w14:textId="77777777" w:rsidTr="004E5D21">
        <w:tc>
          <w:tcPr>
            <w:tcW w:w="1383" w:type="dxa"/>
          </w:tcPr>
          <w:p w14:paraId="06D062F8" w14:textId="381AF993" w:rsidR="00477AA9" w:rsidRPr="00477AA9" w:rsidRDefault="00477AA9" w:rsidP="004524BE">
            <w:pPr>
              <w:jc w:val="both"/>
              <w:rPr>
                <w:rFonts w:ascii="Times New Roman" w:hAnsi="Times New Roman" w:cs="Times New Roman"/>
                <w:sz w:val="28"/>
                <w:szCs w:val="28"/>
                <w:lang w:val="en-US"/>
              </w:rPr>
            </w:pPr>
            <w:r w:rsidRPr="00477AA9">
              <w:rPr>
                <w:rFonts w:ascii="Times New Roman" w:hAnsi="Times New Roman" w:cs="Times New Roman"/>
                <w:sz w:val="28"/>
                <w:szCs w:val="28"/>
                <w:lang w:val="en-US"/>
              </w:rPr>
              <w:t xml:space="preserve">TTO            </w:t>
            </w:r>
          </w:p>
        </w:tc>
        <w:tc>
          <w:tcPr>
            <w:tcW w:w="7826" w:type="dxa"/>
          </w:tcPr>
          <w:p w14:paraId="03717494" w14:textId="7DE55B42" w:rsidR="00477AA9" w:rsidRPr="00477AA9" w:rsidRDefault="00477AA9" w:rsidP="00477AA9">
            <w:pPr>
              <w:rPr>
                <w:rFonts w:ascii="Times New Roman" w:hAnsi="Times New Roman" w:cs="Times New Roman"/>
                <w:sz w:val="28"/>
                <w:szCs w:val="28"/>
                <w:lang w:val="en-US"/>
              </w:rPr>
            </w:pPr>
            <w:r w:rsidRPr="00477AA9">
              <w:rPr>
                <w:rFonts w:ascii="Times New Roman" w:hAnsi="Times New Roman" w:cs="Times New Roman"/>
                <w:sz w:val="28"/>
                <w:szCs w:val="28"/>
                <w:lang w:val="en-US"/>
              </w:rPr>
              <w:t>Technology transfer office</w:t>
            </w:r>
          </w:p>
        </w:tc>
      </w:tr>
      <w:tr w:rsidR="00477AA9" w:rsidRPr="00477AA9" w14:paraId="79310421" w14:textId="77777777" w:rsidTr="004E5D21">
        <w:tc>
          <w:tcPr>
            <w:tcW w:w="1383" w:type="dxa"/>
          </w:tcPr>
          <w:p w14:paraId="241FACE2" w14:textId="408FF605" w:rsidR="00477AA9" w:rsidRPr="00477AA9" w:rsidRDefault="00477AA9" w:rsidP="004524BE">
            <w:pPr>
              <w:jc w:val="both"/>
              <w:rPr>
                <w:rFonts w:ascii="Times New Roman" w:hAnsi="Times New Roman" w:cs="Times New Roman"/>
                <w:sz w:val="28"/>
                <w:szCs w:val="28"/>
                <w:lang w:val="en-US"/>
              </w:rPr>
            </w:pPr>
            <w:r w:rsidRPr="00477AA9">
              <w:rPr>
                <w:rFonts w:ascii="Times New Roman" w:hAnsi="Times New Roman" w:cs="Times New Roman"/>
                <w:sz w:val="28"/>
                <w:szCs w:val="28"/>
                <w:lang w:val="en-US"/>
              </w:rPr>
              <w:t xml:space="preserve">AI                </w:t>
            </w:r>
          </w:p>
        </w:tc>
        <w:tc>
          <w:tcPr>
            <w:tcW w:w="7826" w:type="dxa"/>
          </w:tcPr>
          <w:p w14:paraId="6E381957" w14:textId="6DDDE73E" w:rsidR="00477AA9" w:rsidRPr="00477AA9" w:rsidRDefault="00477AA9" w:rsidP="00477AA9">
            <w:pPr>
              <w:rPr>
                <w:rFonts w:ascii="Times New Roman" w:hAnsi="Times New Roman" w:cs="Times New Roman"/>
                <w:sz w:val="28"/>
                <w:szCs w:val="28"/>
                <w:lang w:val="en-US"/>
              </w:rPr>
            </w:pPr>
            <w:r w:rsidRPr="00477AA9">
              <w:rPr>
                <w:rFonts w:ascii="Times New Roman" w:hAnsi="Times New Roman" w:cs="Times New Roman"/>
                <w:sz w:val="28"/>
                <w:szCs w:val="28"/>
                <w:lang w:val="en-US"/>
              </w:rPr>
              <w:t>Artificial Intelligence</w:t>
            </w:r>
          </w:p>
        </w:tc>
      </w:tr>
    </w:tbl>
    <w:p w14:paraId="24DF4F01" w14:textId="74FD3606" w:rsidR="00600C79" w:rsidRDefault="00600C79" w:rsidP="00600C79">
      <w:pPr>
        <w:spacing w:after="0" w:line="240" w:lineRule="auto"/>
        <w:rPr>
          <w:rFonts w:ascii="Times New Roman" w:hAnsi="Times New Roman" w:cs="Times New Roman"/>
          <w:sz w:val="28"/>
          <w:szCs w:val="28"/>
          <w:lang w:val="en-US"/>
        </w:rPr>
      </w:pPr>
    </w:p>
    <w:p w14:paraId="310E71CD" w14:textId="1230956D" w:rsidR="00477AA9" w:rsidRDefault="00477AA9" w:rsidP="00600C79">
      <w:pPr>
        <w:spacing w:after="0" w:line="240" w:lineRule="auto"/>
        <w:rPr>
          <w:rFonts w:ascii="Times New Roman" w:hAnsi="Times New Roman" w:cs="Times New Roman"/>
          <w:sz w:val="28"/>
          <w:szCs w:val="28"/>
          <w:lang w:val="en-US"/>
        </w:rPr>
      </w:pPr>
    </w:p>
    <w:p w14:paraId="6CE122CE" w14:textId="1401191F" w:rsidR="00477AA9" w:rsidRDefault="00477AA9" w:rsidP="00600C79">
      <w:pPr>
        <w:spacing w:after="0" w:line="240" w:lineRule="auto"/>
        <w:rPr>
          <w:rFonts w:ascii="Times New Roman" w:hAnsi="Times New Roman" w:cs="Times New Roman"/>
          <w:sz w:val="28"/>
          <w:szCs w:val="28"/>
          <w:lang w:val="en-US"/>
        </w:rPr>
      </w:pPr>
    </w:p>
    <w:p w14:paraId="092D7D7A" w14:textId="3133622D" w:rsidR="00477AA9" w:rsidRDefault="00477AA9" w:rsidP="00600C79">
      <w:pPr>
        <w:spacing w:after="0" w:line="240" w:lineRule="auto"/>
        <w:rPr>
          <w:rFonts w:ascii="Times New Roman" w:hAnsi="Times New Roman" w:cs="Times New Roman"/>
          <w:sz w:val="28"/>
          <w:szCs w:val="28"/>
          <w:lang w:val="en-US"/>
        </w:rPr>
      </w:pPr>
    </w:p>
    <w:p w14:paraId="1B4A1C4F" w14:textId="052CD2E0" w:rsidR="00477AA9" w:rsidRDefault="00477AA9" w:rsidP="00600C79">
      <w:pPr>
        <w:spacing w:after="0" w:line="240" w:lineRule="auto"/>
        <w:rPr>
          <w:rFonts w:ascii="Times New Roman" w:hAnsi="Times New Roman" w:cs="Times New Roman"/>
          <w:sz w:val="28"/>
          <w:szCs w:val="28"/>
          <w:lang w:val="en-US"/>
        </w:rPr>
      </w:pPr>
    </w:p>
    <w:p w14:paraId="23A29C7D" w14:textId="305A3B55" w:rsidR="00477AA9" w:rsidRDefault="00477AA9" w:rsidP="00600C79">
      <w:pPr>
        <w:spacing w:after="0" w:line="240" w:lineRule="auto"/>
        <w:rPr>
          <w:rFonts w:ascii="Times New Roman" w:hAnsi="Times New Roman" w:cs="Times New Roman"/>
          <w:sz w:val="28"/>
          <w:szCs w:val="28"/>
          <w:lang w:val="en-US"/>
        </w:rPr>
      </w:pPr>
    </w:p>
    <w:p w14:paraId="10A2F024" w14:textId="77777777" w:rsidR="00477AA9" w:rsidRPr="00244343" w:rsidRDefault="00477AA9" w:rsidP="00600C79">
      <w:pPr>
        <w:spacing w:after="0" w:line="240" w:lineRule="auto"/>
        <w:rPr>
          <w:rFonts w:ascii="Times New Roman" w:hAnsi="Times New Roman" w:cs="Times New Roman"/>
          <w:sz w:val="28"/>
          <w:szCs w:val="28"/>
          <w:lang w:val="en-US"/>
        </w:rPr>
      </w:pPr>
    </w:p>
    <w:p w14:paraId="166C8ECB" w14:textId="0AB664EC" w:rsidR="00477AA9" w:rsidRDefault="00477AA9" w:rsidP="00477AA9">
      <w:pPr>
        <w:spacing w:after="0" w:line="240" w:lineRule="auto"/>
        <w:ind w:firstLine="567"/>
        <w:rPr>
          <w:rFonts w:ascii="Times New Roman" w:hAnsi="Times New Roman" w:cs="Times New Roman"/>
          <w:sz w:val="28"/>
          <w:szCs w:val="28"/>
          <w:lang w:val="en-US"/>
        </w:rPr>
      </w:pPr>
    </w:p>
    <w:p w14:paraId="124A5E52" w14:textId="77777777" w:rsidR="004E5D21" w:rsidRPr="00244343" w:rsidRDefault="004E5D21" w:rsidP="00477AA9">
      <w:pPr>
        <w:spacing w:after="0" w:line="240" w:lineRule="auto"/>
        <w:ind w:firstLine="567"/>
        <w:rPr>
          <w:rFonts w:ascii="Times New Roman" w:hAnsi="Times New Roman" w:cs="Times New Roman"/>
          <w:sz w:val="28"/>
          <w:szCs w:val="28"/>
          <w:lang w:val="en-US"/>
        </w:rPr>
      </w:pPr>
    </w:p>
    <w:p w14:paraId="6F4CAADB" w14:textId="0B9FB2B4" w:rsidR="00600C79" w:rsidRDefault="00600C79" w:rsidP="004A56DC">
      <w:pPr>
        <w:spacing w:after="0" w:line="240" w:lineRule="auto"/>
        <w:contextualSpacing/>
        <w:jc w:val="center"/>
        <w:rPr>
          <w:rFonts w:ascii="Times New Roman" w:hAnsi="Times New Roman" w:cs="Times New Roman"/>
          <w:b/>
          <w:bCs/>
          <w:sz w:val="28"/>
          <w:szCs w:val="28"/>
          <w:lang w:val="en-US"/>
        </w:rPr>
      </w:pPr>
      <w:r w:rsidRPr="00244343">
        <w:rPr>
          <w:rFonts w:ascii="Times New Roman" w:hAnsi="Times New Roman" w:cs="Times New Roman"/>
          <w:b/>
          <w:bCs/>
          <w:sz w:val="28"/>
          <w:szCs w:val="28"/>
          <w:lang w:val="en-US"/>
        </w:rPr>
        <w:lastRenderedPageBreak/>
        <w:t>INTRODUCTION</w:t>
      </w:r>
    </w:p>
    <w:p w14:paraId="08975B71" w14:textId="77777777" w:rsidR="00600C79" w:rsidRDefault="00600C79" w:rsidP="00600C79">
      <w:pPr>
        <w:spacing w:after="0" w:line="240" w:lineRule="auto"/>
        <w:ind w:firstLine="720"/>
        <w:contextualSpacing/>
        <w:jc w:val="both"/>
        <w:rPr>
          <w:rFonts w:ascii="Times New Roman" w:hAnsi="Times New Roman" w:cs="Times New Roman"/>
          <w:b/>
          <w:bCs/>
          <w:sz w:val="28"/>
          <w:szCs w:val="28"/>
          <w:lang w:val="en-US"/>
        </w:rPr>
      </w:pPr>
    </w:p>
    <w:p w14:paraId="07F86105" w14:textId="15E91572" w:rsidR="00600C79" w:rsidRDefault="00600C79" w:rsidP="003E6682">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b/>
          <w:bCs/>
          <w:sz w:val="28"/>
          <w:szCs w:val="28"/>
          <w:lang w:val="en-US"/>
        </w:rPr>
        <w:t>The significance of the study.</w:t>
      </w:r>
      <w:bookmarkStart w:id="5" w:name="_Hlk190766999"/>
      <w:r w:rsidR="003E6682">
        <w:rPr>
          <w:rFonts w:ascii="Times New Roman" w:hAnsi="Times New Roman" w:cs="Times New Roman"/>
          <w:sz w:val="28"/>
          <w:szCs w:val="28"/>
          <w:lang w:val="kk-KZ"/>
        </w:rPr>
        <w:t xml:space="preserve"> </w:t>
      </w:r>
      <w:r w:rsidRPr="00726CDF">
        <w:rPr>
          <w:rFonts w:ascii="Times New Roman" w:hAnsi="Times New Roman" w:cs="Times New Roman"/>
          <w:sz w:val="28"/>
          <w:szCs w:val="28"/>
          <w:lang w:val="en-US"/>
        </w:rPr>
        <w:t>In the Triple Helix concept, collaboration between the government, universities, and businesses plays a vital role in governing innovation and shaping an effective innovation ecosystem at national and regional levels. The Triple Helix (TH) methodology provides a framework for assessing the functioning of the innovation ecosystem as an outcome of the interaction among these three institutional spheres.</w:t>
      </w:r>
      <w:r>
        <w:rPr>
          <w:rFonts w:ascii="Times New Roman" w:hAnsi="Times New Roman" w:cs="Times New Roman"/>
          <w:sz w:val="28"/>
          <w:szCs w:val="28"/>
          <w:lang w:val="en-US"/>
        </w:rPr>
        <w:t xml:space="preserve"> </w:t>
      </w:r>
    </w:p>
    <w:p w14:paraId="1969F052" w14:textId="77777777" w:rsidR="00FA090A" w:rsidRDefault="00600C79" w:rsidP="00600C79">
      <w:pPr>
        <w:spacing w:after="0" w:line="240" w:lineRule="auto"/>
        <w:ind w:firstLine="720"/>
        <w:contextualSpacing/>
        <w:jc w:val="both"/>
        <w:rPr>
          <w:rFonts w:ascii="Times New Roman" w:hAnsi="Times New Roman" w:cs="Times New Roman"/>
          <w:sz w:val="28"/>
          <w:szCs w:val="28"/>
          <w:lang w:val="en-US"/>
        </w:rPr>
      </w:pPr>
      <w:r w:rsidRPr="00726CDF">
        <w:rPr>
          <w:rFonts w:ascii="Times New Roman" w:hAnsi="Times New Roman" w:cs="Times New Roman"/>
          <w:sz w:val="28"/>
          <w:szCs w:val="28"/>
          <w:lang w:val="en-US"/>
        </w:rPr>
        <w:t>One of the most authoritative rankings for assessing the innovation ecosystem at both the global and national levels is the Global Innovation Index (GII), published by the World Intellectual Property Organization (WIPO). The GII 2024 Global Innovation Tracker highlights the dynamics of technological innovation adoption. At the same time, it is noted that, despite the positive socio-economic impact of innovation on a global scale, the leading positions are held by countries with a well-developed innovation ecosystem that enables them to leverage opportunities for entrepreneurial development and economic growth driven by innovation.</w:t>
      </w:r>
      <w:r>
        <w:rPr>
          <w:rFonts w:ascii="Times New Roman" w:hAnsi="Times New Roman" w:cs="Times New Roman"/>
          <w:sz w:val="28"/>
          <w:szCs w:val="28"/>
          <w:lang w:val="en-US"/>
        </w:rPr>
        <w:t xml:space="preserve"> </w:t>
      </w:r>
    </w:p>
    <w:p w14:paraId="5EAEA7D3" w14:textId="7E6C3CEB" w:rsidR="00600C79" w:rsidRDefault="00600C79" w:rsidP="00600C79">
      <w:pPr>
        <w:spacing w:after="0" w:line="240" w:lineRule="auto"/>
        <w:ind w:firstLine="720"/>
        <w:contextualSpacing/>
        <w:jc w:val="both"/>
        <w:rPr>
          <w:rFonts w:ascii="Times New Roman" w:hAnsi="Times New Roman" w:cs="Times New Roman"/>
          <w:sz w:val="28"/>
          <w:szCs w:val="28"/>
          <w:lang w:val="en-US"/>
        </w:rPr>
      </w:pPr>
      <w:r w:rsidRPr="00726CDF">
        <w:rPr>
          <w:rFonts w:ascii="Times New Roman" w:hAnsi="Times New Roman" w:cs="Times New Roman"/>
          <w:sz w:val="28"/>
          <w:szCs w:val="28"/>
          <w:lang w:val="en-US"/>
        </w:rPr>
        <w:t>Additionally, the Global Innovation Index (GII) reports include a ranking of the world's top 100 science and technology clusters (STCs), highlighting their significant contribution to the development of national innovation systems (NIS). The five largest STCs globally are located in East Asia: Tokyo-Yokohama (Japan), Shenzhen-Hong Kong-Guangzhou (China and Hong Kong, China), Beijing (China), Seoul (Republic of Korea), and Shanghai-Suzhou (China). It is highlighted that within these clusters, collaboration between universities and businesses plays a key role in fostering innovation and enhancing the competitiveness of national economies.</w:t>
      </w:r>
      <w:r>
        <w:rPr>
          <w:rFonts w:ascii="Times New Roman" w:hAnsi="Times New Roman" w:cs="Times New Roman"/>
          <w:sz w:val="28"/>
          <w:szCs w:val="28"/>
          <w:lang w:val="en-US"/>
        </w:rPr>
        <w:t xml:space="preserve"> </w:t>
      </w:r>
    </w:p>
    <w:p w14:paraId="6D692D88" w14:textId="77777777" w:rsidR="00600C79" w:rsidRDefault="00600C79" w:rsidP="00600C79">
      <w:pPr>
        <w:spacing w:after="0" w:line="240" w:lineRule="auto"/>
        <w:ind w:firstLine="720"/>
        <w:contextualSpacing/>
        <w:jc w:val="both"/>
        <w:rPr>
          <w:rFonts w:ascii="Times New Roman" w:hAnsi="Times New Roman" w:cs="Times New Roman"/>
          <w:sz w:val="28"/>
          <w:szCs w:val="28"/>
          <w:lang w:val="en-US"/>
        </w:rPr>
      </w:pPr>
      <w:r w:rsidRPr="00726CDF">
        <w:rPr>
          <w:rFonts w:ascii="Times New Roman" w:hAnsi="Times New Roman" w:cs="Times New Roman"/>
          <w:sz w:val="28"/>
          <w:szCs w:val="28"/>
          <w:lang w:val="en-US"/>
        </w:rPr>
        <w:t xml:space="preserve">In the modern context, universities are increasingly expected to take an active role in </w:t>
      </w:r>
      <w:proofErr w:type="spellStart"/>
      <w:r w:rsidRPr="00726CDF">
        <w:rPr>
          <w:rFonts w:ascii="Times New Roman" w:hAnsi="Times New Roman" w:cs="Times New Roman"/>
          <w:sz w:val="28"/>
          <w:szCs w:val="28"/>
          <w:lang w:val="en-US"/>
        </w:rPr>
        <w:t>commercialising</w:t>
      </w:r>
      <w:proofErr w:type="spellEnd"/>
      <w:r w:rsidRPr="00726CDF">
        <w:rPr>
          <w:rFonts w:ascii="Times New Roman" w:hAnsi="Times New Roman" w:cs="Times New Roman"/>
          <w:sz w:val="28"/>
          <w:szCs w:val="28"/>
          <w:lang w:val="en-US"/>
        </w:rPr>
        <w:t xml:space="preserve"> scientific research and developing technology entrepreneurship. The experience of technologically advanced countries demonstrates that implementing the Triple Helix model facilitates the transformation of universities into entrepreneurial and innovation-driven institutions through close collaboration with businesses and government.</w:t>
      </w:r>
      <w:r>
        <w:rPr>
          <w:rFonts w:ascii="Times New Roman" w:hAnsi="Times New Roman" w:cs="Times New Roman"/>
          <w:sz w:val="28"/>
          <w:szCs w:val="28"/>
          <w:lang w:val="en-US"/>
        </w:rPr>
        <w:t xml:space="preserve"> </w:t>
      </w:r>
    </w:p>
    <w:p w14:paraId="7704991D" w14:textId="77777777" w:rsidR="00600C79" w:rsidRDefault="00600C79" w:rsidP="00600C79">
      <w:pPr>
        <w:spacing w:after="0" w:line="240" w:lineRule="auto"/>
        <w:ind w:firstLine="720"/>
        <w:contextualSpacing/>
        <w:jc w:val="both"/>
        <w:rPr>
          <w:rFonts w:ascii="Times New Roman" w:hAnsi="Times New Roman" w:cs="Times New Roman"/>
          <w:sz w:val="28"/>
          <w:szCs w:val="28"/>
          <w:lang w:val="en-US"/>
        </w:rPr>
      </w:pPr>
      <w:r w:rsidRPr="00726CDF">
        <w:rPr>
          <w:rFonts w:ascii="Times New Roman" w:hAnsi="Times New Roman" w:cs="Times New Roman"/>
          <w:sz w:val="28"/>
          <w:szCs w:val="28"/>
          <w:lang w:val="en-US"/>
        </w:rPr>
        <w:t xml:space="preserve">The </w:t>
      </w:r>
      <w:r>
        <w:rPr>
          <w:rFonts w:ascii="Times New Roman" w:hAnsi="Times New Roman" w:cs="Times New Roman"/>
          <w:sz w:val="28"/>
          <w:szCs w:val="28"/>
          <w:lang w:val="en-US"/>
        </w:rPr>
        <w:t>“</w:t>
      </w:r>
      <w:r w:rsidRPr="00726CDF">
        <w:rPr>
          <w:rFonts w:ascii="Times New Roman" w:hAnsi="Times New Roman" w:cs="Times New Roman"/>
          <w:sz w:val="28"/>
          <w:szCs w:val="28"/>
          <w:lang w:val="en-US"/>
        </w:rPr>
        <w:t>Concept for the Development of Higher Education and Science in the Republic of Kazakhstan for 2023–2029</w:t>
      </w:r>
      <w:r>
        <w:rPr>
          <w:rFonts w:ascii="Times New Roman" w:hAnsi="Times New Roman" w:cs="Times New Roman"/>
          <w:sz w:val="28"/>
          <w:szCs w:val="28"/>
          <w:lang w:val="en-US"/>
        </w:rPr>
        <w:t>”</w:t>
      </w:r>
      <w:r w:rsidRPr="00726CDF">
        <w:rPr>
          <w:rFonts w:ascii="Times New Roman" w:hAnsi="Times New Roman" w:cs="Times New Roman"/>
          <w:sz w:val="28"/>
          <w:szCs w:val="28"/>
          <w:lang w:val="en-US"/>
        </w:rPr>
        <w:t xml:space="preserve"> emphasizes the Triple Helix model's importance in fostering innovation and enhancing the country's competitiveness</w:t>
      </w:r>
      <w:r>
        <w:rPr>
          <w:rFonts w:ascii="Times New Roman" w:hAnsi="Times New Roman" w:cs="Times New Roman"/>
          <w:sz w:val="28"/>
          <w:szCs w:val="28"/>
          <w:lang w:val="en-US"/>
        </w:rPr>
        <w:t xml:space="preserve"> [1]</w:t>
      </w:r>
      <w:r w:rsidRPr="00726CDF">
        <w:rPr>
          <w:rFonts w:ascii="Times New Roman" w:hAnsi="Times New Roman" w:cs="Times New Roman"/>
          <w:sz w:val="28"/>
          <w:szCs w:val="28"/>
          <w:lang w:val="en-US"/>
        </w:rPr>
        <w:t>.</w:t>
      </w:r>
    </w:p>
    <w:p w14:paraId="0672DE28" w14:textId="77777777" w:rsidR="00600C79" w:rsidRDefault="00600C79" w:rsidP="00600C79">
      <w:pPr>
        <w:spacing w:after="0" w:line="240" w:lineRule="auto"/>
        <w:ind w:firstLine="720"/>
        <w:contextualSpacing/>
        <w:jc w:val="both"/>
        <w:rPr>
          <w:rFonts w:ascii="Times New Roman" w:hAnsi="Times New Roman" w:cs="Times New Roman"/>
          <w:sz w:val="28"/>
          <w:szCs w:val="28"/>
          <w:lang w:val="en-US"/>
        </w:rPr>
      </w:pPr>
      <w:r w:rsidRPr="00726CDF">
        <w:rPr>
          <w:rFonts w:ascii="Times New Roman" w:hAnsi="Times New Roman" w:cs="Times New Roman"/>
          <w:sz w:val="28"/>
          <w:szCs w:val="28"/>
          <w:lang w:val="en-US"/>
        </w:rPr>
        <w:t>Kazakhstan's Global Innovation Index (GII) country ranking for 2018–2023 reflects a low level of innovation, characterized by weak university-industry collaboration, the absence of effective innovation management strategies, a limited number of commercialized R&amp;D projects and patents, and gaps in scaling startups and high-tech enterprises.</w:t>
      </w:r>
      <w:r>
        <w:rPr>
          <w:rFonts w:ascii="Times New Roman" w:hAnsi="Times New Roman" w:cs="Times New Roman"/>
          <w:sz w:val="28"/>
          <w:szCs w:val="28"/>
          <w:lang w:val="en-US"/>
        </w:rPr>
        <w:t xml:space="preserve"> </w:t>
      </w:r>
    </w:p>
    <w:bookmarkEnd w:id="5"/>
    <w:p w14:paraId="7FC1584E"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B77E58">
        <w:rPr>
          <w:rFonts w:ascii="Times New Roman" w:hAnsi="Times New Roman" w:cs="Times New Roman"/>
          <w:sz w:val="28"/>
          <w:szCs w:val="28"/>
          <w:lang w:val="en-US"/>
        </w:rPr>
        <w:t xml:space="preserve">Effective innovation management is more of a mindset of creating innovative solutions within organizations. F. Drucker, a renowned figure in management and education, explained the concept of innovation via entrepreneurship and emphasized its significance. He argued that entrepreneurs are the individuals who drive </w:t>
      </w:r>
      <w:r w:rsidRPr="00B77E58">
        <w:rPr>
          <w:rFonts w:ascii="Times New Roman" w:hAnsi="Times New Roman" w:cs="Times New Roman"/>
          <w:sz w:val="28"/>
          <w:szCs w:val="28"/>
          <w:lang w:val="en-US"/>
        </w:rPr>
        <w:lastRenderedPageBreak/>
        <w:t>innovation. Recognition of opportunities and active pursuance constitute the essence of entrepreneurship [</w:t>
      </w:r>
      <w:r>
        <w:rPr>
          <w:rFonts w:ascii="Times New Roman" w:hAnsi="Times New Roman" w:cs="Times New Roman"/>
          <w:sz w:val="28"/>
          <w:szCs w:val="28"/>
          <w:lang w:val="en-US"/>
        </w:rPr>
        <w:t>2]</w:t>
      </w:r>
      <w:r w:rsidRPr="00B77E58">
        <w:rPr>
          <w:rFonts w:ascii="Times New Roman" w:hAnsi="Times New Roman" w:cs="Times New Roman"/>
          <w:sz w:val="28"/>
          <w:szCs w:val="28"/>
          <w:lang w:val="en-US"/>
        </w:rPr>
        <w:t>.</w:t>
      </w:r>
    </w:p>
    <w:p w14:paraId="376595E2" w14:textId="77777777" w:rsidR="00600C79" w:rsidRDefault="00600C79" w:rsidP="00600C79">
      <w:pPr>
        <w:spacing w:after="0" w:line="240" w:lineRule="auto"/>
        <w:ind w:firstLine="720"/>
        <w:contextualSpacing/>
        <w:jc w:val="both"/>
        <w:rPr>
          <w:rFonts w:ascii="Times New Roman" w:hAnsi="Times New Roman" w:cs="Times New Roman"/>
          <w:sz w:val="28"/>
          <w:szCs w:val="28"/>
          <w:lang w:val="en-US"/>
        </w:rPr>
      </w:pPr>
      <w:r w:rsidRPr="00AA5D6C">
        <w:rPr>
          <w:rFonts w:ascii="Times New Roman" w:hAnsi="Times New Roman" w:cs="Times New Roman"/>
          <w:sz w:val="28"/>
          <w:szCs w:val="28"/>
          <w:lang w:val="en-US"/>
        </w:rPr>
        <w:t>Thus, the challenges of innovation management in universities within the framework of the Triple Helix model have determined the relevance and choice of the dissertation research topic.</w:t>
      </w:r>
    </w:p>
    <w:p w14:paraId="4F33C828" w14:textId="77777777" w:rsidR="00600C79" w:rsidRPr="00AA5D6C" w:rsidRDefault="00600C79" w:rsidP="00600C79">
      <w:pPr>
        <w:spacing w:after="0" w:line="240" w:lineRule="auto"/>
        <w:ind w:firstLine="709"/>
        <w:contextualSpacing/>
        <w:jc w:val="both"/>
        <w:rPr>
          <w:rFonts w:ascii="Times New Roman" w:hAnsi="Times New Roman" w:cs="Times New Roman"/>
          <w:sz w:val="28"/>
          <w:szCs w:val="28"/>
          <w:lang w:val="en-US"/>
        </w:rPr>
      </w:pPr>
      <w:r w:rsidRPr="009E721B">
        <w:rPr>
          <w:rFonts w:ascii="Times New Roman" w:hAnsi="Times New Roman" w:cs="Times New Roman"/>
          <w:b/>
          <w:bCs/>
          <w:sz w:val="28"/>
          <w:szCs w:val="28"/>
          <w:lang w:val="en-US"/>
        </w:rPr>
        <w:t>Scientific development level</w:t>
      </w:r>
      <w:r w:rsidRPr="009E721B">
        <w:rPr>
          <w:rFonts w:ascii="Times New Roman" w:hAnsi="Times New Roman" w:cs="Times New Roman"/>
          <w:sz w:val="28"/>
          <w:szCs w:val="28"/>
          <w:lang w:val="en-US"/>
        </w:rPr>
        <w:t xml:space="preserve">: </w:t>
      </w:r>
      <w:r w:rsidRPr="00AA5D6C">
        <w:rPr>
          <w:rFonts w:ascii="Times New Roman" w:hAnsi="Times New Roman" w:cs="Times New Roman"/>
          <w:sz w:val="28"/>
          <w:szCs w:val="28"/>
          <w:lang w:val="en-US"/>
        </w:rPr>
        <w:t xml:space="preserve">The Triple Helix model of innovation, university-industry collaboration, and entrepreneurship are of interest both as a theoretical discourse and as a scientific-practical concept for innovation management. Topics such as innovation, innovation management, university-industry linkages, and the Triple Helix concept have been explored in the works of international scholars, including J.A. Schumpeter, K. Marx, J. Say, C. Freeman, Charles W. Low, E. </w:t>
      </w:r>
      <w:proofErr w:type="spellStart"/>
      <w:r w:rsidRPr="00AA5D6C">
        <w:rPr>
          <w:rFonts w:ascii="Times New Roman" w:hAnsi="Times New Roman" w:cs="Times New Roman"/>
          <w:sz w:val="28"/>
          <w:szCs w:val="28"/>
          <w:lang w:val="en-US"/>
        </w:rPr>
        <w:t>Carayannis</w:t>
      </w:r>
      <w:proofErr w:type="spellEnd"/>
      <w:r w:rsidRPr="00AA5D6C">
        <w:rPr>
          <w:rFonts w:ascii="Times New Roman" w:hAnsi="Times New Roman" w:cs="Times New Roman"/>
          <w:sz w:val="28"/>
          <w:szCs w:val="28"/>
          <w:lang w:val="en-US"/>
        </w:rPr>
        <w:t xml:space="preserve">, </w:t>
      </w:r>
      <w:proofErr w:type="spellStart"/>
      <w:r w:rsidRPr="00AA5D6C">
        <w:rPr>
          <w:rFonts w:ascii="Times New Roman" w:hAnsi="Times New Roman" w:cs="Times New Roman"/>
          <w:sz w:val="28"/>
          <w:szCs w:val="28"/>
          <w:lang w:val="en-US"/>
        </w:rPr>
        <w:t>Elpida</w:t>
      </w:r>
      <w:proofErr w:type="spellEnd"/>
      <w:r w:rsidRPr="00AA5D6C">
        <w:rPr>
          <w:rFonts w:ascii="Times New Roman" w:hAnsi="Times New Roman" w:cs="Times New Roman"/>
          <w:sz w:val="28"/>
          <w:szCs w:val="28"/>
          <w:lang w:val="en-US"/>
        </w:rPr>
        <w:t xml:space="preserve"> T. Samara, M. </w:t>
      </w:r>
      <w:proofErr w:type="spellStart"/>
      <w:r w:rsidRPr="00AA5D6C">
        <w:rPr>
          <w:rFonts w:ascii="Times New Roman" w:hAnsi="Times New Roman" w:cs="Times New Roman"/>
          <w:sz w:val="28"/>
          <w:szCs w:val="28"/>
          <w:lang w:val="en-US"/>
        </w:rPr>
        <w:t>Perkmann</w:t>
      </w:r>
      <w:proofErr w:type="spellEnd"/>
      <w:r w:rsidRPr="00AA5D6C">
        <w:rPr>
          <w:rFonts w:ascii="Times New Roman" w:hAnsi="Times New Roman" w:cs="Times New Roman"/>
          <w:sz w:val="28"/>
          <w:szCs w:val="28"/>
          <w:lang w:val="en-US"/>
        </w:rPr>
        <w:t xml:space="preserve">, K. Walsh, P. Drucker, J.R. Cooper, Henry </w:t>
      </w:r>
      <w:proofErr w:type="spellStart"/>
      <w:r w:rsidRPr="00AA5D6C">
        <w:rPr>
          <w:rFonts w:ascii="Times New Roman" w:hAnsi="Times New Roman" w:cs="Times New Roman"/>
          <w:sz w:val="28"/>
          <w:szCs w:val="28"/>
          <w:lang w:val="en-US"/>
        </w:rPr>
        <w:t>Etzkowitz</w:t>
      </w:r>
      <w:proofErr w:type="spellEnd"/>
      <w:r w:rsidRPr="00AA5D6C">
        <w:rPr>
          <w:rFonts w:ascii="Times New Roman" w:hAnsi="Times New Roman" w:cs="Times New Roman"/>
          <w:sz w:val="28"/>
          <w:szCs w:val="28"/>
          <w:lang w:val="en-US"/>
        </w:rPr>
        <w:t xml:space="preserve">, </w:t>
      </w:r>
      <w:proofErr w:type="spellStart"/>
      <w:r w:rsidRPr="00AA5D6C">
        <w:rPr>
          <w:rFonts w:ascii="Times New Roman" w:hAnsi="Times New Roman" w:cs="Times New Roman"/>
          <w:sz w:val="28"/>
          <w:szCs w:val="28"/>
          <w:lang w:val="en-US"/>
        </w:rPr>
        <w:t>Loet</w:t>
      </w:r>
      <w:proofErr w:type="spellEnd"/>
      <w:r w:rsidRPr="00AA5D6C">
        <w:rPr>
          <w:rFonts w:ascii="Times New Roman" w:hAnsi="Times New Roman" w:cs="Times New Roman"/>
          <w:sz w:val="28"/>
          <w:szCs w:val="28"/>
          <w:lang w:val="en-US"/>
        </w:rPr>
        <w:t xml:space="preserve"> </w:t>
      </w:r>
      <w:proofErr w:type="spellStart"/>
      <w:r w:rsidRPr="00AA5D6C">
        <w:rPr>
          <w:rFonts w:ascii="Times New Roman" w:hAnsi="Times New Roman" w:cs="Times New Roman"/>
          <w:sz w:val="28"/>
          <w:szCs w:val="28"/>
          <w:lang w:val="en-US"/>
        </w:rPr>
        <w:t>Leydesdorff</w:t>
      </w:r>
      <w:proofErr w:type="spellEnd"/>
      <w:r w:rsidRPr="00AA5D6C">
        <w:rPr>
          <w:rFonts w:ascii="Times New Roman" w:hAnsi="Times New Roman" w:cs="Times New Roman"/>
          <w:sz w:val="28"/>
          <w:szCs w:val="28"/>
          <w:lang w:val="en-US"/>
        </w:rPr>
        <w:t xml:space="preserve">, </w:t>
      </w:r>
      <w:proofErr w:type="spellStart"/>
      <w:r w:rsidRPr="00AA5D6C">
        <w:rPr>
          <w:rFonts w:ascii="Times New Roman" w:hAnsi="Times New Roman" w:cs="Times New Roman"/>
          <w:sz w:val="28"/>
          <w:szCs w:val="28"/>
          <w:lang w:val="en-US"/>
        </w:rPr>
        <w:t>Yuzhuo</w:t>
      </w:r>
      <w:proofErr w:type="spellEnd"/>
      <w:r w:rsidRPr="00AA5D6C">
        <w:rPr>
          <w:rFonts w:ascii="Times New Roman" w:hAnsi="Times New Roman" w:cs="Times New Roman"/>
          <w:sz w:val="28"/>
          <w:szCs w:val="28"/>
          <w:lang w:val="en-US"/>
        </w:rPr>
        <w:t xml:space="preserve"> Cai, </w:t>
      </w:r>
      <w:proofErr w:type="spellStart"/>
      <w:r w:rsidRPr="00AA5D6C">
        <w:rPr>
          <w:rFonts w:ascii="Times New Roman" w:hAnsi="Times New Roman" w:cs="Times New Roman"/>
          <w:sz w:val="28"/>
          <w:szCs w:val="28"/>
          <w:lang w:val="en-US"/>
        </w:rPr>
        <w:t>Josep</w:t>
      </w:r>
      <w:proofErr w:type="spellEnd"/>
      <w:r w:rsidRPr="00AA5D6C">
        <w:rPr>
          <w:rFonts w:ascii="Times New Roman" w:hAnsi="Times New Roman" w:cs="Times New Roman"/>
          <w:sz w:val="28"/>
          <w:szCs w:val="28"/>
          <w:lang w:val="en-US"/>
        </w:rPr>
        <w:t xml:space="preserve"> M. Piqué, M. Ranga, D. Shepherd, and T.V. </w:t>
      </w:r>
      <w:proofErr w:type="spellStart"/>
      <w:r w:rsidRPr="00AA5D6C">
        <w:rPr>
          <w:rFonts w:ascii="Times New Roman" w:hAnsi="Times New Roman" w:cs="Times New Roman"/>
          <w:sz w:val="28"/>
          <w:szCs w:val="28"/>
          <w:lang w:val="en-US"/>
        </w:rPr>
        <w:t>Pospelova</w:t>
      </w:r>
      <w:proofErr w:type="spellEnd"/>
      <w:r w:rsidRPr="00AA5D6C">
        <w:rPr>
          <w:rFonts w:ascii="Times New Roman" w:hAnsi="Times New Roman" w:cs="Times New Roman"/>
          <w:sz w:val="28"/>
          <w:szCs w:val="28"/>
          <w:lang w:val="en-US"/>
        </w:rPr>
        <w:t>.</w:t>
      </w:r>
    </w:p>
    <w:p w14:paraId="10928432" w14:textId="77777777" w:rsidR="00600C79" w:rsidRDefault="00600C79" w:rsidP="00600C79">
      <w:pPr>
        <w:spacing w:after="0" w:line="240" w:lineRule="auto"/>
        <w:ind w:firstLine="709"/>
        <w:contextualSpacing/>
        <w:jc w:val="both"/>
        <w:rPr>
          <w:rFonts w:ascii="Times New Roman" w:hAnsi="Times New Roman" w:cs="Times New Roman"/>
          <w:sz w:val="28"/>
          <w:szCs w:val="28"/>
          <w:lang w:val="en-US"/>
        </w:rPr>
      </w:pPr>
      <w:r w:rsidRPr="00AA5D6C">
        <w:rPr>
          <w:rFonts w:ascii="Times New Roman" w:hAnsi="Times New Roman" w:cs="Times New Roman"/>
          <w:sz w:val="28"/>
          <w:szCs w:val="28"/>
          <w:lang w:val="en-US"/>
        </w:rPr>
        <w:t xml:space="preserve">F. </w:t>
      </w:r>
      <w:proofErr w:type="spellStart"/>
      <w:r w:rsidRPr="00AA5D6C">
        <w:rPr>
          <w:rFonts w:ascii="Times New Roman" w:hAnsi="Times New Roman" w:cs="Times New Roman"/>
          <w:sz w:val="28"/>
          <w:szCs w:val="28"/>
          <w:lang w:val="en-US"/>
        </w:rPr>
        <w:t>Dnishev</w:t>
      </w:r>
      <w:proofErr w:type="spellEnd"/>
      <w:r w:rsidRPr="00AA5D6C">
        <w:rPr>
          <w:rFonts w:ascii="Times New Roman" w:hAnsi="Times New Roman" w:cs="Times New Roman"/>
          <w:sz w:val="28"/>
          <w:szCs w:val="28"/>
          <w:lang w:val="en-US"/>
        </w:rPr>
        <w:t xml:space="preserve">, </w:t>
      </w:r>
      <w:proofErr w:type="spellStart"/>
      <w:r w:rsidRPr="00AA5D6C">
        <w:rPr>
          <w:rFonts w:ascii="Times New Roman" w:hAnsi="Times New Roman" w:cs="Times New Roman"/>
          <w:sz w:val="28"/>
          <w:szCs w:val="28"/>
          <w:lang w:val="en-US"/>
        </w:rPr>
        <w:t>G.Zh</w:t>
      </w:r>
      <w:proofErr w:type="spellEnd"/>
      <w:r w:rsidRPr="00AA5D6C">
        <w:rPr>
          <w:rFonts w:ascii="Times New Roman" w:hAnsi="Times New Roman" w:cs="Times New Roman"/>
          <w:sz w:val="28"/>
          <w:szCs w:val="28"/>
          <w:lang w:val="en-US"/>
        </w:rPr>
        <w:t xml:space="preserve">. </w:t>
      </w:r>
      <w:proofErr w:type="spellStart"/>
      <w:r w:rsidRPr="00AA5D6C">
        <w:rPr>
          <w:rFonts w:ascii="Times New Roman" w:hAnsi="Times New Roman" w:cs="Times New Roman"/>
          <w:sz w:val="28"/>
          <w:szCs w:val="28"/>
          <w:lang w:val="en-US"/>
        </w:rPr>
        <w:t>Alibekova</w:t>
      </w:r>
      <w:proofErr w:type="spellEnd"/>
      <w:r w:rsidRPr="00AA5D6C">
        <w:rPr>
          <w:rFonts w:ascii="Times New Roman" w:hAnsi="Times New Roman" w:cs="Times New Roman"/>
          <w:sz w:val="28"/>
          <w:szCs w:val="28"/>
          <w:lang w:val="en-US"/>
        </w:rPr>
        <w:t xml:space="preserve">, and F.G. </w:t>
      </w:r>
      <w:proofErr w:type="spellStart"/>
      <w:r w:rsidRPr="00AA5D6C">
        <w:rPr>
          <w:rFonts w:ascii="Times New Roman" w:hAnsi="Times New Roman" w:cs="Times New Roman"/>
          <w:sz w:val="28"/>
          <w:szCs w:val="28"/>
          <w:lang w:val="en-US"/>
        </w:rPr>
        <w:t>Alzhanova</w:t>
      </w:r>
      <w:proofErr w:type="spellEnd"/>
      <w:r w:rsidRPr="00AA5D6C">
        <w:rPr>
          <w:rFonts w:ascii="Times New Roman" w:hAnsi="Times New Roman" w:cs="Times New Roman"/>
          <w:sz w:val="28"/>
          <w:szCs w:val="28"/>
          <w:lang w:val="en-US"/>
        </w:rPr>
        <w:t xml:space="preserve"> have made significant contributions to the study of innovation among Kazakhstani researchers. Within the Triple Helix model framework and university-industry relations, notable works include those of </w:t>
      </w:r>
      <w:proofErr w:type="spellStart"/>
      <w:r w:rsidRPr="00AA5D6C">
        <w:rPr>
          <w:rFonts w:ascii="Times New Roman" w:hAnsi="Times New Roman" w:cs="Times New Roman"/>
          <w:sz w:val="28"/>
          <w:szCs w:val="28"/>
          <w:lang w:val="en-US"/>
        </w:rPr>
        <w:t>Yu.V</w:t>
      </w:r>
      <w:proofErr w:type="spellEnd"/>
      <w:r w:rsidRPr="00AA5D6C">
        <w:rPr>
          <w:rFonts w:ascii="Times New Roman" w:hAnsi="Times New Roman" w:cs="Times New Roman"/>
          <w:sz w:val="28"/>
          <w:szCs w:val="28"/>
          <w:lang w:val="en-US"/>
        </w:rPr>
        <w:t xml:space="preserve">. Smirnova, D.A. </w:t>
      </w:r>
      <w:proofErr w:type="spellStart"/>
      <w:r w:rsidRPr="00AA5D6C">
        <w:rPr>
          <w:rFonts w:ascii="Times New Roman" w:hAnsi="Times New Roman" w:cs="Times New Roman"/>
          <w:sz w:val="28"/>
          <w:szCs w:val="28"/>
          <w:lang w:val="en-US"/>
        </w:rPr>
        <w:t>Jonbekova</w:t>
      </w:r>
      <w:proofErr w:type="spellEnd"/>
      <w:r w:rsidRPr="00AA5D6C">
        <w:rPr>
          <w:rFonts w:ascii="Times New Roman" w:hAnsi="Times New Roman" w:cs="Times New Roman"/>
          <w:sz w:val="28"/>
          <w:szCs w:val="28"/>
          <w:lang w:val="en-US"/>
        </w:rPr>
        <w:t xml:space="preserve">, S.S. </w:t>
      </w:r>
      <w:proofErr w:type="spellStart"/>
      <w:r w:rsidRPr="00AA5D6C">
        <w:rPr>
          <w:rFonts w:ascii="Times New Roman" w:hAnsi="Times New Roman" w:cs="Times New Roman"/>
          <w:sz w:val="28"/>
          <w:szCs w:val="28"/>
          <w:lang w:val="en-US"/>
        </w:rPr>
        <w:t>Tamenova</w:t>
      </w:r>
      <w:proofErr w:type="spellEnd"/>
      <w:r w:rsidRPr="00AA5D6C">
        <w:rPr>
          <w:rFonts w:ascii="Times New Roman" w:hAnsi="Times New Roman" w:cs="Times New Roman"/>
          <w:sz w:val="28"/>
          <w:szCs w:val="28"/>
          <w:lang w:val="en-US"/>
        </w:rPr>
        <w:t xml:space="preserve">, and </w:t>
      </w:r>
      <w:proofErr w:type="spellStart"/>
      <w:r w:rsidRPr="00AA5D6C">
        <w:rPr>
          <w:rFonts w:ascii="Times New Roman" w:hAnsi="Times New Roman" w:cs="Times New Roman"/>
          <w:sz w:val="28"/>
          <w:szCs w:val="28"/>
          <w:lang w:val="en-US"/>
        </w:rPr>
        <w:t>G.Zh</w:t>
      </w:r>
      <w:proofErr w:type="spellEnd"/>
      <w:r w:rsidRPr="00AA5D6C">
        <w:rPr>
          <w:rFonts w:ascii="Times New Roman" w:hAnsi="Times New Roman" w:cs="Times New Roman"/>
          <w:sz w:val="28"/>
          <w:szCs w:val="28"/>
          <w:lang w:val="en-US"/>
        </w:rPr>
        <w:t xml:space="preserve">. </w:t>
      </w:r>
      <w:proofErr w:type="spellStart"/>
      <w:r w:rsidRPr="00AA5D6C">
        <w:rPr>
          <w:rFonts w:ascii="Times New Roman" w:hAnsi="Times New Roman" w:cs="Times New Roman"/>
          <w:sz w:val="28"/>
          <w:szCs w:val="28"/>
          <w:lang w:val="en-US"/>
        </w:rPr>
        <w:t>Tayauova</w:t>
      </w:r>
      <w:proofErr w:type="spellEnd"/>
      <w:r w:rsidRPr="00AA5D6C">
        <w:rPr>
          <w:rFonts w:ascii="Times New Roman" w:hAnsi="Times New Roman" w:cs="Times New Roman"/>
          <w:sz w:val="28"/>
          <w:szCs w:val="28"/>
          <w:lang w:val="en-US"/>
        </w:rPr>
        <w:t>.</w:t>
      </w:r>
    </w:p>
    <w:p w14:paraId="5FE62796" w14:textId="627E0538" w:rsidR="00600C79" w:rsidRPr="003E6682" w:rsidRDefault="00600C79" w:rsidP="00600C79">
      <w:pPr>
        <w:spacing w:after="0" w:line="240" w:lineRule="auto"/>
        <w:ind w:firstLine="709"/>
        <w:contextualSpacing/>
        <w:jc w:val="both"/>
        <w:rPr>
          <w:rFonts w:ascii="Times New Roman" w:hAnsi="Times New Roman" w:cs="Times New Roman"/>
          <w:sz w:val="28"/>
          <w:szCs w:val="28"/>
          <w:lang w:val="en-US"/>
        </w:rPr>
      </w:pPr>
      <w:r w:rsidRPr="00AA5D6C">
        <w:rPr>
          <w:rFonts w:ascii="Times New Roman" w:hAnsi="Times New Roman" w:cs="Times New Roman"/>
          <w:sz w:val="28"/>
          <w:szCs w:val="28"/>
          <w:lang w:val="en-US"/>
        </w:rPr>
        <w:t>Scientific research and publications by Kazakhstani scholars on implementing the Triple Helix model indicate that universities represent a weak link in the university-business-region chain. Collaboration predominantly focuses on university-science interaction, while integration with businesses remains limited. The private sector shows little interest in generating revenue jointly with universities, as the institutional structure of universities is not sufficiently aligned with the needs of businesses.</w:t>
      </w:r>
      <w:r>
        <w:rPr>
          <w:rFonts w:ascii="Times New Roman" w:hAnsi="Times New Roman" w:cs="Times New Roman"/>
          <w:sz w:val="28"/>
          <w:szCs w:val="28"/>
          <w:lang w:val="en-US"/>
        </w:rPr>
        <w:t xml:space="preserve"> </w:t>
      </w:r>
      <w:r w:rsidRPr="00AA5D6C">
        <w:rPr>
          <w:rFonts w:ascii="Times New Roman" w:hAnsi="Times New Roman" w:cs="Times New Roman"/>
          <w:sz w:val="28"/>
          <w:szCs w:val="28"/>
          <w:lang w:val="en-US"/>
        </w:rPr>
        <w:t xml:space="preserve">Nevertheless, research highlights the critical role of universities as centers for knowledge generation and the training of highly skilled professionals. Universities' active participation in innovation processes contributes to regional </w:t>
      </w:r>
      <w:r w:rsidRPr="003E6682">
        <w:rPr>
          <w:rFonts w:ascii="Times New Roman" w:hAnsi="Times New Roman" w:cs="Times New Roman"/>
          <w:sz w:val="28"/>
          <w:szCs w:val="28"/>
          <w:lang w:val="en-US"/>
        </w:rPr>
        <w:t>development, job creation, and the improvement of socio-economic conditions. Implementing the Triple Helix model enables universities to engage more effectively with local governments and businesses, thereby enhancing their contribution to regional growth and competitiveness.</w:t>
      </w:r>
    </w:p>
    <w:p w14:paraId="014020E5" w14:textId="3B03E666" w:rsidR="00F1220A" w:rsidRPr="003E6682" w:rsidRDefault="00F1220A" w:rsidP="00F1220A">
      <w:pPr>
        <w:shd w:val="clear" w:color="auto" w:fill="FFFFFF" w:themeFill="background1"/>
        <w:spacing w:after="0" w:line="240" w:lineRule="auto"/>
        <w:ind w:firstLine="709"/>
        <w:contextualSpacing/>
        <w:jc w:val="both"/>
        <w:rPr>
          <w:rFonts w:ascii="Times New Roman" w:hAnsi="Times New Roman" w:cs="Times New Roman"/>
          <w:sz w:val="28"/>
          <w:szCs w:val="28"/>
          <w:lang w:val="en-US"/>
        </w:rPr>
      </w:pPr>
      <w:r w:rsidRPr="003E6682">
        <w:rPr>
          <w:rStyle w:val="a6"/>
          <w:rFonts w:ascii="Times New Roman" w:hAnsi="Times New Roman" w:cs="Times New Roman"/>
          <w:color w:val="0E101A"/>
          <w:sz w:val="28"/>
          <w:szCs w:val="28"/>
          <w:lang w:val="kk-KZ"/>
        </w:rPr>
        <w:tab/>
      </w:r>
      <w:bookmarkStart w:id="6" w:name="_Hlk194351584"/>
      <w:r w:rsidRPr="003E6682">
        <w:rPr>
          <w:rStyle w:val="a6"/>
          <w:rFonts w:ascii="Times New Roman" w:hAnsi="Times New Roman" w:cs="Times New Roman"/>
          <w:color w:val="0E101A"/>
          <w:sz w:val="28"/>
          <w:szCs w:val="28"/>
          <w:lang w:val="en-US"/>
        </w:rPr>
        <w:t xml:space="preserve">The research problem is </w:t>
      </w:r>
      <w:r w:rsidRPr="003E6682">
        <w:rPr>
          <w:rFonts w:ascii="Times New Roman" w:hAnsi="Times New Roman" w:cs="Times New Roman"/>
          <w:sz w:val="28"/>
          <w:szCs w:val="28"/>
          <w:lang w:val="en-US"/>
        </w:rPr>
        <w:t xml:space="preserve">that despite continuous efforts to develop the HE system of Kazakhstan further, universities encounter obstacles in their capacity to contribute significantly to national innovation and socio-economic progress. Insufficient cooperation among universities, industry, and government constrains the capacity of HEIs to function as entrepreneurial and innovation-oriented entities. It is particularly evident in persistent issues such as low levels of student entrepreneurship, limited graduate employability, and fragmented university-industry collaboration. Although the Triple Helix model proposes a theoretical framework for fostering integrated innovation ecosystems, its implementation in Kazakhstan remains underdeveloped and insufficiently adapted to institutional realities. The research problem, therefore, arises from the limited of a coherent innovation management system in Kazakhstani universities—one that </w:t>
      </w:r>
      <w:r w:rsidRPr="003E6682">
        <w:rPr>
          <w:rFonts w:ascii="Times New Roman" w:hAnsi="Times New Roman" w:cs="Times New Roman"/>
          <w:sz w:val="28"/>
          <w:szCs w:val="28"/>
          <w:lang w:val="en-US"/>
        </w:rPr>
        <w:lastRenderedPageBreak/>
        <w:t>operationalizes the principles of the Triple Helix model to enhance innovation, support student entrepreneurial capacity, and improve graduate outcomes. This</w:t>
      </w:r>
      <w:r w:rsidR="00FA090A">
        <w:rPr>
          <w:rFonts w:ascii="Times New Roman" w:hAnsi="Times New Roman" w:cs="Times New Roman"/>
          <w:sz w:val="28"/>
          <w:szCs w:val="28"/>
          <w:lang w:val="en-US"/>
        </w:rPr>
        <w:t xml:space="preserve"> </w:t>
      </w:r>
      <w:r w:rsidRPr="003E6682">
        <w:rPr>
          <w:rFonts w:ascii="Times New Roman" w:hAnsi="Times New Roman" w:cs="Times New Roman"/>
          <w:sz w:val="28"/>
          <w:szCs w:val="28"/>
          <w:lang w:val="en-US"/>
        </w:rPr>
        <w:t>dissertation addresses this gap by studying how innovation management in universities can be restructured through the Triple Helix lens to build stronger university–industry–government linkages and advance Kazakhstan's human capital and innovation agenda.</w:t>
      </w:r>
    </w:p>
    <w:bookmarkEnd w:id="6"/>
    <w:p w14:paraId="1E4F9CB7" w14:textId="77777777" w:rsidR="0074076A" w:rsidRPr="00E673C2" w:rsidRDefault="0074076A" w:rsidP="0074076A">
      <w:pPr>
        <w:shd w:val="clear" w:color="auto" w:fill="FFFFFF" w:themeFill="background1"/>
        <w:spacing w:after="0" w:line="240" w:lineRule="auto"/>
        <w:ind w:firstLine="709"/>
        <w:contextualSpacing/>
        <w:jc w:val="both"/>
        <w:rPr>
          <w:rFonts w:ascii="Times New Roman" w:hAnsi="Times New Roman" w:cs="Times New Roman"/>
          <w:sz w:val="28"/>
          <w:szCs w:val="28"/>
          <w:lang w:val="en-US"/>
        </w:rPr>
      </w:pPr>
      <w:r w:rsidRPr="008B1318">
        <w:rPr>
          <w:rFonts w:ascii="Times New Roman" w:hAnsi="Times New Roman" w:cs="Times New Roman"/>
          <w:b/>
          <w:bCs/>
          <w:sz w:val="28"/>
          <w:szCs w:val="28"/>
          <w:lang w:val="en-US"/>
        </w:rPr>
        <w:t xml:space="preserve">The object of the research </w:t>
      </w:r>
      <w:r w:rsidRPr="008B1318">
        <w:rPr>
          <w:rFonts w:ascii="Times New Roman" w:hAnsi="Times New Roman" w:cs="Times New Roman"/>
          <w:sz w:val="28"/>
          <w:szCs w:val="28"/>
          <w:lang w:val="en-US"/>
        </w:rPr>
        <w:t>is the innovation management system in universities of the Republic of Kazakhstan, which is based on the interaction between universities</w:t>
      </w:r>
      <w:r w:rsidRPr="00E673C2">
        <w:rPr>
          <w:rFonts w:ascii="Times New Roman" w:hAnsi="Times New Roman" w:cs="Times New Roman"/>
          <w:sz w:val="28"/>
          <w:szCs w:val="28"/>
          <w:lang w:val="en-US"/>
        </w:rPr>
        <w:t>, businesses, and the government.</w:t>
      </w:r>
    </w:p>
    <w:p w14:paraId="6F3BDB8A" w14:textId="77777777" w:rsidR="0074076A" w:rsidRPr="00FA090A" w:rsidRDefault="0074076A" w:rsidP="0074076A">
      <w:pPr>
        <w:shd w:val="clear" w:color="auto" w:fill="FFFFFF" w:themeFill="background1"/>
        <w:spacing w:after="0" w:line="240" w:lineRule="auto"/>
        <w:ind w:firstLine="709"/>
        <w:contextualSpacing/>
        <w:jc w:val="both"/>
        <w:rPr>
          <w:rFonts w:ascii="Times New Roman" w:hAnsi="Times New Roman" w:cs="Times New Roman"/>
          <w:sz w:val="28"/>
          <w:szCs w:val="28"/>
          <w:lang w:val="en-US"/>
        </w:rPr>
      </w:pPr>
      <w:r w:rsidRPr="00E673C2">
        <w:rPr>
          <w:rFonts w:ascii="Times New Roman" w:hAnsi="Times New Roman" w:cs="Times New Roman"/>
          <w:b/>
          <w:bCs/>
          <w:sz w:val="28"/>
          <w:szCs w:val="28"/>
          <w:lang w:val="en-US"/>
        </w:rPr>
        <w:t>The research subject</w:t>
      </w:r>
      <w:r w:rsidRPr="00E673C2">
        <w:rPr>
          <w:rFonts w:ascii="Times New Roman" w:hAnsi="Times New Roman" w:cs="Times New Roman"/>
          <w:sz w:val="28"/>
          <w:szCs w:val="28"/>
          <w:lang w:val="en-US"/>
        </w:rPr>
        <w:t xml:space="preserve"> is the mechanisms and tools for managing university innovation activities </w:t>
      </w:r>
      <w:r w:rsidRPr="00FA090A">
        <w:rPr>
          <w:rFonts w:ascii="Times New Roman" w:hAnsi="Times New Roman" w:cs="Times New Roman"/>
          <w:sz w:val="28"/>
          <w:szCs w:val="28"/>
          <w:lang w:val="en-US"/>
        </w:rPr>
        <w:t>aimed at effectively implementing the Triple Helix model.</w:t>
      </w:r>
    </w:p>
    <w:p w14:paraId="3C1E5631" w14:textId="77777777" w:rsidR="00FA090A" w:rsidRPr="00FA090A" w:rsidRDefault="0074076A" w:rsidP="00FA090A">
      <w:pPr>
        <w:shd w:val="clear" w:color="auto" w:fill="FFFFFF" w:themeFill="background1"/>
        <w:spacing w:after="0" w:line="240" w:lineRule="auto"/>
        <w:ind w:firstLine="709"/>
        <w:contextualSpacing/>
        <w:jc w:val="both"/>
        <w:rPr>
          <w:rFonts w:ascii="Times New Roman" w:hAnsi="Times New Roman" w:cs="Times New Roman"/>
          <w:sz w:val="28"/>
          <w:szCs w:val="28"/>
          <w:lang w:val="en-US"/>
        </w:rPr>
      </w:pPr>
      <w:r w:rsidRPr="00FA090A">
        <w:rPr>
          <w:rStyle w:val="a6"/>
          <w:rFonts w:ascii="Times New Roman" w:hAnsi="Times New Roman" w:cs="Times New Roman"/>
          <w:sz w:val="28"/>
          <w:szCs w:val="28"/>
          <w:lang w:val="en-US"/>
        </w:rPr>
        <w:t>The main research question</w:t>
      </w:r>
      <w:r w:rsidRPr="00FA090A">
        <w:rPr>
          <w:rFonts w:ascii="Times New Roman" w:hAnsi="Times New Roman" w:cs="Times New Roman"/>
          <w:sz w:val="28"/>
          <w:szCs w:val="28"/>
          <w:lang w:val="en-US"/>
        </w:rPr>
        <w:t xml:space="preserve"> is: How can innovation management in Kazakhstani universities be enhanced by implementing the Triple Helix model to foster student entrepreneurship and improve graduate employability?</w:t>
      </w:r>
    </w:p>
    <w:p w14:paraId="71C00EAE" w14:textId="77777777" w:rsidR="00963705" w:rsidRDefault="0074076A" w:rsidP="00963705">
      <w:pPr>
        <w:shd w:val="clear" w:color="auto" w:fill="FFFFFF" w:themeFill="background1"/>
        <w:spacing w:after="0" w:line="240" w:lineRule="auto"/>
        <w:ind w:firstLine="709"/>
        <w:contextualSpacing/>
        <w:jc w:val="both"/>
        <w:rPr>
          <w:rFonts w:ascii="Times New Roman" w:hAnsi="Times New Roman" w:cs="Times New Roman"/>
          <w:sz w:val="28"/>
          <w:szCs w:val="28"/>
          <w:lang w:val="en-US"/>
        </w:rPr>
      </w:pPr>
      <w:r w:rsidRPr="00FA090A">
        <w:rPr>
          <w:rFonts w:ascii="Times New Roman" w:hAnsi="Times New Roman" w:cs="Times New Roman"/>
          <w:sz w:val="28"/>
          <w:szCs w:val="28"/>
          <w:lang w:val="en-US"/>
        </w:rPr>
        <w:t xml:space="preserve">This </w:t>
      </w:r>
      <w:r w:rsidRPr="00FA090A">
        <w:rPr>
          <w:rFonts w:ascii="Times New Roman" w:hAnsi="Times New Roman" w:cs="Times New Roman"/>
          <w:b/>
          <w:bCs/>
          <w:sz w:val="28"/>
          <w:szCs w:val="28"/>
          <w:lang w:val="en-US"/>
        </w:rPr>
        <w:t>dissertation aims</w:t>
      </w:r>
      <w:r w:rsidRPr="00FA090A">
        <w:rPr>
          <w:rFonts w:ascii="Times New Roman" w:hAnsi="Times New Roman" w:cs="Times New Roman"/>
          <w:sz w:val="28"/>
          <w:szCs w:val="28"/>
          <w:lang w:val="en-US"/>
        </w:rPr>
        <w:t xml:space="preserve"> to theoretically substantiate and develop theoretical-methodological foundations and practical recommendations for innovation management in Kazakhstani universities. It is based on implementing an effective university-government-business collaboration model, focusing on stimulating innovation and promoting economic growth.</w:t>
      </w:r>
    </w:p>
    <w:p w14:paraId="7EA5894C" w14:textId="70EA90C0" w:rsidR="0074076A" w:rsidRPr="00963705" w:rsidRDefault="0074076A" w:rsidP="00963705">
      <w:pPr>
        <w:shd w:val="clear" w:color="auto" w:fill="FFFFFF" w:themeFill="background1"/>
        <w:spacing w:after="0" w:line="240" w:lineRule="auto"/>
        <w:ind w:firstLine="709"/>
        <w:contextualSpacing/>
        <w:jc w:val="both"/>
        <w:rPr>
          <w:rFonts w:ascii="Times New Roman" w:hAnsi="Times New Roman" w:cs="Times New Roman"/>
          <w:sz w:val="28"/>
          <w:szCs w:val="28"/>
          <w:lang w:val="en-US"/>
        </w:rPr>
      </w:pPr>
      <w:r w:rsidRPr="00963705">
        <w:rPr>
          <w:rFonts w:ascii="Times New Roman" w:hAnsi="Times New Roman" w:cs="Times New Roman"/>
          <w:sz w:val="28"/>
          <w:szCs w:val="28"/>
          <w:lang w:val="en-US"/>
        </w:rPr>
        <w:t xml:space="preserve">In order to achieve the research aim, the following </w:t>
      </w:r>
      <w:r w:rsidRPr="00963705">
        <w:rPr>
          <w:rFonts w:ascii="Times New Roman" w:hAnsi="Times New Roman" w:cs="Times New Roman"/>
          <w:b/>
          <w:bCs/>
          <w:sz w:val="28"/>
          <w:szCs w:val="28"/>
          <w:lang w:val="en-US"/>
        </w:rPr>
        <w:t>objectives</w:t>
      </w:r>
      <w:r w:rsidRPr="00963705">
        <w:rPr>
          <w:rFonts w:ascii="Times New Roman" w:hAnsi="Times New Roman" w:cs="Times New Roman"/>
          <w:sz w:val="28"/>
          <w:szCs w:val="28"/>
          <w:lang w:val="en-US"/>
        </w:rPr>
        <w:t xml:space="preserve"> have been set:</w:t>
      </w:r>
    </w:p>
    <w:p w14:paraId="6955C0AC" w14:textId="77777777" w:rsidR="00AF4FCF" w:rsidRPr="00FA090A" w:rsidRDefault="00AF4FCF" w:rsidP="00E26822">
      <w:pPr>
        <w:pStyle w:val="ad"/>
        <w:numPr>
          <w:ilvl w:val="0"/>
          <w:numId w:val="6"/>
        </w:numPr>
        <w:spacing w:after="0" w:line="240" w:lineRule="auto"/>
        <w:ind w:left="0" w:firstLine="709"/>
        <w:jc w:val="both"/>
        <w:rPr>
          <w:rFonts w:ascii="Times New Roman" w:eastAsia="Times New Roman" w:hAnsi="Times New Roman" w:cs="Times New Roman"/>
          <w:sz w:val="28"/>
          <w:szCs w:val="28"/>
          <w:lang w:val="en-US"/>
        </w:rPr>
      </w:pPr>
      <w:r w:rsidRPr="00FA090A">
        <w:rPr>
          <w:rFonts w:ascii="Times New Roman" w:eastAsia="Times New Roman" w:hAnsi="Times New Roman" w:cs="Times New Roman"/>
          <w:sz w:val="28"/>
          <w:szCs w:val="28"/>
          <w:lang w:val="en-US"/>
        </w:rPr>
        <w:t>Analyze and synthesize theoretical concepts of innovation management based on the Triple Helix model, focusing on integrating innovation and entrepreneurship within the university innovation management system.</w:t>
      </w:r>
    </w:p>
    <w:p w14:paraId="19CD7A67" w14:textId="77777777" w:rsidR="00AF4FCF" w:rsidRPr="005416CE" w:rsidRDefault="00AF4FCF" w:rsidP="00E26822">
      <w:pPr>
        <w:pStyle w:val="ad"/>
        <w:numPr>
          <w:ilvl w:val="0"/>
          <w:numId w:val="6"/>
        </w:numPr>
        <w:spacing w:after="0" w:line="240" w:lineRule="auto"/>
        <w:ind w:left="0" w:firstLine="709"/>
        <w:jc w:val="both"/>
        <w:rPr>
          <w:rFonts w:ascii="Times New Roman" w:eastAsia="Times New Roman" w:hAnsi="Times New Roman" w:cs="Times New Roman"/>
          <w:color w:val="0E101A"/>
          <w:sz w:val="28"/>
          <w:szCs w:val="28"/>
          <w:lang w:val="en-US"/>
        </w:rPr>
      </w:pPr>
      <w:r w:rsidRPr="005416CE">
        <w:rPr>
          <w:rFonts w:ascii="Times New Roman" w:eastAsia="Times New Roman" w:hAnsi="Times New Roman" w:cs="Times New Roman"/>
          <w:color w:val="0E101A"/>
          <w:sz w:val="28"/>
          <w:szCs w:val="28"/>
          <w:lang w:val="en-US"/>
        </w:rPr>
        <w:t>To examine the main features and thematic trends of studies addressing the Triple Helix model</w:t>
      </w:r>
      <w:r w:rsidRPr="00FA2193">
        <w:rPr>
          <w:rFonts w:ascii="Times New Roman" w:eastAsia="Times New Roman" w:hAnsi="Times New Roman" w:cs="Times New Roman"/>
          <w:color w:val="0E101A"/>
          <w:sz w:val="28"/>
          <w:szCs w:val="28"/>
          <w:lang w:val="en-US"/>
        </w:rPr>
        <w:t>.</w:t>
      </w:r>
    </w:p>
    <w:p w14:paraId="7ADD74D1" w14:textId="77777777" w:rsidR="00AF4FCF" w:rsidRPr="005416CE" w:rsidRDefault="00AF4FCF" w:rsidP="00E26822">
      <w:pPr>
        <w:pStyle w:val="ad"/>
        <w:numPr>
          <w:ilvl w:val="0"/>
          <w:numId w:val="6"/>
        </w:numPr>
        <w:spacing w:after="0" w:line="240" w:lineRule="auto"/>
        <w:ind w:left="0" w:firstLine="709"/>
        <w:jc w:val="both"/>
        <w:rPr>
          <w:rFonts w:ascii="Times New Roman" w:eastAsia="Times New Roman" w:hAnsi="Times New Roman" w:cs="Times New Roman"/>
          <w:color w:val="0E101A"/>
          <w:sz w:val="28"/>
          <w:szCs w:val="28"/>
          <w:lang w:val="en-US"/>
        </w:rPr>
      </w:pPr>
      <w:r w:rsidRPr="005416CE">
        <w:rPr>
          <w:rFonts w:ascii="Times New Roman" w:eastAsia="Times New Roman" w:hAnsi="Times New Roman" w:cs="Times New Roman"/>
          <w:color w:val="0E101A"/>
          <w:sz w:val="28"/>
          <w:szCs w:val="28"/>
          <w:lang w:val="en-US"/>
        </w:rPr>
        <w:t>To examine how the Triple Helix model is implemented in developed and developing countries, with the aim of identifying insights relevant for Kazakhstan.</w:t>
      </w:r>
    </w:p>
    <w:p w14:paraId="1CD766FF" w14:textId="77777777" w:rsidR="00AF4FCF" w:rsidRPr="005416CE" w:rsidRDefault="00AF4FCF" w:rsidP="00E26822">
      <w:pPr>
        <w:pStyle w:val="ad"/>
        <w:numPr>
          <w:ilvl w:val="0"/>
          <w:numId w:val="6"/>
        </w:numPr>
        <w:spacing w:after="0" w:line="240" w:lineRule="auto"/>
        <w:ind w:left="0" w:firstLine="709"/>
        <w:jc w:val="both"/>
        <w:rPr>
          <w:rFonts w:ascii="Times New Roman" w:eastAsia="Times New Roman" w:hAnsi="Times New Roman" w:cs="Times New Roman"/>
          <w:color w:val="0E101A"/>
          <w:sz w:val="28"/>
          <w:szCs w:val="28"/>
          <w:lang w:val="en-US"/>
        </w:rPr>
      </w:pPr>
      <w:r w:rsidRPr="005416CE">
        <w:rPr>
          <w:rFonts w:ascii="Times New Roman" w:eastAsia="Times New Roman" w:hAnsi="Times New Roman" w:cs="Times New Roman"/>
          <w:color w:val="0E101A"/>
          <w:sz w:val="28"/>
          <w:szCs w:val="28"/>
          <w:lang w:val="en-US"/>
        </w:rPr>
        <w:t>To identify the factors shaping student entrepreneurship and the employment of university graduates in Kazakhstan.</w:t>
      </w:r>
    </w:p>
    <w:p w14:paraId="0E96FBDD" w14:textId="77777777" w:rsidR="00AF4FCF" w:rsidRPr="005416CE" w:rsidRDefault="00AF4FCF" w:rsidP="00E26822">
      <w:pPr>
        <w:pStyle w:val="ad"/>
        <w:numPr>
          <w:ilvl w:val="0"/>
          <w:numId w:val="6"/>
        </w:numPr>
        <w:spacing w:after="0" w:line="240" w:lineRule="auto"/>
        <w:ind w:left="0" w:firstLine="709"/>
        <w:jc w:val="both"/>
        <w:rPr>
          <w:rFonts w:ascii="Times New Roman" w:hAnsi="Times New Roman" w:cs="Times New Roman"/>
          <w:sz w:val="28"/>
          <w:szCs w:val="28"/>
          <w:lang w:val="en-US"/>
        </w:rPr>
      </w:pPr>
      <w:r w:rsidRPr="005416CE">
        <w:rPr>
          <w:rFonts w:ascii="Times New Roman" w:eastAsia="Times New Roman" w:hAnsi="Times New Roman" w:cs="Times New Roman"/>
          <w:color w:val="0E101A"/>
          <w:sz w:val="28"/>
          <w:szCs w:val="28"/>
          <w:lang w:val="en-US"/>
        </w:rPr>
        <w:t>To develop recommendations</w:t>
      </w:r>
      <w:r w:rsidRPr="00E26822">
        <w:rPr>
          <w:rFonts w:ascii="Times New Roman" w:eastAsia="Times New Roman" w:hAnsi="Times New Roman" w:cs="Times New Roman"/>
          <w:color w:val="0E101A"/>
          <w:sz w:val="28"/>
          <w:szCs w:val="28"/>
          <w:lang w:val="en-US"/>
        </w:rPr>
        <w:t xml:space="preserve"> to improve student entrepreneurship and enhance graduate employability</w:t>
      </w:r>
      <w:r w:rsidRPr="005416CE">
        <w:rPr>
          <w:rFonts w:ascii="Times New Roman" w:hAnsi="Times New Roman" w:cs="Times New Roman"/>
          <w:sz w:val="28"/>
          <w:szCs w:val="28"/>
          <w:lang w:val="en-US"/>
        </w:rPr>
        <w:t>.</w:t>
      </w:r>
    </w:p>
    <w:p w14:paraId="6EFE5C31" w14:textId="77777777" w:rsidR="00600C79" w:rsidRPr="004B2014" w:rsidRDefault="00600C79" w:rsidP="00600C79">
      <w:pPr>
        <w:spacing w:after="0" w:line="240" w:lineRule="auto"/>
        <w:ind w:firstLine="709"/>
        <w:contextualSpacing/>
        <w:jc w:val="both"/>
        <w:rPr>
          <w:rFonts w:ascii="Times New Roman" w:eastAsia="Times New Roman" w:hAnsi="Times New Roman" w:cs="Times New Roman"/>
          <w:sz w:val="28"/>
          <w:szCs w:val="28"/>
          <w:lang w:val="en-US"/>
        </w:rPr>
      </w:pPr>
      <w:r w:rsidRPr="003E6682">
        <w:rPr>
          <w:rFonts w:ascii="Times New Roman" w:eastAsia="Times New Roman" w:hAnsi="Times New Roman" w:cs="Times New Roman"/>
          <w:b/>
          <w:bCs/>
          <w:sz w:val="28"/>
          <w:szCs w:val="28"/>
          <w:lang w:val="en-US"/>
        </w:rPr>
        <w:t xml:space="preserve">The study's theoretical and methodological foundation is based on </w:t>
      </w:r>
      <w:r w:rsidRPr="003E6682">
        <w:rPr>
          <w:rFonts w:ascii="Times New Roman" w:eastAsia="Times New Roman" w:hAnsi="Times New Roman" w:cs="Times New Roman"/>
          <w:sz w:val="28"/>
          <w:szCs w:val="28"/>
          <w:lang w:val="en-US"/>
        </w:rPr>
        <w:t>the works of scholars examining university-business-government interactions and regional development through innovation</w:t>
      </w:r>
      <w:r w:rsidRPr="004B2014">
        <w:rPr>
          <w:rFonts w:ascii="Times New Roman" w:eastAsia="Times New Roman" w:hAnsi="Times New Roman" w:cs="Times New Roman"/>
          <w:sz w:val="28"/>
          <w:szCs w:val="28"/>
          <w:lang w:val="en-US"/>
        </w:rPr>
        <w:t xml:space="preserve"> and entrepreneurship at both global and regional levels. The methodological framework employs a systemic approach, incorporating logical and statistical analysis and synthesis methods. Based on this analysis, a conceptual approach has been developed to study innovation management in Kazakhstani universities, focusing on innovation, the Triple Helix model, entrepreneurship, and innovation management.</w:t>
      </w:r>
    </w:p>
    <w:p w14:paraId="4727E4F7" w14:textId="77777777" w:rsidR="00FA090A" w:rsidRDefault="00600C79" w:rsidP="00FA090A">
      <w:pPr>
        <w:spacing w:after="0" w:line="240" w:lineRule="auto"/>
        <w:ind w:firstLine="709"/>
        <w:contextualSpacing/>
        <w:jc w:val="both"/>
        <w:rPr>
          <w:rFonts w:ascii="Times New Roman" w:eastAsia="Times New Roman" w:hAnsi="Times New Roman" w:cs="Times New Roman"/>
          <w:sz w:val="28"/>
          <w:szCs w:val="28"/>
          <w:lang w:val="en-US"/>
        </w:rPr>
      </w:pPr>
      <w:r w:rsidRPr="009A2B33">
        <w:rPr>
          <w:rFonts w:ascii="Times New Roman" w:eastAsia="Times New Roman" w:hAnsi="Times New Roman" w:cs="Times New Roman"/>
          <w:sz w:val="28"/>
          <w:szCs w:val="28"/>
          <w:lang w:val="en-US"/>
        </w:rPr>
        <w:t xml:space="preserve">The dissertation employs mixed research methods to examine the development and interaction of key ideas within higher education institutions (HEIs). Specifically, the study explores the use of concepts such as innovation, Triple Helix, entrepreneurship, innovation management, university-industry collaboration, and regional development through a critical literature review. </w:t>
      </w:r>
    </w:p>
    <w:p w14:paraId="73F044AA" w14:textId="24D90A36" w:rsidR="00C80297" w:rsidRPr="00C80297" w:rsidRDefault="00600C79" w:rsidP="00C80297">
      <w:pPr>
        <w:spacing w:after="0" w:line="240" w:lineRule="auto"/>
        <w:ind w:firstLine="709"/>
        <w:contextualSpacing/>
        <w:jc w:val="both"/>
        <w:rPr>
          <w:rFonts w:ascii="Times New Roman" w:eastAsia="Times New Roman" w:hAnsi="Times New Roman" w:cs="Times New Roman"/>
          <w:sz w:val="28"/>
          <w:szCs w:val="28"/>
          <w:lang w:val="en-US"/>
        </w:rPr>
      </w:pPr>
      <w:r w:rsidRPr="009A2B33">
        <w:rPr>
          <w:rFonts w:ascii="Times New Roman" w:eastAsia="Times New Roman" w:hAnsi="Times New Roman" w:cs="Times New Roman"/>
          <w:sz w:val="28"/>
          <w:szCs w:val="28"/>
          <w:lang w:val="en-US"/>
        </w:rPr>
        <w:lastRenderedPageBreak/>
        <w:t xml:space="preserve">General scientific research methods have been utilized, including comparison, synthesis, chronology, content analysis, </w:t>
      </w:r>
      <w:r w:rsidRPr="001B67EF">
        <w:rPr>
          <w:rFonts w:ascii="Times New Roman" w:eastAsia="Times New Roman" w:hAnsi="Times New Roman" w:cs="Times New Roman"/>
          <w:sz w:val="28"/>
          <w:szCs w:val="28"/>
          <w:lang w:val="en-US"/>
        </w:rPr>
        <w:t>and systematization.</w:t>
      </w:r>
      <w:r w:rsidR="00C80297" w:rsidRPr="00C80297">
        <w:rPr>
          <w:rFonts w:ascii="Times New Roman" w:eastAsia="Times New Roman" w:hAnsi="Times New Roman" w:cs="Times New Roman"/>
          <w:sz w:val="28"/>
          <w:szCs w:val="28"/>
          <w:lang w:val="en-US"/>
        </w:rPr>
        <w:t xml:space="preserve"> Additionally, the empirical part of the dissertation includes two quantitative studies. The first is based on metadata from the GUESSS 2021 global student survey, employing multilevel (hierarchical) linear modeling to analyze the moderating effects of entrepreneurial self-efficacy and locus of control on the relationship between university environments, learning programs, and students’ entrepreneurial intentions and attitudes. The second empirical stage involved a structured online survey conducted in 2022 on a statistically grounded sample of 300 bachelor’s graduates from Kazakhstani universities (graduation years 2020–2021), designed to identify key factors affecting graduate employment within the first year after graduation. Representativeness was ensured through regional and disciplinary diversity. Data collection was conducted via Google Forms, and analysis was performed using IBM SPSS Statistics 23, adhering to all ethical research standards. </w:t>
      </w:r>
    </w:p>
    <w:p w14:paraId="2F23B1A6" w14:textId="277919DD" w:rsidR="00600C79" w:rsidRPr="004B2014" w:rsidRDefault="00DE6578" w:rsidP="00FA090A">
      <w:pPr>
        <w:spacing w:after="0" w:line="240" w:lineRule="auto"/>
        <w:ind w:firstLine="709"/>
        <w:contextualSpacing/>
        <w:jc w:val="both"/>
        <w:rPr>
          <w:rFonts w:ascii="Times New Roman" w:eastAsia="Times New Roman" w:hAnsi="Times New Roman" w:cs="Times New Roman"/>
          <w:sz w:val="28"/>
          <w:szCs w:val="28"/>
          <w:lang w:val="en-US"/>
        </w:rPr>
      </w:pPr>
      <w:r w:rsidRPr="001B67EF">
        <w:rPr>
          <w:rFonts w:ascii="Times New Roman" w:eastAsia="Times New Roman" w:hAnsi="Times New Roman" w:cs="Times New Roman"/>
          <w:sz w:val="28"/>
          <w:szCs w:val="28"/>
          <w:lang w:val="en-US"/>
        </w:rPr>
        <w:t>Additionally,</w:t>
      </w:r>
      <w:r w:rsidR="00FA090A">
        <w:rPr>
          <w:rFonts w:ascii="Times New Roman" w:eastAsia="Times New Roman" w:hAnsi="Times New Roman" w:cs="Times New Roman"/>
          <w:sz w:val="28"/>
          <w:szCs w:val="28"/>
          <w:lang w:val="en-US"/>
        </w:rPr>
        <w:t xml:space="preserve"> </w:t>
      </w:r>
      <w:r w:rsidR="00600C79" w:rsidRPr="009A2B33">
        <w:rPr>
          <w:rFonts w:ascii="Times New Roman" w:eastAsia="Times New Roman" w:hAnsi="Times New Roman" w:cs="Times New Roman"/>
          <w:sz w:val="28"/>
          <w:szCs w:val="28"/>
          <w:lang w:val="en-US"/>
        </w:rPr>
        <w:t xml:space="preserve">MAXQDA 2020, IBM SPSS Statistics 23, EViews 12, </w:t>
      </w:r>
      <w:proofErr w:type="spellStart"/>
      <w:r w:rsidR="00600C79" w:rsidRPr="009A2B33">
        <w:rPr>
          <w:rFonts w:ascii="Times New Roman" w:eastAsia="Times New Roman" w:hAnsi="Times New Roman" w:cs="Times New Roman"/>
          <w:sz w:val="28"/>
          <w:szCs w:val="28"/>
          <w:lang w:val="en-US"/>
        </w:rPr>
        <w:t>Jamovi</w:t>
      </w:r>
      <w:proofErr w:type="spellEnd"/>
      <w:r w:rsidR="00600C79" w:rsidRPr="009A2B33">
        <w:rPr>
          <w:rFonts w:ascii="Times New Roman" w:eastAsia="Times New Roman" w:hAnsi="Times New Roman" w:cs="Times New Roman"/>
          <w:sz w:val="28"/>
          <w:szCs w:val="28"/>
          <w:lang w:val="en-US"/>
        </w:rPr>
        <w:t xml:space="preserve">, and Python were employed for bibliometric and empirical analysis, as well as bibliometric analysis platforms such as </w:t>
      </w:r>
      <w:proofErr w:type="spellStart"/>
      <w:r w:rsidR="00600C79" w:rsidRPr="009A2B33">
        <w:rPr>
          <w:rFonts w:ascii="Times New Roman" w:eastAsia="Times New Roman" w:hAnsi="Times New Roman" w:cs="Times New Roman"/>
          <w:sz w:val="28"/>
          <w:szCs w:val="28"/>
          <w:lang w:val="en-US"/>
        </w:rPr>
        <w:t>VOSviewer</w:t>
      </w:r>
      <w:proofErr w:type="spellEnd"/>
      <w:r w:rsidR="00600C79" w:rsidRPr="009A2B33">
        <w:rPr>
          <w:rFonts w:ascii="Times New Roman" w:eastAsia="Times New Roman" w:hAnsi="Times New Roman" w:cs="Times New Roman"/>
          <w:sz w:val="28"/>
          <w:szCs w:val="28"/>
          <w:lang w:val="en-US"/>
        </w:rPr>
        <w:t xml:space="preserve"> and </w:t>
      </w:r>
      <w:proofErr w:type="spellStart"/>
      <w:r w:rsidR="00600C79" w:rsidRPr="009A2B33">
        <w:rPr>
          <w:rFonts w:ascii="Times New Roman" w:eastAsia="Times New Roman" w:hAnsi="Times New Roman" w:cs="Times New Roman"/>
          <w:sz w:val="28"/>
          <w:szCs w:val="28"/>
          <w:lang w:val="en-US"/>
        </w:rPr>
        <w:t>Biblioshiny</w:t>
      </w:r>
      <w:proofErr w:type="spellEnd"/>
      <w:r w:rsidR="00600C79" w:rsidRPr="009A2B33">
        <w:rPr>
          <w:rFonts w:ascii="Times New Roman" w:eastAsia="Times New Roman" w:hAnsi="Times New Roman" w:cs="Times New Roman"/>
          <w:sz w:val="28"/>
          <w:szCs w:val="28"/>
          <w:lang w:val="en-US"/>
        </w:rPr>
        <w:t>. Scientific mapping was used to identify trends and contributions of previous studies in the research field</w:t>
      </w:r>
      <w:r w:rsidR="00600C79">
        <w:rPr>
          <w:rFonts w:ascii="Times New Roman" w:eastAsia="Times New Roman" w:hAnsi="Times New Roman" w:cs="Times New Roman"/>
          <w:sz w:val="28"/>
          <w:szCs w:val="28"/>
          <w:lang w:val="en-US"/>
        </w:rPr>
        <w:t xml:space="preserve"> [</w:t>
      </w:r>
      <w:r w:rsidR="00DA72A6" w:rsidRPr="00DA72A6">
        <w:rPr>
          <w:rFonts w:ascii="Times New Roman" w:eastAsia="Times New Roman" w:hAnsi="Times New Roman" w:cs="Times New Roman"/>
          <w:sz w:val="28"/>
          <w:szCs w:val="28"/>
          <w:lang w:val="en-US"/>
        </w:rPr>
        <w:t>3</w:t>
      </w:r>
      <w:r w:rsidR="00600C79">
        <w:rPr>
          <w:rFonts w:ascii="Times New Roman" w:eastAsia="Times New Roman" w:hAnsi="Times New Roman" w:cs="Times New Roman"/>
          <w:sz w:val="28"/>
          <w:szCs w:val="28"/>
          <w:lang w:val="en-US"/>
        </w:rPr>
        <w:t>-1</w:t>
      </w:r>
      <w:r w:rsidR="00DA72A6" w:rsidRPr="00DA72A6">
        <w:rPr>
          <w:rFonts w:ascii="Times New Roman" w:eastAsia="Times New Roman" w:hAnsi="Times New Roman" w:cs="Times New Roman"/>
          <w:sz w:val="28"/>
          <w:szCs w:val="28"/>
          <w:lang w:val="en-US"/>
        </w:rPr>
        <w:t>0</w:t>
      </w:r>
      <w:r w:rsidR="00600C79">
        <w:rPr>
          <w:rFonts w:ascii="Times New Roman" w:eastAsia="Times New Roman" w:hAnsi="Times New Roman" w:cs="Times New Roman"/>
          <w:sz w:val="28"/>
          <w:szCs w:val="28"/>
          <w:lang w:val="en-US"/>
        </w:rPr>
        <w:t>]</w:t>
      </w:r>
      <w:r w:rsidR="00600C79" w:rsidRPr="009A2B33">
        <w:rPr>
          <w:rFonts w:ascii="Times New Roman" w:eastAsia="Times New Roman" w:hAnsi="Times New Roman" w:cs="Times New Roman"/>
          <w:sz w:val="28"/>
          <w:szCs w:val="28"/>
          <w:lang w:val="en-US"/>
        </w:rPr>
        <w:t>.</w:t>
      </w:r>
    </w:p>
    <w:p w14:paraId="0762EBE0" w14:textId="77777777" w:rsidR="00600C79" w:rsidRPr="009E721B" w:rsidRDefault="00600C79" w:rsidP="00600C79">
      <w:pPr>
        <w:spacing w:after="0" w:line="240" w:lineRule="auto"/>
        <w:ind w:firstLine="709"/>
        <w:contextualSpacing/>
        <w:jc w:val="both"/>
        <w:rPr>
          <w:rFonts w:ascii="Times New Roman" w:eastAsia="Times New Roman" w:hAnsi="Times New Roman" w:cs="Times New Roman"/>
          <w:b/>
          <w:bCs/>
          <w:sz w:val="28"/>
          <w:szCs w:val="28"/>
          <w:lang w:val="en-US"/>
        </w:rPr>
      </w:pPr>
      <w:r w:rsidRPr="009E721B">
        <w:rPr>
          <w:rFonts w:ascii="Times New Roman" w:eastAsia="Times New Roman" w:hAnsi="Times New Roman" w:cs="Times New Roman"/>
          <w:b/>
          <w:bCs/>
          <w:sz w:val="28"/>
          <w:szCs w:val="28"/>
          <w:lang w:val="en-US"/>
        </w:rPr>
        <w:t>The information base of the dissertation research comprises the following sources:</w:t>
      </w:r>
    </w:p>
    <w:p w14:paraId="78FF972F" w14:textId="733905A9" w:rsidR="00600C79" w:rsidRPr="001B67EF" w:rsidRDefault="00600C79" w:rsidP="000D6171">
      <w:pPr>
        <w:pStyle w:val="ad"/>
        <w:numPr>
          <w:ilvl w:val="0"/>
          <w:numId w:val="19"/>
        </w:numPr>
        <w:spacing w:after="0" w:line="240" w:lineRule="auto"/>
        <w:ind w:left="0" w:firstLine="709"/>
        <w:jc w:val="both"/>
        <w:rPr>
          <w:rFonts w:ascii="Times New Roman" w:eastAsia="Times New Roman" w:hAnsi="Times New Roman" w:cs="Times New Roman"/>
          <w:sz w:val="28"/>
          <w:szCs w:val="28"/>
          <w:lang w:val="en-US"/>
        </w:rPr>
      </w:pPr>
      <w:r w:rsidRPr="001B67EF">
        <w:rPr>
          <w:rFonts w:ascii="Times New Roman" w:eastAsia="Times New Roman" w:hAnsi="Times New Roman" w:cs="Times New Roman"/>
          <w:sz w:val="28"/>
          <w:szCs w:val="28"/>
          <w:lang w:val="en-US"/>
        </w:rPr>
        <w:t>Legislative and regulatory legal acts of government bodies in socio-economic development.</w:t>
      </w:r>
    </w:p>
    <w:p w14:paraId="0057E9BA" w14:textId="04271792" w:rsidR="00600C79" w:rsidRPr="000D6171" w:rsidRDefault="00600C79" w:rsidP="000D6171">
      <w:pPr>
        <w:pStyle w:val="ad"/>
        <w:numPr>
          <w:ilvl w:val="0"/>
          <w:numId w:val="19"/>
        </w:numPr>
        <w:spacing w:after="0" w:line="240" w:lineRule="auto"/>
        <w:ind w:left="0" w:firstLine="709"/>
        <w:jc w:val="both"/>
        <w:rPr>
          <w:rFonts w:ascii="Times New Roman" w:eastAsia="Times New Roman" w:hAnsi="Times New Roman" w:cs="Times New Roman"/>
          <w:sz w:val="28"/>
          <w:szCs w:val="28"/>
          <w:lang w:val="en-US"/>
        </w:rPr>
      </w:pPr>
      <w:r w:rsidRPr="009E721B">
        <w:rPr>
          <w:rFonts w:ascii="Times New Roman" w:eastAsia="Times New Roman" w:hAnsi="Times New Roman" w:cs="Times New Roman"/>
          <w:sz w:val="28"/>
          <w:szCs w:val="28"/>
          <w:lang w:val="en-US"/>
        </w:rPr>
        <w:t xml:space="preserve">Informational and analytical materials from the Ministry of Science and Higher Education of Kazakhstan, the Bureau of National Statistics of the Agency for Strategic Planning and Reforms of Kazakhstan, the analytical information system </w:t>
      </w:r>
      <w:r w:rsidRPr="009A2B33">
        <w:rPr>
          <w:rFonts w:ascii="Times New Roman" w:eastAsia="Times New Roman" w:hAnsi="Times New Roman" w:cs="Times New Roman"/>
          <w:sz w:val="28"/>
          <w:szCs w:val="28"/>
          <w:lang w:val="en-US"/>
        </w:rPr>
        <w:t>"</w:t>
      </w:r>
      <w:proofErr w:type="spellStart"/>
      <w:r w:rsidRPr="009A2B33">
        <w:rPr>
          <w:rFonts w:ascii="Times New Roman" w:eastAsia="Times New Roman" w:hAnsi="Times New Roman" w:cs="Times New Roman"/>
          <w:sz w:val="28"/>
          <w:szCs w:val="28"/>
          <w:lang w:val="en-US"/>
        </w:rPr>
        <w:t>Taldau</w:t>
      </w:r>
      <w:proofErr w:type="spellEnd"/>
      <w:r w:rsidRPr="009A2B33">
        <w:rPr>
          <w:rFonts w:ascii="Times New Roman" w:eastAsia="Times New Roman" w:hAnsi="Times New Roman" w:cs="Times New Roman"/>
          <w:sz w:val="28"/>
          <w:szCs w:val="28"/>
          <w:lang w:val="en-US"/>
        </w:rPr>
        <w:t xml:space="preserve">" and the </w:t>
      </w:r>
      <w:r w:rsidRPr="000D6171">
        <w:rPr>
          <w:rFonts w:ascii="Times New Roman" w:eastAsia="Times New Roman" w:hAnsi="Times New Roman" w:cs="Times New Roman"/>
          <w:sz w:val="28"/>
          <w:szCs w:val="28"/>
          <w:lang w:val="en-US"/>
        </w:rPr>
        <w:t>legal information system of regulatory legal acts of Kazakhstan.</w:t>
      </w:r>
    </w:p>
    <w:p w14:paraId="47AE3D97" w14:textId="59092452" w:rsidR="00600C79" w:rsidRPr="000D6171" w:rsidRDefault="00600C79" w:rsidP="000D6171">
      <w:pPr>
        <w:pStyle w:val="ad"/>
        <w:numPr>
          <w:ilvl w:val="0"/>
          <w:numId w:val="19"/>
        </w:numPr>
        <w:spacing w:after="0" w:line="240" w:lineRule="auto"/>
        <w:ind w:left="0" w:firstLine="709"/>
        <w:jc w:val="both"/>
        <w:rPr>
          <w:rFonts w:ascii="Times New Roman" w:eastAsia="Times New Roman" w:hAnsi="Times New Roman" w:cs="Times New Roman"/>
          <w:sz w:val="28"/>
          <w:szCs w:val="28"/>
          <w:lang w:val="en-US"/>
        </w:rPr>
      </w:pPr>
      <w:r w:rsidRPr="000D6171">
        <w:rPr>
          <w:rFonts w:ascii="Times New Roman" w:eastAsia="Times New Roman" w:hAnsi="Times New Roman" w:cs="Times New Roman"/>
          <w:sz w:val="28"/>
          <w:szCs w:val="28"/>
          <w:lang w:val="en-US"/>
        </w:rPr>
        <w:t xml:space="preserve">Global and country reports of </w:t>
      </w:r>
      <w:r w:rsidR="00FA090A" w:rsidRPr="00FA090A">
        <w:rPr>
          <w:rFonts w:ascii="Times New Roman" w:eastAsia="Times New Roman" w:hAnsi="Times New Roman" w:cs="Times New Roman"/>
          <w:sz w:val="28"/>
          <w:szCs w:val="28"/>
          <w:lang w:val="en-US"/>
        </w:rPr>
        <w:t>World Intellectual Property Organization</w:t>
      </w:r>
      <w:r w:rsidR="00FA090A">
        <w:rPr>
          <w:rFonts w:ascii="Times New Roman" w:eastAsia="Times New Roman" w:hAnsi="Times New Roman" w:cs="Times New Roman"/>
          <w:sz w:val="28"/>
          <w:szCs w:val="28"/>
          <w:lang w:val="en-US"/>
        </w:rPr>
        <w:t xml:space="preserve"> (</w:t>
      </w:r>
      <w:r w:rsidRPr="000D6171">
        <w:rPr>
          <w:rFonts w:ascii="Times New Roman" w:eastAsia="Times New Roman" w:hAnsi="Times New Roman" w:cs="Times New Roman"/>
          <w:sz w:val="28"/>
          <w:szCs w:val="28"/>
          <w:lang w:val="en-US"/>
        </w:rPr>
        <w:t>WIPO</w:t>
      </w:r>
      <w:r w:rsidR="00FA090A">
        <w:rPr>
          <w:rFonts w:ascii="Times New Roman" w:eastAsia="Times New Roman" w:hAnsi="Times New Roman" w:cs="Times New Roman"/>
          <w:sz w:val="28"/>
          <w:szCs w:val="28"/>
          <w:lang w:val="en-US"/>
        </w:rPr>
        <w:t xml:space="preserve">) </w:t>
      </w:r>
      <w:r w:rsidRPr="000D6171">
        <w:rPr>
          <w:rFonts w:ascii="Times New Roman" w:eastAsia="Times New Roman" w:hAnsi="Times New Roman" w:cs="Times New Roman"/>
          <w:sz w:val="28"/>
          <w:szCs w:val="28"/>
          <w:lang w:val="en-US"/>
        </w:rPr>
        <w:t>on the Global Innovation Index (GII) for 2008–2023 [1</w:t>
      </w:r>
      <w:r w:rsidR="00DA72A6" w:rsidRPr="00DA72A6">
        <w:rPr>
          <w:rFonts w:ascii="Times New Roman" w:eastAsia="Times New Roman" w:hAnsi="Times New Roman" w:cs="Times New Roman"/>
          <w:sz w:val="28"/>
          <w:szCs w:val="28"/>
          <w:lang w:val="en-US"/>
        </w:rPr>
        <w:t>1</w:t>
      </w:r>
      <w:r w:rsidRPr="000D6171">
        <w:rPr>
          <w:rFonts w:ascii="Times New Roman" w:eastAsia="Times New Roman" w:hAnsi="Times New Roman" w:cs="Times New Roman"/>
          <w:sz w:val="28"/>
          <w:szCs w:val="28"/>
          <w:lang w:val="en-US"/>
        </w:rPr>
        <w:t xml:space="preserve">]. </w:t>
      </w:r>
    </w:p>
    <w:p w14:paraId="58D504E2" w14:textId="465B0630" w:rsidR="00FA090A" w:rsidRPr="00FA090A" w:rsidRDefault="00600C79" w:rsidP="00FA090A">
      <w:pPr>
        <w:pStyle w:val="ad"/>
        <w:numPr>
          <w:ilvl w:val="0"/>
          <w:numId w:val="19"/>
        </w:numPr>
        <w:spacing w:after="0" w:line="240" w:lineRule="auto"/>
        <w:ind w:left="0" w:firstLine="709"/>
        <w:jc w:val="both"/>
        <w:rPr>
          <w:rFonts w:ascii="Times New Roman" w:hAnsi="Times New Roman" w:cs="Times New Roman"/>
          <w:sz w:val="28"/>
          <w:szCs w:val="28"/>
          <w:lang w:val="en-US"/>
        </w:rPr>
      </w:pPr>
      <w:r w:rsidRPr="000D6171">
        <w:rPr>
          <w:rFonts w:ascii="Times New Roman" w:eastAsia="Times New Roman" w:hAnsi="Times New Roman" w:cs="Times New Roman"/>
          <w:sz w:val="28"/>
          <w:szCs w:val="28"/>
          <w:lang w:val="en-US"/>
        </w:rPr>
        <w:t>Global</w:t>
      </w:r>
      <w:r w:rsidRPr="007B358E">
        <w:rPr>
          <w:rFonts w:ascii="Times New Roman" w:eastAsia="Times New Roman" w:hAnsi="Times New Roman" w:cs="Times New Roman"/>
          <w:color w:val="0E101A"/>
          <w:sz w:val="28"/>
          <w:szCs w:val="28"/>
          <w:lang w:val="en-US"/>
        </w:rPr>
        <w:t xml:space="preserve"> and country reports of the GUESSS project for 2021 and 2023</w:t>
      </w:r>
      <w:r w:rsidR="00DA72A6" w:rsidRPr="00DA72A6">
        <w:rPr>
          <w:rFonts w:ascii="Times New Roman" w:eastAsia="Times New Roman" w:hAnsi="Times New Roman" w:cs="Times New Roman"/>
          <w:color w:val="0E101A"/>
          <w:sz w:val="28"/>
          <w:szCs w:val="28"/>
          <w:lang w:val="en-US"/>
        </w:rPr>
        <w:t xml:space="preserve"> </w:t>
      </w:r>
      <w:r w:rsidR="00DA72A6">
        <w:rPr>
          <w:rFonts w:ascii="Times New Roman" w:eastAsia="Times New Roman" w:hAnsi="Times New Roman" w:cs="Times New Roman"/>
          <w:color w:val="0E101A"/>
          <w:sz w:val="28"/>
          <w:szCs w:val="28"/>
          <w:lang w:val="en-US"/>
        </w:rPr>
        <w:t>[12-13]</w:t>
      </w:r>
      <w:r>
        <w:rPr>
          <w:rFonts w:ascii="Times New Roman" w:eastAsia="Times New Roman" w:hAnsi="Times New Roman" w:cs="Times New Roman"/>
          <w:color w:val="0E101A"/>
          <w:sz w:val="28"/>
          <w:szCs w:val="28"/>
          <w:lang w:val="en-US"/>
        </w:rPr>
        <w:t>.</w:t>
      </w:r>
    </w:p>
    <w:p w14:paraId="2A4E1498" w14:textId="47E9364D" w:rsidR="00600C79" w:rsidRDefault="00600C79" w:rsidP="00600C79">
      <w:pPr>
        <w:spacing w:after="0" w:line="240" w:lineRule="auto"/>
        <w:ind w:firstLine="709"/>
        <w:jc w:val="both"/>
        <w:rPr>
          <w:rFonts w:ascii="Times New Roman" w:eastAsia="Times New Roman" w:hAnsi="Times New Roman" w:cs="Times New Roman"/>
          <w:sz w:val="28"/>
          <w:szCs w:val="28"/>
          <w:lang w:val="en-US"/>
        </w:rPr>
      </w:pPr>
      <w:r w:rsidRPr="009E721B">
        <w:rPr>
          <w:rFonts w:ascii="Times New Roman" w:eastAsia="Times New Roman" w:hAnsi="Times New Roman" w:cs="Times New Roman"/>
          <w:sz w:val="28"/>
          <w:szCs w:val="28"/>
          <w:lang w:val="en-US"/>
        </w:rPr>
        <w:t>The validity and reliability of the results of the dissertation are confirmed by theoretical research, applied analytical methods, the use of statistical and economic indicators and data obtained from official sources, and practical calculations.</w:t>
      </w:r>
    </w:p>
    <w:p w14:paraId="730E2518" w14:textId="36045E75" w:rsidR="001E1A46" w:rsidRPr="001E1A46" w:rsidRDefault="001E1A46" w:rsidP="001E1A46">
      <w:pPr>
        <w:spacing w:after="0" w:line="240" w:lineRule="auto"/>
        <w:ind w:firstLine="709"/>
        <w:jc w:val="both"/>
        <w:rPr>
          <w:rFonts w:ascii="Times New Roman" w:eastAsia="Times New Roman" w:hAnsi="Times New Roman" w:cs="Times New Roman"/>
          <w:sz w:val="28"/>
          <w:szCs w:val="28"/>
          <w:lang w:val="en-US"/>
        </w:rPr>
      </w:pPr>
      <w:r w:rsidRPr="001E1A46">
        <w:rPr>
          <w:rFonts w:ascii="Times New Roman" w:eastAsia="Times New Roman" w:hAnsi="Times New Roman" w:cs="Times New Roman"/>
          <w:b/>
          <w:sz w:val="28"/>
          <w:szCs w:val="28"/>
          <w:lang w:val="en-US"/>
        </w:rPr>
        <w:t>Research novelty.</w:t>
      </w:r>
      <w:r w:rsidRPr="00FC585B">
        <w:rPr>
          <w:rFonts w:ascii="Times New Roman" w:eastAsia="Times New Roman" w:hAnsi="Times New Roman" w:cs="Times New Roman"/>
          <w:b/>
          <w:sz w:val="28"/>
          <w:szCs w:val="28"/>
          <w:lang w:val="en-US"/>
        </w:rPr>
        <w:t xml:space="preserve"> </w:t>
      </w:r>
      <w:r w:rsidRPr="001E1A46">
        <w:rPr>
          <w:rFonts w:ascii="Times New Roman" w:eastAsia="Times New Roman" w:hAnsi="Times New Roman" w:cs="Times New Roman"/>
          <w:sz w:val="28"/>
          <w:szCs w:val="28"/>
          <w:lang w:val="en-US"/>
        </w:rPr>
        <w:t>The scientific novelty of this dissertation research is as follows:</w:t>
      </w:r>
      <w:r>
        <w:rPr>
          <w:rFonts w:ascii="Times New Roman" w:eastAsia="Times New Roman" w:hAnsi="Times New Roman" w:cs="Times New Roman"/>
          <w:sz w:val="28"/>
          <w:szCs w:val="28"/>
          <w:lang w:val="en-US"/>
        </w:rPr>
        <w:t xml:space="preserve"> </w:t>
      </w:r>
    </w:p>
    <w:p w14:paraId="00B20E32" w14:textId="77777777" w:rsidR="001E1A46" w:rsidRPr="001E1A46" w:rsidRDefault="001E1A46" w:rsidP="001E1A46">
      <w:pPr>
        <w:numPr>
          <w:ilvl w:val="0"/>
          <w:numId w:val="43"/>
        </w:numPr>
        <w:spacing w:after="0" w:line="240" w:lineRule="auto"/>
        <w:ind w:left="0" w:firstLine="709"/>
        <w:jc w:val="both"/>
        <w:rPr>
          <w:rFonts w:ascii="Times New Roman" w:eastAsia="Times New Roman" w:hAnsi="Times New Roman" w:cs="Times New Roman"/>
          <w:sz w:val="32"/>
          <w:szCs w:val="32"/>
          <w:lang w:val="en-US"/>
        </w:rPr>
      </w:pPr>
      <w:r w:rsidRPr="00FC585B">
        <w:rPr>
          <w:rFonts w:ascii="Times New Roman" w:eastAsia="Times New Roman" w:hAnsi="Times New Roman" w:cs="Times New Roman"/>
          <w:sz w:val="28"/>
          <w:szCs w:val="28"/>
          <w:lang w:val="en-US"/>
        </w:rPr>
        <w:t>Based on the theoretical and methodological approaches research, a concept for innovation management in the universities within the context of the Triple Helix model and entrepreneurial development has been proposed.</w:t>
      </w:r>
    </w:p>
    <w:p w14:paraId="49D74D09" w14:textId="77777777" w:rsidR="001E1A46" w:rsidRPr="00FC585B" w:rsidRDefault="001E1A46" w:rsidP="001E1A46">
      <w:pPr>
        <w:numPr>
          <w:ilvl w:val="0"/>
          <w:numId w:val="43"/>
        </w:numPr>
        <w:spacing w:after="0" w:line="240" w:lineRule="auto"/>
        <w:ind w:left="0" w:firstLine="709"/>
        <w:jc w:val="both"/>
        <w:rPr>
          <w:rFonts w:ascii="Times New Roman" w:eastAsia="Times New Roman" w:hAnsi="Times New Roman" w:cs="Times New Roman"/>
          <w:sz w:val="28"/>
          <w:szCs w:val="28"/>
          <w:lang w:val="en-US"/>
        </w:rPr>
      </w:pPr>
      <w:r w:rsidRPr="00FC585B">
        <w:rPr>
          <w:rFonts w:ascii="Times New Roman" w:eastAsia="Times New Roman" w:hAnsi="Times New Roman" w:cs="Times New Roman"/>
          <w:sz w:val="28"/>
          <w:szCs w:val="28"/>
          <w:lang w:val="en-US"/>
        </w:rPr>
        <w:t>Based on the critical review of thematic trends in research on the evolution of the Triple Helix model, key trends and influencing factors have been identified.</w:t>
      </w:r>
    </w:p>
    <w:p w14:paraId="3CECA68B" w14:textId="77777777" w:rsidR="00C71FDB" w:rsidRPr="00DA7039" w:rsidRDefault="00C71FDB" w:rsidP="00C71FDB">
      <w:pPr>
        <w:numPr>
          <w:ilvl w:val="0"/>
          <w:numId w:val="43"/>
        </w:numPr>
        <w:spacing w:after="0" w:line="240" w:lineRule="auto"/>
        <w:ind w:left="0" w:firstLine="709"/>
        <w:jc w:val="both"/>
        <w:rPr>
          <w:rFonts w:ascii="Times New Roman" w:eastAsia="Times New Roman" w:hAnsi="Times New Roman" w:cs="Times New Roman"/>
          <w:sz w:val="28"/>
          <w:szCs w:val="28"/>
          <w:lang w:val="en-US"/>
        </w:rPr>
      </w:pPr>
      <w:r w:rsidRPr="00DA7039">
        <w:rPr>
          <w:rFonts w:ascii="Times New Roman" w:eastAsia="Times New Roman" w:hAnsi="Times New Roman" w:cs="Times New Roman"/>
          <w:sz w:val="28"/>
          <w:szCs w:val="28"/>
          <w:lang w:val="en-US"/>
        </w:rPr>
        <w:t>A country-level analysis of the realization of the Triple Helix model has been conducted, with lessons drawn from international practice and recommendations provided for Kazakhstan.</w:t>
      </w:r>
    </w:p>
    <w:p w14:paraId="6AE9B43B" w14:textId="77777777" w:rsidR="001E1A46" w:rsidRPr="00FC585B" w:rsidRDefault="001E1A46" w:rsidP="001E1A46">
      <w:pPr>
        <w:numPr>
          <w:ilvl w:val="0"/>
          <w:numId w:val="43"/>
        </w:numPr>
        <w:spacing w:after="0" w:line="240" w:lineRule="auto"/>
        <w:ind w:left="0" w:firstLine="709"/>
        <w:jc w:val="both"/>
        <w:rPr>
          <w:rFonts w:ascii="Times New Roman" w:eastAsia="Times New Roman" w:hAnsi="Times New Roman" w:cs="Times New Roman"/>
          <w:sz w:val="28"/>
          <w:szCs w:val="28"/>
          <w:lang w:val="en-US"/>
        </w:rPr>
      </w:pPr>
      <w:r w:rsidRPr="00FC585B">
        <w:rPr>
          <w:rFonts w:ascii="Times New Roman" w:eastAsia="Times New Roman" w:hAnsi="Times New Roman" w:cs="Times New Roman"/>
          <w:sz w:val="28"/>
          <w:szCs w:val="28"/>
          <w:lang w:val="en-US"/>
        </w:rPr>
        <w:lastRenderedPageBreak/>
        <w:t>Based on empirical research, key factors influencing the development of student entrepreneurship and the employability of university graduates in Kazakhstan have been identified.</w:t>
      </w:r>
    </w:p>
    <w:p w14:paraId="22B41C9E" w14:textId="618390AE" w:rsidR="001E1A46" w:rsidRPr="00FC585B" w:rsidRDefault="001E1A46" w:rsidP="001E1A46">
      <w:pPr>
        <w:numPr>
          <w:ilvl w:val="0"/>
          <w:numId w:val="43"/>
        </w:numPr>
        <w:spacing w:after="0" w:line="240" w:lineRule="auto"/>
        <w:ind w:left="0" w:firstLine="709"/>
        <w:jc w:val="both"/>
        <w:rPr>
          <w:rFonts w:ascii="Times New Roman" w:hAnsi="Times New Roman" w:cs="Times New Roman"/>
          <w:sz w:val="28"/>
          <w:szCs w:val="28"/>
          <w:lang w:val="en-US"/>
        </w:rPr>
      </w:pPr>
      <w:r w:rsidRPr="00FC585B">
        <w:rPr>
          <w:rFonts w:ascii="Times New Roman" w:eastAsia="Times New Roman" w:hAnsi="Times New Roman" w:cs="Times New Roman"/>
          <w:sz w:val="28"/>
          <w:szCs w:val="28"/>
          <w:lang w:val="en-US"/>
        </w:rPr>
        <w:t>Strategic approaches are proposed to enhance innovation management in Kazakhstani universities</w:t>
      </w:r>
      <w:r w:rsidRPr="00FC585B">
        <w:rPr>
          <w:rFonts w:ascii="Times New Roman" w:hAnsi="Times New Roman" w:cs="Times New Roman"/>
          <w:sz w:val="28"/>
          <w:szCs w:val="28"/>
          <w:lang w:val="en-US"/>
        </w:rPr>
        <w:t>, based on digitalization, entrepreneurship development and university-business collaboration</w:t>
      </w:r>
      <w:r w:rsidRPr="001E1A46">
        <w:rPr>
          <w:rFonts w:ascii="Times New Roman" w:hAnsi="Times New Roman" w:cs="Times New Roman"/>
          <w:sz w:val="28"/>
          <w:szCs w:val="28"/>
          <w:lang w:val="en-US"/>
        </w:rPr>
        <w:t>.</w:t>
      </w:r>
      <w:r w:rsidR="00C71FDB">
        <w:rPr>
          <w:rFonts w:ascii="Times New Roman" w:hAnsi="Times New Roman" w:cs="Times New Roman"/>
          <w:sz w:val="28"/>
          <w:szCs w:val="28"/>
          <w:lang w:val="kk-KZ"/>
        </w:rPr>
        <w:t xml:space="preserve"> </w:t>
      </w:r>
    </w:p>
    <w:p w14:paraId="72BAA380" w14:textId="77777777" w:rsidR="001E1A46" w:rsidRPr="001E1A46" w:rsidRDefault="001E1A46" w:rsidP="001E1A46">
      <w:pPr>
        <w:spacing w:after="0" w:line="240" w:lineRule="auto"/>
        <w:ind w:firstLine="709"/>
        <w:jc w:val="both"/>
        <w:rPr>
          <w:rFonts w:ascii="Times New Roman" w:eastAsia="Times New Roman" w:hAnsi="Times New Roman" w:cs="Times New Roman"/>
          <w:b/>
          <w:sz w:val="28"/>
          <w:szCs w:val="28"/>
          <w:lang w:val="en-US"/>
        </w:rPr>
      </w:pPr>
      <w:r w:rsidRPr="001E1A46">
        <w:rPr>
          <w:rFonts w:ascii="Times New Roman" w:eastAsia="Times New Roman" w:hAnsi="Times New Roman" w:cs="Times New Roman"/>
          <w:b/>
          <w:sz w:val="28"/>
          <w:szCs w:val="28"/>
          <w:lang w:val="en-US"/>
        </w:rPr>
        <w:t>Key Scientific Propositions of the Dissertation Presented for Defense.</w:t>
      </w:r>
    </w:p>
    <w:p w14:paraId="7D1F57FD" w14:textId="77777777" w:rsidR="001E1A46" w:rsidRPr="001E1A46" w:rsidRDefault="001E1A46" w:rsidP="001E1A46">
      <w:pPr>
        <w:numPr>
          <w:ilvl w:val="0"/>
          <w:numId w:val="45"/>
        </w:numPr>
        <w:spacing w:after="0" w:line="240" w:lineRule="auto"/>
        <w:ind w:left="0" w:firstLine="709"/>
        <w:jc w:val="both"/>
        <w:rPr>
          <w:rFonts w:ascii="Times New Roman" w:eastAsia="Times New Roman" w:hAnsi="Times New Roman" w:cs="Times New Roman"/>
          <w:bCs/>
          <w:sz w:val="28"/>
          <w:szCs w:val="28"/>
          <w:lang w:val="en-US"/>
        </w:rPr>
      </w:pPr>
      <w:r w:rsidRPr="001E1A46">
        <w:rPr>
          <w:rFonts w:ascii="Times New Roman" w:eastAsia="Times New Roman" w:hAnsi="Times New Roman" w:cs="Times New Roman"/>
          <w:bCs/>
          <w:sz w:val="28"/>
          <w:szCs w:val="28"/>
          <w:lang w:val="en-US"/>
        </w:rPr>
        <w:t xml:space="preserve">The concept of innovation management in universities </w:t>
      </w:r>
      <w:r w:rsidRPr="00FC585B">
        <w:rPr>
          <w:rFonts w:ascii="Times New Roman" w:eastAsia="Times New Roman" w:hAnsi="Times New Roman" w:cs="Times New Roman"/>
          <w:bCs/>
          <w:sz w:val="28"/>
          <w:szCs w:val="28"/>
          <w:lang w:val="en-US"/>
        </w:rPr>
        <w:t>in the context of</w:t>
      </w:r>
      <w:r w:rsidRPr="001E1A46">
        <w:rPr>
          <w:rFonts w:ascii="Times New Roman" w:eastAsia="Times New Roman" w:hAnsi="Times New Roman" w:cs="Times New Roman"/>
          <w:bCs/>
          <w:sz w:val="28"/>
          <w:szCs w:val="28"/>
          <w:lang w:val="en-US"/>
        </w:rPr>
        <w:t xml:space="preserve"> the Triple Helix model, entrepreneurship and </w:t>
      </w:r>
      <w:r w:rsidRPr="00FC585B">
        <w:rPr>
          <w:rFonts w:ascii="Times New Roman" w:eastAsia="Times New Roman" w:hAnsi="Times New Roman" w:cs="Times New Roman"/>
          <w:bCs/>
          <w:sz w:val="28"/>
          <w:szCs w:val="28"/>
          <w:lang w:val="en-US"/>
        </w:rPr>
        <w:t>regional development</w:t>
      </w:r>
      <w:r w:rsidRPr="001E1A46">
        <w:rPr>
          <w:rFonts w:ascii="Times New Roman" w:eastAsia="Times New Roman" w:hAnsi="Times New Roman" w:cs="Times New Roman"/>
          <w:bCs/>
          <w:sz w:val="28"/>
          <w:szCs w:val="28"/>
          <w:lang w:val="en-US"/>
        </w:rPr>
        <w:t>.</w:t>
      </w:r>
    </w:p>
    <w:p w14:paraId="5EAB2FD4" w14:textId="0C414680" w:rsidR="00C71FDB" w:rsidRPr="00C71FDB" w:rsidRDefault="00C71FDB" w:rsidP="00C71FDB">
      <w:pPr>
        <w:numPr>
          <w:ilvl w:val="0"/>
          <w:numId w:val="45"/>
        </w:numPr>
        <w:spacing w:after="0" w:line="240" w:lineRule="auto"/>
        <w:ind w:left="0" w:firstLine="709"/>
        <w:jc w:val="both"/>
        <w:rPr>
          <w:rFonts w:ascii="Times New Roman" w:eastAsia="Times New Roman" w:hAnsi="Times New Roman" w:cs="Times New Roman"/>
          <w:bCs/>
          <w:sz w:val="28"/>
          <w:szCs w:val="28"/>
          <w:lang w:val="en-US"/>
        </w:rPr>
      </w:pPr>
      <w:r w:rsidRPr="00C71FDB">
        <w:rPr>
          <w:rFonts w:ascii="Times New Roman" w:eastAsia="Times New Roman" w:hAnsi="Times New Roman" w:cs="Times New Roman"/>
          <w:bCs/>
          <w:sz w:val="28"/>
          <w:szCs w:val="28"/>
          <w:lang w:val="en-US"/>
        </w:rPr>
        <w:t>The influence of the Triple Helix model on the development of science and technology clusters based on university–business collaboration in Kazakhstan has been examined.</w:t>
      </w:r>
      <w:r>
        <w:rPr>
          <w:rFonts w:ascii="Times New Roman" w:eastAsia="Times New Roman" w:hAnsi="Times New Roman" w:cs="Times New Roman"/>
          <w:bCs/>
          <w:sz w:val="28"/>
          <w:szCs w:val="28"/>
          <w:lang w:val="kk-KZ"/>
        </w:rPr>
        <w:t xml:space="preserve"> </w:t>
      </w:r>
    </w:p>
    <w:p w14:paraId="52879949" w14:textId="77777777" w:rsidR="001E1A46" w:rsidRPr="001E1A46" w:rsidRDefault="001E1A46" w:rsidP="001E1A46">
      <w:pPr>
        <w:numPr>
          <w:ilvl w:val="0"/>
          <w:numId w:val="45"/>
        </w:numPr>
        <w:spacing w:after="0" w:line="240" w:lineRule="auto"/>
        <w:ind w:left="0" w:firstLine="709"/>
        <w:jc w:val="both"/>
        <w:rPr>
          <w:rFonts w:ascii="Times New Roman" w:eastAsia="Times New Roman" w:hAnsi="Times New Roman" w:cs="Times New Roman"/>
          <w:bCs/>
          <w:sz w:val="28"/>
          <w:szCs w:val="28"/>
          <w:lang w:val="en-US"/>
        </w:rPr>
      </w:pPr>
      <w:r w:rsidRPr="001E1A46">
        <w:rPr>
          <w:rFonts w:ascii="Times New Roman" w:eastAsia="Times New Roman" w:hAnsi="Times New Roman" w:cs="Times New Roman"/>
          <w:bCs/>
          <w:sz w:val="28"/>
          <w:szCs w:val="28"/>
          <w:lang w:val="en-US"/>
        </w:rPr>
        <w:t>Empirical research findings on the impact of the university environment on the entrepreneurial intentions and</w:t>
      </w:r>
      <w:r w:rsidRPr="00FC585B">
        <w:rPr>
          <w:rFonts w:ascii="Times New Roman" w:eastAsia="Times New Roman" w:hAnsi="Times New Roman" w:cs="Times New Roman"/>
          <w:bCs/>
          <w:sz w:val="28"/>
          <w:szCs w:val="28"/>
          <w:lang w:val="en-US"/>
        </w:rPr>
        <w:t xml:space="preserve"> </w:t>
      </w:r>
      <w:r w:rsidRPr="001E1A46">
        <w:rPr>
          <w:rFonts w:ascii="Times New Roman" w:eastAsia="Times New Roman" w:hAnsi="Times New Roman" w:cs="Times New Roman"/>
          <w:bCs/>
          <w:sz w:val="28"/>
          <w:szCs w:val="28"/>
          <w:lang w:val="en-US"/>
        </w:rPr>
        <w:t>entrepreneurial activities of Kazakhstani students.</w:t>
      </w:r>
    </w:p>
    <w:p w14:paraId="371062E2" w14:textId="77777777" w:rsidR="001E1A46" w:rsidRPr="001E1A46" w:rsidRDefault="001E1A46" w:rsidP="001E1A46">
      <w:pPr>
        <w:numPr>
          <w:ilvl w:val="0"/>
          <w:numId w:val="45"/>
        </w:numPr>
        <w:spacing w:after="0" w:line="240" w:lineRule="auto"/>
        <w:ind w:left="0" w:firstLine="709"/>
        <w:jc w:val="both"/>
        <w:rPr>
          <w:rFonts w:ascii="Times New Roman" w:eastAsia="Times New Roman" w:hAnsi="Times New Roman" w:cs="Times New Roman"/>
          <w:bCs/>
          <w:sz w:val="28"/>
          <w:szCs w:val="28"/>
          <w:lang w:val="en-US"/>
        </w:rPr>
      </w:pPr>
      <w:r w:rsidRPr="001E1A46">
        <w:rPr>
          <w:rFonts w:ascii="Times New Roman" w:eastAsia="Times New Roman" w:hAnsi="Times New Roman" w:cs="Times New Roman"/>
          <w:bCs/>
          <w:sz w:val="28"/>
          <w:szCs w:val="28"/>
          <w:lang w:val="en-US"/>
        </w:rPr>
        <w:t>Empirical research findings on the</w:t>
      </w:r>
      <w:r w:rsidRPr="00FC585B">
        <w:rPr>
          <w:rFonts w:ascii="Times New Roman" w:eastAsia="Times New Roman" w:hAnsi="Times New Roman" w:cs="Times New Roman"/>
          <w:bCs/>
          <w:sz w:val="28"/>
          <w:szCs w:val="28"/>
          <w:lang w:val="en-US"/>
        </w:rPr>
        <w:t xml:space="preserve"> positive and negative</w:t>
      </w:r>
      <w:r w:rsidRPr="001E1A46">
        <w:rPr>
          <w:rFonts w:ascii="Times New Roman" w:eastAsia="Times New Roman" w:hAnsi="Times New Roman" w:cs="Times New Roman"/>
          <w:bCs/>
          <w:sz w:val="28"/>
          <w:szCs w:val="28"/>
          <w:lang w:val="en-US"/>
        </w:rPr>
        <w:t xml:space="preserve"> factors influencing the successful employment of Kazakhstani graduates.</w:t>
      </w:r>
    </w:p>
    <w:p w14:paraId="2F693B21" w14:textId="790A0EF0" w:rsidR="001E1A46" w:rsidRPr="001E1A46" w:rsidRDefault="001E1A46" w:rsidP="001E1A46">
      <w:pPr>
        <w:numPr>
          <w:ilvl w:val="0"/>
          <w:numId w:val="45"/>
        </w:numPr>
        <w:spacing w:after="0" w:line="240" w:lineRule="auto"/>
        <w:ind w:left="0" w:firstLine="709"/>
        <w:jc w:val="both"/>
        <w:rPr>
          <w:rFonts w:ascii="Times New Roman" w:eastAsia="Times New Roman" w:hAnsi="Times New Roman" w:cs="Times New Roman"/>
          <w:bCs/>
          <w:sz w:val="28"/>
          <w:szCs w:val="28"/>
          <w:lang w:val="en-US"/>
        </w:rPr>
      </w:pPr>
      <w:r w:rsidRPr="001E1A46">
        <w:rPr>
          <w:rFonts w:ascii="Times New Roman" w:eastAsia="Times New Roman" w:hAnsi="Times New Roman" w:cs="Times New Roman"/>
          <w:bCs/>
          <w:sz w:val="28"/>
          <w:szCs w:val="28"/>
          <w:lang w:val="en-US"/>
        </w:rPr>
        <w:t>Strategic approaches to innovation management in Kazakhstani universities have been proposed, based on the integration of artificial intelligence and</w:t>
      </w:r>
      <w:r w:rsidRPr="00FC585B">
        <w:rPr>
          <w:rFonts w:ascii="Times New Roman" w:eastAsia="Times New Roman" w:hAnsi="Times New Roman" w:cs="Times New Roman"/>
          <w:bCs/>
          <w:sz w:val="28"/>
          <w:szCs w:val="28"/>
          <w:lang w:val="en-US"/>
        </w:rPr>
        <w:t xml:space="preserve"> visualization of the psychological </w:t>
      </w:r>
      <w:r w:rsidRPr="001E1A46">
        <w:rPr>
          <w:rFonts w:ascii="Times New Roman" w:eastAsia="Times New Roman" w:hAnsi="Times New Roman" w:cs="Times New Roman"/>
          <w:bCs/>
          <w:sz w:val="28"/>
          <w:szCs w:val="28"/>
          <w:lang w:val="en-US"/>
        </w:rPr>
        <w:t xml:space="preserve">goal-gradient effect into </w:t>
      </w:r>
      <w:r w:rsidRPr="00FC585B">
        <w:rPr>
          <w:rFonts w:ascii="Times New Roman" w:eastAsia="Times New Roman" w:hAnsi="Times New Roman" w:cs="Times New Roman"/>
          <w:bCs/>
          <w:sz w:val="28"/>
          <w:szCs w:val="28"/>
          <w:lang w:val="en-US"/>
        </w:rPr>
        <w:t>digital</w:t>
      </w:r>
      <w:r w:rsidRPr="001E1A46">
        <w:rPr>
          <w:rFonts w:ascii="Times New Roman" w:eastAsia="Times New Roman" w:hAnsi="Times New Roman" w:cs="Times New Roman"/>
          <w:bCs/>
          <w:sz w:val="28"/>
          <w:szCs w:val="28"/>
          <w:lang w:val="en-US"/>
        </w:rPr>
        <w:t xml:space="preserve"> platforms</w:t>
      </w:r>
      <w:r w:rsidRPr="00FC585B">
        <w:rPr>
          <w:rFonts w:ascii="Times New Roman" w:eastAsia="Times New Roman" w:hAnsi="Times New Roman" w:cs="Times New Roman"/>
          <w:bCs/>
          <w:sz w:val="28"/>
          <w:szCs w:val="28"/>
          <w:lang w:val="en-US"/>
        </w:rPr>
        <w:t>.</w:t>
      </w:r>
    </w:p>
    <w:p w14:paraId="040F4B19" w14:textId="5FC8A4DA" w:rsidR="00600C79" w:rsidRPr="001B67EF" w:rsidRDefault="00600C79" w:rsidP="00600C79">
      <w:pPr>
        <w:spacing w:after="0" w:line="240" w:lineRule="auto"/>
        <w:ind w:firstLine="709"/>
        <w:contextualSpacing/>
        <w:jc w:val="both"/>
        <w:rPr>
          <w:rFonts w:ascii="Times New Roman" w:eastAsia="Times New Roman" w:hAnsi="Times New Roman" w:cs="Times New Roman"/>
          <w:sz w:val="28"/>
          <w:szCs w:val="28"/>
          <w:lang w:val="en-US"/>
        </w:rPr>
      </w:pPr>
      <w:r w:rsidRPr="001B67EF">
        <w:rPr>
          <w:rFonts w:ascii="Times New Roman" w:eastAsia="Times New Roman" w:hAnsi="Times New Roman" w:cs="Times New Roman"/>
          <w:b/>
          <w:bCs/>
          <w:sz w:val="28"/>
          <w:szCs w:val="28"/>
          <w:lang w:val="en-US"/>
        </w:rPr>
        <w:t>Theoretical and practical significance of the dissertation research.</w:t>
      </w:r>
    </w:p>
    <w:p w14:paraId="59C0AA10" w14:textId="497694D9" w:rsidR="00600C79" w:rsidRPr="001B67EF" w:rsidRDefault="00600C79" w:rsidP="00600C79">
      <w:pPr>
        <w:spacing w:after="0" w:line="240" w:lineRule="auto"/>
        <w:ind w:firstLine="709"/>
        <w:contextualSpacing/>
        <w:jc w:val="both"/>
        <w:rPr>
          <w:rFonts w:ascii="Times New Roman" w:eastAsia="Times New Roman" w:hAnsi="Times New Roman" w:cs="Times New Roman"/>
          <w:sz w:val="28"/>
          <w:szCs w:val="28"/>
          <w:lang w:val="en-US"/>
        </w:rPr>
      </w:pPr>
      <w:r w:rsidRPr="001B67EF">
        <w:rPr>
          <w:rFonts w:ascii="Times New Roman" w:eastAsia="Times New Roman" w:hAnsi="Times New Roman" w:cs="Times New Roman"/>
          <w:sz w:val="28"/>
          <w:szCs w:val="28"/>
          <w:lang w:val="en-US"/>
        </w:rPr>
        <w:t>The theoretical significance of the dissertation lies in the comprehensive study of international and domestic practices of managing the Triple Helix model, as well as the thematic assessment and evolution of the research field. This dissertation contributes to the broader academic literature on the Triple Helix model, particularly in the context of regional development and university-business collaboration in emerging economies.</w:t>
      </w:r>
      <w:r w:rsidR="009B0E2F" w:rsidRPr="001B67EF">
        <w:rPr>
          <w:rFonts w:ascii="Times New Roman" w:eastAsia="Times New Roman" w:hAnsi="Times New Roman" w:cs="Times New Roman"/>
          <w:sz w:val="28"/>
          <w:szCs w:val="28"/>
          <w:lang w:val="en-US"/>
        </w:rPr>
        <w:t xml:space="preserve"> </w:t>
      </w:r>
    </w:p>
    <w:p w14:paraId="4F49198E" w14:textId="77777777" w:rsidR="00600C79" w:rsidRDefault="00600C79" w:rsidP="00600C79">
      <w:pPr>
        <w:spacing w:after="0" w:line="240" w:lineRule="auto"/>
        <w:ind w:firstLine="709"/>
        <w:contextualSpacing/>
        <w:jc w:val="both"/>
        <w:rPr>
          <w:rFonts w:ascii="Times New Roman" w:eastAsia="Times New Roman" w:hAnsi="Times New Roman" w:cs="Times New Roman"/>
          <w:sz w:val="28"/>
          <w:szCs w:val="28"/>
          <w:lang w:val="en-US"/>
        </w:rPr>
      </w:pPr>
      <w:r w:rsidRPr="00A67C25">
        <w:rPr>
          <w:rFonts w:ascii="Times New Roman" w:eastAsia="Times New Roman" w:hAnsi="Times New Roman" w:cs="Times New Roman"/>
          <w:sz w:val="28"/>
          <w:szCs w:val="28"/>
          <w:lang w:val="en-US"/>
        </w:rPr>
        <w:t>The empirical research findings on the identification of factors associated with students' successful employment and entrepreneurial achievements can serve as a foundation for decision-making and the development of government programs and university initiatives for university administrators and other stakeholders.</w:t>
      </w:r>
    </w:p>
    <w:p w14:paraId="42662C16" w14:textId="77777777" w:rsidR="00600C79" w:rsidRPr="009E721B" w:rsidRDefault="00600C79" w:rsidP="00600C79">
      <w:pPr>
        <w:spacing w:after="0" w:line="240" w:lineRule="auto"/>
        <w:ind w:firstLine="709"/>
        <w:contextualSpacing/>
        <w:jc w:val="both"/>
        <w:rPr>
          <w:rFonts w:ascii="Times New Roman" w:hAnsi="Times New Roman" w:cs="Times New Roman"/>
          <w:b/>
          <w:bCs/>
          <w:sz w:val="28"/>
          <w:szCs w:val="28"/>
          <w:lang w:val="en-US"/>
        </w:rPr>
      </w:pPr>
      <w:r w:rsidRPr="009E721B">
        <w:rPr>
          <w:rFonts w:ascii="Times New Roman" w:eastAsia="Times New Roman" w:hAnsi="Times New Roman" w:cs="Times New Roman"/>
          <w:b/>
          <w:bCs/>
          <w:sz w:val="28"/>
          <w:szCs w:val="28"/>
          <w:lang w:val="en-US"/>
        </w:rPr>
        <w:t>Approbation of research results.</w:t>
      </w:r>
    </w:p>
    <w:p w14:paraId="64B6171D" w14:textId="254024EA" w:rsidR="00600C79" w:rsidRPr="009232D5" w:rsidRDefault="00600C79" w:rsidP="00600C79">
      <w:pPr>
        <w:spacing w:after="0" w:line="240" w:lineRule="auto"/>
        <w:ind w:firstLine="709"/>
        <w:contextualSpacing/>
        <w:jc w:val="both"/>
        <w:rPr>
          <w:rFonts w:ascii="Times New Roman" w:eastAsia="Times New Roman" w:hAnsi="Times New Roman" w:cs="Times New Roman"/>
          <w:sz w:val="28"/>
          <w:szCs w:val="28"/>
          <w:lang w:val="kk-KZ"/>
        </w:rPr>
      </w:pPr>
      <w:r w:rsidRPr="002C4FC1">
        <w:rPr>
          <w:rFonts w:ascii="Times New Roman" w:eastAsia="Times New Roman" w:hAnsi="Times New Roman" w:cs="Times New Roman"/>
          <w:sz w:val="28"/>
          <w:szCs w:val="28"/>
          <w:lang w:val="en-US"/>
        </w:rPr>
        <w:t xml:space="preserve">The dissertation research findings, along with its key propositions and conclusions, have been presented in scientific publications and discussed at national and international scientific-practical conferences and seminars. A total of six academic papers have been published on the dissertation topic, including two articles in Scopus-indexed Q2 journals, three articles in journals </w:t>
      </w:r>
      <w:r w:rsidR="007A6151">
        <w:rPr>
          <w:rFonts w:ascii="Times New Roman" w:eastAsia="Times New Roman" w:hAnsi="Times New Roman" w:cs="Times New Roman"/>
          <w:sz w:val="28"/>
          <w:szCs w:val="28"/>
          <w:lang w:val="en-US"/>
        </w:rPr>
        <w:t xml:space="preserve">recommended </w:t>
      </w:r>
      <w:r w:rsidRPr="002C4FC1">
        <w:rPr>
          <w:rFonts w:ascii="Times New Roman" w:eastAsia="Times New Roman" w:hAnsi="Times New Roman" w:cs="Times New Roman"/>
          <w:sz w:val="28"/>
          <w:szCs w:val="28"/>
          <w:lang w:val="en-US"/>
        </w:rPr>
        <w:t>by</w:t>
      </w:r>
      <w:r w:rsidR="009232D5">
        <w:rPr>
          <w:rFonts w:ascii="Times New Roman" w:eastAsia="Times New Roman" w:hAnsi="Times New Roman" w:cs="Times New Roman"/>
          <w:sz w:val="28"/>
          <w:szCs w:val="28"/>
          <w:lang w:val="kk-KZ"/>
        </w:rPr>
        <w:t xml:space="preserve"> </w:t>
      </w:r>
      <w:r w:rsidRPr="002C4FC1">
        <w:rPr>
          <w:rFonts w:ascii="Times New Roman" w:eastAsia="Times New Roman" w:hAnsi="Times New Roman" w:cs="Times New Roman"/>
          <w:sz w:val="28"/>
          <w:szCs w:val="28"/>
          <w:lang w:val="en-US"/>
        </w:rPr>
        <w:t>the</w:t>
      </w:r>
      <w:r w:rsidR="009232D5">
        <w:rPr>
          <w:rFonts w:ascii="Times New Roman" w:eastAsia="Times New Roman" w:hAnsi="Times New Roman" w:cs="Times New Roman"/>
          <w:sz w:val="28"/>
          <w:szCs w:val="28"/>
          <w:lang w:val="kk-KZ"/>
        </w:rPr>
        <w:t xml:space="preserve"> </w:t>
      </w:r>
      <w:r w:rsidR="00F72F6E" w:rsidRPr="00F72F6E">
        <w:rPr>
          <w:rFonts w:ascii="Times New Roman" w:eastAsia="Times New Roman" w:hAnsi="Times New Roman" w:cs="Times New Roman"/>
          <w:sz w:val="28"/>
          <w:szCs w:val="28"/>
          <w:lang w:val="en-US"/>
        </w:rPr>
        <w:t>Science and Higher Education Quality Assurance Committee of the Ministry of Science and Higher Education of the Republic of Kazakhstan</w:t>
      </w:r>
      <w:r w:rsidRPr="002C4FC1">
        <w:rPr>
          <w:rFonts w:ascii="Times New Roman" w:eastAsia="Times New Roman" w:hAnsi="Times New Roman" w:cs="Times New Roman"/>
          <w:sz w:val="28"/>
          <w:szCs w:val="28"/>
          <w:lang w:val="en-US"/>
        </w:rPr>
        <w:t>, one article in the journal of Al-</w:t>
      </w:r>
      <w:proofErr w:type="spellStart"/>
      <w:r w:rsidRPr="002C4FC1">
        <w:rPr>
          <w:rFonts w:ascii="Times New Roman" w:eastAsia="Times New Roman" w:hAnsi="Times New Roman" w:cs="Times New Roman"/>
          <w:sz w:val="28"/>
          <w:szCs w:val="28"/>
          <w:lang w:val="en-US"/>
        </w:rPr>
        <w:t>Farabi</w:t>
      </w:r>
      <w:proofErr w:type="spellEnd"/>
      <w:r w:rsidRPr="002C4FC1">
        <w:rPr>
          <w:rFonts w:ascii="Times New Roman" w:eastAsia="Times New Roman" w:hAnsi="Times New Roman" w:cs="Times New Roman"/>
          <w:sz w:val="28"/>
          <w:szCs w:val="28"/>
          <w:lang w:val="en-US"/>
        </w:rPr>
        <w:t xml:space="preserve"> Kazakh National University, as well as three copyright certificates and an implementation act.</w:t>
      </w:r>
      <w:r w:rsidR="007116BC">
        <w:rPr>
          <w:rFonts w:ascii="Times New Roman" w:eastAsia="Times New Roman" w:hAnsi="Times New Roman" w:cs="Times New Roman"/>
          <w:sz w:val="28"/>
          <w:szCs w:val="28"/>
          <w:lang w:val="kk-KZ"/>
        </w:rPr>
        <w:t xml:space="preserve"> </w:t>
      </w:r>
      <w:r w:rsidR="009232D5">
        <w:rPr>
          <w:rFonts w:ascii="Times New Roman" w:eastAsia="Times New Roman" w:hAnsi="Times New Roman" w:cs="Times New Roman"/>
          <w:sz w:val="28"/>
          <w:szCs w:val="28"/>
          <w:lang w:val="kk-KZ"/>
        </w:rPr>
        <w:t xml:space="preserve"> </w:t>
      </w:r>
    </w:p>
    <w:p w14:paraId="54C409CD" w14:textId="0588B671" w:rsidR="001941FC" w:rsidRDefault="00600C79" w:rsidP="001941FC">
      <w:pPr>
        <w:spacing w:after="0" w:line="240" w:lineRule="auto"/>
        <w:ind w:firstLine="709"/>
        <w:contextualSpacing/>
        <w:jc w:val="both"/>
        <w:rPr>
          <w:rFonts w:ascii="Times New Roman" w:eastAsia="Times New Roman" w:hAnsi="Times New Roman" w:cs="Times New Roman"/>
          <w:sz w:val="28"/>
          <w:szCs w:val="28"/>
          <w:lang w:val="en-US"/>
        </w:rPr>
      </w:pPr>
      <w:r w:rsidRPr="009E721B">
        <w:rPr>
          <w:rFonts w:ascii="Times New Roman" w:eastAsia="Times New Roman" w:hAnsi="Times New Roman" w:cs="Times New Roman"/>
          <w:b/>
          <w:bCs/>
          <w:sz w:val="28"/>
          <w:szCs w:val="28"/>
          <w:lang w:val="en-US"/>
        </w:rPr>
        <w:t xml:space="preserve">Structure and scope of the dissertation. </w:t>
      </w:r>
      <w:r w:rsidRPr="009E721B">
        <w:rPr>
          <w:rFonts w:ascii="Times New Roman" w:eastAsia="Times New Roman" w:hAnsi="Times New Roman" w:cs="Times New Roman"/>
          <w:sz w:val="28"/>
          <w:szCs w:val="28"/>
          <w:lang w:val="en-US"/>
        </w:rPr>
        <w:t xml:space="preserve">The goals and objectives predetermined the composition of the dissertation, which consists of an introduction, three chapters with several </w:t>
      </w:r>
      <w:r w:rsidRPr="0074076A">
        <w:rPr>
          <w:rFonts w:ascii="Times New Roman" w:eastAsia="Times New Roman" w:hAnsi="Times New Roman" w:cs="Times New Roman"/>
          <w:sz w:val="28"/>
          <w:szCs w:val="28"/>
          <w:lang w:val="en-US"/>
        </w:rPr>
        <w:t>subsections, a conclusion, recommendation, appendix A/B/C</w:t>
      </w:r>
      <w:r w:rsidR="0074076A">
        <w:rPr>
          <w:rFonts w:ascii="Times New Roman" w:eastAsia="Times New Roman" w:hAnsi="Times New Roman" w:cs="Times New Roman"/>
          <w:sz w:val="28"/>
          <w:szCs w:val="28"/>
          <w:lang w:val="en-US"/>
        </w:rPr>
        <w:t>/D</w:t>
      </w:r>
      <w:r w:rsidR="0054045C">
        <w:rPr>
          <w:rFonts w:ascii="Times New Roman" w:eastAsia="Times New Roman" w:hAnsi="Times New Roman" w:cs="Times New Roman"/>
          <w:sz w:val="28"/>
          <w:szCs w:val="28"/>
          <w:lang w:val="en-US"/>
        </w:rPr>
        <w:t>/E</w:t>
      </w:r>
      <w:r w:rsidRPr="0074076A">
        <w:rPr>
          <w:rFonts w:ascii="Times New Roman" w:eastAsia="Times New Roman" w:hAnsi="Times New Roman" w:cs="Times New Roman"/>
          <w:sz w:val="28"/>
          <w:szCs w:val="28"/>
          <w:lang w:val="en-US"/>
        </w:rPr>
        <w:t xml:space="preserve"> and a list of sources used. The total volume of the study is pages of </w:t>
      </w:r>
      <w:r w:rsidR="0074076A" w:rsidRPr="0074076A">
        <w:rPr>
          <w:rFonts w:ascii="Times New Roman" w:eastAsia="Times New Roman" w:hAnsi="Times New Roman" w:cs="Times New Roman"/>
          <w:sz w:val="28"/>
          <w:szCs w:val="28"/>
          <w:lang w:val="en-US"/>
        </w:rPr>
        <w:t>24</w:t>
      </w:r>
      <w:r w:rsidR="001714ED">
        <w:rPr>
          <w:rFonts w:ascii="Times New Roman" w:eastAsia="Times New Roman" w:hAnsi="Times New Roman" w:cs="Times New Roman"/>
          <w:sz w:val="28"/>
          <w:szCs w:val="28"/>
          <w:lang w:val="en-US"/>
        </w:rPr>
        <w:t>2</w:t>
      </w:r>
      <w:r w:rsidRPr="0074076A">
        <w:rPr>
          <w:rFonts w:ascii="Times New Roman" w:eastAsia="Times New Roman" w:hAnsi="Times New Roman" w:cs="Times New Roman"/>
          <w:sz w:val="28"/>
          <w:szCs w:val="28"/>
          <w:lang w:val="en-US"/>
        </w:rPr>
        <w:t xml:space="preserve"> </w:t>
      </w:r>
      <w:r w:rsidRPr="0074076A">
        <w:rPr>
          <w:rFonts w:ascii="Times New Roman" w:eastAsia="Times New Roman" w:hAnsi="Times New Roman" w:cs="Times New Roman"/>
          <w:sz w:val="28"/>
          <w:szCs w:val="28"/>
          <w:lang w:val="en-US"/>
        </w:rPr>
        <w:lastRenderedPageBreak/>
        <w:t>typewritten text, including 2</w:t>
      </w:r>
      <w:r w:rsidR="002830DE" w:rsidRPr="00AF4FCF">
        <w:rPr>
          <w:rFonts w:ascii="Times New Roman" w:eastAsia="Times New Roman" w:hAnsi="Times New Roman" w:cs="Times New Roman"/>
          <w:sz w:val="28"/>
          <w:szCs w:val="28"/>
          <w:lang w:val="en-US"/>
        </w:rPr>
        <w:t>4</w:t>
      </w:r>
      <w:r w:rsidRPr="0074076A">
        <w:rPr>
          <w:rFonts w:ascii="Times New Roman" w:eastAsia="Times New Roman" w:hAnsi="Times New Roman" w:cs="Times New Roman"/>
          <w:sz w:val="28"/>
          <w:szCs w:val="28"/>
          <w:lang w:val="en-US"/>
        </w:rPr>
        <w:t xml:space="preserve"> tables and 4</w:t>
      </w:r>
      <w:r w:rsidR="0074076A" w:rsidRPr="0074076A">
        <w:rPr>
          <w:rFonts w:ascii="Times New Roman" w:eastAsia="Times New Roman" w:hAnsi="Times New Roman" w:cs="Times New Roman"/>
          <w:sz w:val="28"/>
          <w:szCs w:val="28"/>
          <w:lang w:val="en-US"/>
        </w:rPr>
        <w:t>5</w:t>
      </w:r>
      <w:r w:rsidRPr="0074076A">
        <w:rPr>
          <w:rFonts w:ascii="Times New Roman" w:eastAsia="Times New Roman" w:hAnsi="Times New Roman" w:cs="Times New Roman"/>
          <w:sz w:val="28"/>
          <w:szCs w:val="28"/>
          <w:lang w:val="en-US"/>
        </w:rPr>
        <w:t xml:space="preserve"> figures, appendixes A, B</w:t>
      </w:r>
      <w:r w:rsidR="0074076A" w:rsidRPr="0074076A">
        <w:rPr>
          <w:rFonts w:ascii="Times New Roman" w:eastAsia="Times New Roman" w:hAnsi="Times New Roman" w:cs="Times New Roman"/>
          <w:sz w:val="28"/>
          <w:szCs w:val="28"/>
          <w:lang w:val="en-US"/>
        </w:rPr>
        <w:t>, C</w:t>
      </w:r>
      <w:r w:rsidR="0054045C">
        <w:rPr>
          <w:rFonts w:ascii="Times New Roman" w:eastAsia="Times New Roman" w:hAnsi="Times New Roman" w:cs="Times New Roman"/>
          <w:sz w:val="28"/>
          <w:szCs w:val="28"/>
          <w:lang w:val="en-US"/>
        </w:rPr>
        <w:t xml:space="preserve">, </w:t>
      </w:r>
      <w:r w:rsidR="0074076A" w:rsidRPr="0074076A">
        <w:rPr>
          <w:rFonts w:ascii="Times New Roman" w:eastAsia="Times New Roman" w:hAnsi="Times New Roman" w:cs="Times New Roman"/>
          <w:sz w:val="28"/>
          <w:szCs w:val="28"/>
          <w:lang w:val="en-US"/>
        </w:rPr>
        <w:t>D</w:t>
      </w:r>
      <w:r w:rsidR="0054045C">
        <w:rPr>
          <w:rFonts w:ascii="Times New Roman" w:eastAsia="Times New Roman" w:hAnsi="Times New Roman" w:cs="Times New Roman"/>
          <w:sz w:val="28"/>
          <w:szCs w:val="28"/>
          <w:lang w:val="en-US"/>
        </w:rPr>
        <w:t xml:space="preserve"> and E</w:t>
      </w:r>
      <w:r w:rsidRPr="0074076A">
        <w:rPr>
          <w:rFonts w:ascii="Times New Roman" w:eastAsia="Times New Roman" w:hAnsi="Times New Roman" w:cs="Times New Roman"/>
          <w:sz w:val="28"/>
          <w:szCs w:val="28"/>
          <w:lang w:val="en-US"/>
        </w:rPr>
        <w:t xml:space="preserve"> (which include 5 tables of total 2</w:t>
      </w:r>
      <w:r w:rsidR="002830DE" w:rsidRPr="00AF4FCF">
        <w:rPr>
          <w:rFonts w:ascii="Times New Roman" w:eastAsia="Times New Roman" w:hAnsi="Times New Roman" w:cs="Times New Roman"/>
          <w:sz w:val="28"/>
          <w:szCs w:val="28"/>
          <w:lang w:val="en-US"/>
        </w:rPr>
        <w:t>4</w:t>
      </w:r>
      <w:r w:rsidRPr="0074076A">
        <w:rPr>
          <w:rFonts w:ascii="Times New Roman" w:eastAsia="Times New Roman" w:hAnsi="Times New Roman" w:cs="Times New Roman"/>
          <w:sz w:val="28"/>
          <w:szCs w:val="28"/>
          <w:lang w:val="en-US"/>
        </w:rPr>
        <w:t xml:space="preserve">); the list of sources used </w:t>
      </w:r>
      <w:r w:rsidR="0074076A" w:rsidRPr="0074076A">
        <w:rPr>
          <w:rFonts w:ascii="Times New Roman" w:eastAsia="Times New Roman" w:hAnsi="Times New Roman" w:cs="Times New Roman"/>
          <w:sz w:val="28"/>
          <w:szCs w:val="28"/>
          <w:lang w:val="en-US"/>
        </w:rPr>
        <w:t>38</w:t>
      </w:r>
      <w:r w:rsidR="00F357E3">
        <w:rPr>
          <w:rFonts w:ascii="Times New Roman" w:eastAsia="Times New Roman" w:hAnsi="Times New Roman" w:cs="Times New Roman"/>
          <w:sz w:val="28"/>
          <w:szCs w:val="28"/>
          <w:lang w:val="kk-KZ"/>
        </w:rPr>
        <w:t>1</w:t>
      </w:r>
      <w:r w:rsidRPr="0074076A">
        <w:rPr>
          <w:rFonts w:ascii="Times New Roman" w:eastAsia="Times New Roman" w:hAnsi="Times New Roman" w:cs="Times New Roman"/>
          <w:sz w:val="28"/>
          <w:szCs w:val="28"/>
          <w:lang w:val="en-US"/>
        </w:rPr>
        <w:t>, including the regulatory references.</w:t>
      </w:r>
    </w:p>
    <w:p w14:paraId="4CCF4383" w14:textId="465DD640" w:rsidR="00473E87" w:rsidRDefault="00473E87" w:rsidP="001941FC">
      <w:pPr>
        <w:spacing w:after="0" w:line="240" w:lineRule="auto"/>
        <w:ind w:firstLine="709"/>
        <w:contextualSpacing/>
        <w:jc w:val="both"/>
        <w:rPr>
          <w:rFonts w:ascii="Times New Roman" w:eastAsia="Times New Roman" w:hAnsi="Times New Roman" w:cs="Times New Roman"/>
          <w:sz w:val="28"/>
          <w:szCs w:val="28"/>
          <w:lang w:val="en-US"/>
        </w:rPr>
      </w:pPr>
    </w:p>
    <w:p w14:paraId="18F1310A" w14:textId="652F5E40" w:rsidR="00473E87" w:rsidRDefault="00473E87" w:rsidP="001941FC">
      <w:pPr>
        <w:spacing w:after="0" w:line="240" w:lineRule="auto"/>
        <w:ind w:firstLine="709"/>
        <w:contextualSpacing/>
        <w:jc w:val="both"/>
        <w:rPr>
          <w:rFonts w:ascii="Times New Roman" w:eastAsia="Times New Roman" w:hAnsi="Times New Roman" w:cs="Times New Roman"/>
          <w:sz w:val="28"/>
          <w:szCs w:val="28"/>
          <w:lang w:val="en-US"/>
        </w:rPr>
      </w:pPr>
    </w:p>
    <w:p w14:paraId="653FBB94" w14:textId="590C000B"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3C6A99B0" w14:textId="6096B9CC"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11629E2E" w14:textId="0F5B00BD"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313804B7" w14:textId="4D19A0D8"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6B3C596E" w14:textId="053FBE6F"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79796A55" w14:textId="41F1400E"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5F33389E" w14:textId="4B0FF5F1"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3E5AF1A6" w14:textId="41F531A4"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767E2D3A" w14:textId="619A034D"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6C7D9D47" w14:textId="2A0793BF"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7FBBD00A" w14:textId="6328FEAD"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36BF142E" w14:textId="5B7600AD"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5904D020" w14:textId="28B14F51"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353C9B49" w14:textId="711E1695"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2A5554E1" w14:textId="26A6143B"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4C62E2C4" w14:textId="08A2500C"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55E5A3D7" w14:textId="65CB53E2"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445DEAB4" w14:textId="6201E0EB"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7D1E75ED" w14:textId="149F0E25"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34EE5D76" w14:textId="37843E4D"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6756DFEB" w14:textId="0AD9334F"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4992179E" w14:textId="04A0F1E7"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2D6CD4CE" w14:textId="432CAAEB"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23A5C92C" w14:textId="2A23619F"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2A64D2ED" w14:textId="78FC907B"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0C3FBC58" w14:textId="0429209D"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38D4D3B1" w14:textId="57CA1107"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7DFC30AD" w14:textId="4EE455B5"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28B8DA25" w14:textId="56958BAA"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421BEAE0" w14:textId="440E5F5A"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766CE093" w14:textId="49F06249"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25F7602A" w14:textId="1E30F657"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57671B3B" w14:textId="298C860B"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0EFF2526" w14:textId="6D40CB6A"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69C88C94" w14:textId="4DC5F955"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42E74A5E" w14:textId="3E1CDF2D"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74AA91D1" w14:textId="790E040A" w:rsidR="00C04E9D" w:rsidRDefault="00C04E9D" w:rsidP="001941FC">
      <w:pPr>
        <w:spacing w:after="0" w:line="240" w:lineRule="auto"/>
        <w:ind w:firstLine="709"/>
        <w:contextualSpacing/>
        <w:jc w:val="both"/>
        <w:rPr>
          <w:rFonts w:ascii="Times New Roman" w:eastAsia="Times New Roman" w:hAnsi="Times New Roman" w:cs="Times New Roman"/>
          <w:sz w:val="28"/>
          <w:szCs w:val="28"/>
          <w:lang w:val="en-US"/>
        </w:rPr>
      </w:pPr>
    </w:p>
    <w:p w14:paraId="29BDECDE" w14:textId="77777777" w:rsidR="00541EDF" w:rsidRDefault="00541EDF" w:rsidP="001941FC">
      <w:pPr>
        <w:spacing w:after="0" w:line="240" w:lineRule="auto"/>
        <w:ind w:firstLine="709"/>
        <w:contextualSpacing/>
        <w:jc w:val="both"/>
        <w:rPr>
          <w:rFonts w:ascii="Times New Roman" w:eastAsia="Times New Roman" w:hAnsi="Times New Roman" w:cs="Times New Roman"/>
          <w:sz w:val="28"/>
          <w:szCs w:val="28"/>
          <w:lang w:val="en-US"/>
        </w:rPr>
      </w:pPr>
    </w:p>
    <w:p w14:paraId="307C9EBE" w14:textId="13F378D6" w:rsidR="00B07683" w:rsidRPr="00B07683" w:rsidRDefault="00F12AFF" w:rsidP="00B07683">
      <w:pPr>
        <w:pStyle w:val="ad"/>
        <w:numPr>
          <w:ilvl w:val="0"/>
          <w:numId w:val="37"/>
        </w:numPr>
        <w:spacing w:after="0" w:line="240" w:lineRule="auto"/>
        <w:ind w:left="0" w:firstLine="709"/>
        <w:jc w:val="both"/>
        <w:rPr>
          <w:rFonts w:ascii="Times New Roman" w:eastAsia="Times New Roman" w:hAnsi="Times New Roman" w:cs="Times New Roman"/>
          <w:sz w:val="28"/>
          <w:szCs w:val="28"/>
          <w:lang w:val="en-US"/>
        </w:rPr>
      </w:pPr>
      <w:r w:rsidRPr="00B07683">
        <w:rPr>
          <w:rFonts w:ascii="Times New Roman" w:eastAsia="Times New Roman" w:hAnsi="Times New Roman" w:cs="Times New Roman"/>
          <w:b/>
          <w:bCs/>
          <w:sz w:val="28"/>
          <w:szCs w:val="28"/>
          <w:lang w:val="en-US" w:eastAsia="ru-RU"/>
        </w:rPr>
        <w:lastRenderedPageBreak/>
        <w:t>THEORETICAL</w:t>
      </w:r>
      <w:r w:rsidR="009F2A13">
        <w:rPr>
          <w:rFonts w:ascii="Times New Roman" w:eastAsia="Times New Roman" w:hAnsi="Times New Roman" w:cs="Times New Roman"/>
          <w:b/>
          <w:bCs/>
          <w:sz w:val="28"/>
          <w:szCs w:val="28"/>
          <w:lang w:val="en-US" w:eastAsia="ru-RU"/>
        </w:rPr>
        <w:t xml:space="preserve"> </w:t>
      </w:r>
      <w:r w:rsidRPr="00B07683">
        <w:rPr>
          <w:rFonts w:ascii="Times New Roman" w:eastAsia="Times New Roman" w:hAnsi="Times New Roman" w:cs="Times New Roman"/>
          <w:b/>
          <w:bCs/>
          <w:sz w:val="28"/>
          <w:szCs w:val="28"/>
          <w:lang w:val="en-US" w:eastAsia="ru-RU"/>
        </w:rPr>
        <w:t>FOUNDATIONS OF INNOVATION MANAGEMENT AND THE TRIPLE HELIX MODEL</w:t>
      </w:r>
      <w:r w:rsidRPr="00B07683">
        <w:rPr>
          <w:rFonts w:ascii="Times New Roman" w:eastAsia="Times New Roman" w:hAnsi="Times New Roman" w:cs="Times New Roman"/>
          <w:b/>
          <w:bCs/>
          <w:sz w:val="28"/>
          <w:szCs w:val="28"/>
          <w:lang w:val="kk-KZ" w:eastAsia="ru-RU"/>
        </w:rPr>
        <w:t xml:space="preserve"> </w:t>
      </w:r>
    </w:p>
    <w:p w14:paraId="0EE39315" w14:textId="2C8B8E7B" w:rsidR="00B07683" w:rsidRPr="00B07683" w:rsidRDefault="00B07683" w:rsidP="00B07683">
      <w:pPr>
        <w:pStyle w:val="ad"/>
        <w:spacing w:after="0" w:line="240" w:lineRule="auto"/>
        <w:ind w:left="360"/>
        <w:jc w:val="both"/>
        <w:rPr>
          <w:rFonts w:ascii="Times New Roman" w:eastAsia="Times New Roman" w:hAnsi="Times New Roman" w:cs="Times New Roman"/>
          <w:sz w:val="28"/>
          <w:szCs w:val="28"/>
          <w:lang w:val="en-US"/>
        </w:rPr>
      </w:pPr>
    </w:p>
    <w:p w14:paraId="42A42811" w14:textId="1DBE818C" w:rsidR="00812ED0" w:rsidRPr="00B07683" w:rsidRDefault="00CA095B" w:rsidP="00B07683">
      <w:pPr>
        <w:pStyle w:val="ad"/>
        <w:numPr>
          <w:ilvl w:val="1"/>
          <w:numId w:val="37"/>
        </w:numPr>
        <w:spacing w:after="0" w:line="240" w:lineRule="auto"/>
        <w:ind w:left="0" w:firstLine="709"/>
        <w:jc w:val="both"/>
        <w:rPr>
          <w:rFonts w:ascii="Times New Roman" w:eastAsia="Times New Roman" w:hAnsi="Times New Roman" w:cs="Times New Roman"/>
          <w:sz w:val="28"/>
          <w:szCs w:val="28"/>
          <w:lang w:val="en-US"/>
        </w:rPr>
      </w:pPr>
      <w:r w:rsidRPr="00B07683">
        <w:rPr>
          <w:rFonts w:ascii="Times New Roman" w:eastAsia="Times New Roman" w:hAnsi="Times New Roman" w:cs="Times New Roman"/>
          <w:b/>
          <w:bCs/>
          <w:sz w:val="28"/>
          <w:szCs w:val="28"/>
          <w:lang w:val="en-US" w:eastAsia="ru-RU"/>
        </w:rPr>
        <w:t>Concept of Innovation in Higher Education and Its Impact on Graduate Employment</w:t>
      </w:r>
      <w:r w:rsidR="00F12AFF" w:rsidRPr="00B07683">
        <w:rPr>
          <w:rFonts w:ascii="Times New Roman" w:eastAsia="Times New Roman" w:hAnsi="Times New Roman" w:cs="Times New Roman"/>
          <w:b/>
          <w:bCs/>
          <w:sz w:val="28"/>
          <w:szCs w:val="28"/>
          <w:lang w:val="kk-KZ" w:eastAsia="ru-RU"/>
        </w:rPr>
        <w:t xml:space="preserve">  </w:t>
      </w:r>
    </w:p>
    <w:p w14:paraId="2311A0AD" w14:textId="14E66D02" w:rsidR="00F12AFF" w:rsidRPr="00F12AFF" w:rsidRDefault="000C674B" w:rsidP="00F12AFF">
      <w:pPr>
        <w:spacing w:after="0" w:line="240" w:lineRule="auto"/>
        <w:ind w:left="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1941FC">
        <w:rPr>
          <w:rFonts w:ascii="Times New Roman" w:eastAsia="Times New Roman" w:hAnsi="Times New Roman" w:cs="Times New Roman"/>
          <w:sz w:val="28"/>
          <w:szCs w:val="28"/>
          <w:lang w:val="kk-KZ"/>
        </w:rPr>
        <w:t xml:space="preserve">  </w:t>
      </w:r>
    </w:p>
    <w:p w14:paraId="24A38402" w14:textId="563176B7" w:rsidR="007F1DDB" w:rsidRPr="00D53B9C" w:rsidRDefault="007F1DDB" w:rsidP="00812ED0">
      <w:pPr>
        <w:spacing w:after="0" w:line="240" w:lineRule="auto"/>
        <w:ind w:firstLine="709"/>
        <w:jc w:val="both"/>
        <w:rPr>
          <w:rFonts w:ascii="Times New Roman" w:eastAsia="Times New Roman" w:hAnsi="Times New Roman" w:cs="Times New Roman"/>
          <w:sz w:val="28"/>
          <w:szCs w:val="28"/>
          <w:lang w:val="en-US"/>
        </w:rPr>
      </w:pPr>
      <w:r w:rsidRPr="00D53B9C">
        <w:rPr>
          <w:rFonts w:ascii="Times New Roman" w:eastAsia="Times New Roman" w:hAnsi="Times New Roman" w:cs="Times New Roman"/>
          <w:sz w:val="28"/>
          <w:szCs w:val="28"/>
          <w:lang w:val="en-US"/>
        </w:rPr>
        <w:t>Innovation management is a critical discipline that enables organizations to effectively navigate the complexities of innovation procedures, providing competitive and responsive to market demands. It encompasses various stages, from ideation to commercialization, and requires a structured approach to foster an environment conducive to innovation.</w:t>
      </w:r>
    </w:p>
    <w:p w14:paraId="0C31D4F6" w14:textId="273E2748" w:rsidR="00812ED0" w:rsidRPr="00F12AFF" w:rsidRDefault="007F1DDB" w:rsidP="00812ED0">
      <w:pPr>
        <w:spacing w:after="0" w:line="240" w:lineRule="auto"/>
        <w:ind w:firstLine="709"/>
        <w:jc w:val="both"/>
        <w:rPr>
          <w:rFonts w:ascii="Times New Roman" w:eastAsia="Times New Roman" w:hAnsi="Times New Roman" w:cs="Times New Roman"/>
          <w:sz w:val="28"/>
          <w:szCs w:val="28"/>
          <w:lang w:val="en-US"/>
        </w:rPr>
      </w:pPr>
      <w:r w:rsidRPr="00D53B9C">
        <w:rPr>
          <w:rFonts w:ascii="Times New Roman" w:eastAsia="Times New Roman" w:hAnsi="Times New Roman" w:cs="Times New Roman"/>
          <w:sz w:val="28"/>
          <w:szCs w:val="28"/>
          <w:lang w:val="en-US"/>
        </w:rPr>
        <w:t>Innovation management refers to the comprehensive approach to managing processes related to innovation, encompassing the development of new goods, services, or processes.</w:t>
      </w:r>
      <w:r w:rsidR="00812ED0">
        <w:rPr>
          <w:rFonts w:ascii="Times New Roman" w:eastAsia="Times New Roman" w:hAnsi="Times New Roman" w:cs="Times New Roman"/>
          <w:sz w:val="28"/>
          <w:szCs w:val="28"/>
          <w:lang w:val="en-US"/>
        </w:rPr>
        <w:t xml:space="preserve"> </w:t>
      </w:r>
      <w:r w:rsidR="00F12AFF" w:rsidRPr="00F12AFF">
        <w:rPr>
          <w:rFonts w:ascii="Times New Roman" w:eastAsia="Times New Roman" w:hAnsi="Times New Roman" w:cs="Times New Roman"/>
          <w:sz w:val="28"/>
          <w:szCs w:val="28"/>
          <w:lang w:val="en-US"/>
        </w:rPr>
        <w:t xml:space="preserve"> </w:t>
      </w:r>
    </w:p>
    <w:p w14:paraId="3ACA3A68" w14:textId="3752F35F" w:rsidR="003D3E24" w:rsidRPr="00D53B9C" w:rsidRDefault="007F1DDB" w:rsidP="00812ED0">
      <w:pPr>
        <w:spacing w:after="0" w:line="240" w:lineRule="auto"/>
        <w:ind w:firstLine="709"/>
        <w:jc w:val="both"/>
        <w:rPr>
          <w:rFonts w:ascii="Times New Roman" w:eastAsia="Times New Roman" w:hAnsi="Times New Roman" w:cs="Times New Roman"/>
          <w:sz w:val="28"/>
          <w:szCs w:val="28"/>
          <w:lang w:val="en-US"/>
        </w:rPr>
      </w:pPr>
      <w:r w:rsidRPr="00D53B9C">
        <w:rPr>
          <w:rFonts w:ascii="Times New Roman" w:eastAsia="Times New Roman" w:hAnsi="Times New Roman" w:cs="Times New Roman"/>
          <w:sz w:val="28"/>
          <w:szCs w:val="28"/>
          <w:lang w:val="en-US"/>
        </w:rPr>
        <w:t>In university settings, innovation management fosters an environment that promotes creativity and facilitates the advancement of novel concepts.  It involves strategically coordinating resources, procedures, and organizational frameworks to promote innovation.  Through the incorporation of innovation into their management practices, universities significantly contribute to the improvement of educational quality and the fulfilment of societal needs</w:t>
      </w:r>
      <w:r w:rsidR="00812ED0">
        <w:rPr>
          <w:rFonts w:ascii="Times New Roman" w:eastAsia="Times New Roman" w:hAnsi="Times New Roman" w:cs="Times New Roman"/>
          <w:sz w:val="28"/>
          <w:szCs w:val="28"/>
          <w:lang w:val="en-US"/>
        </w:rPr>
        <w:t xml:space="preserve"> [14</w:t>
      </w:r>
      <w:r w:rsidR="005D59FB">
        <w:rPr>
          <w:rFonts w:ascii="Times New Roman" w:eastAsia="Times New Roman" w:hAnsi="Times New Roman" w:cs="Times New Roman"/>
          <w:sz w:val="28"/>
          <w:szCs w:val="28"/>
          <w:lang w:val="en-US"/>
        </w:rPr>
        <w:t>-16</w:t>
      </w:r>
      <w:r w:rsidR="00812ED0">
        <w:rPr>
          <w:rFonts w:ascii="Times New Roman" w:eastAsia="Times New Roman" w:hAnsi="Times New Roman" w:cs="Times New Roman"/>
          <w:sz w:val="28"/>
          <w:szCs w:val="28"/>
          <w:lang w:val="en-US"/>
        </w:rPr>
        <w:t>]</w:t>
      </w:r>
      <w:r w:rsidRPr="00812ED0">
        <w:rPr>
          <w:rFonts w:ascii="Times New Roman" w:eastAsia="Times New Roman" w:hAnsi="Times New Roman" w:cs="Times New Roman"/>
          <w:sz w:val="28"/>
          <w:szCs w:val="28"/>
          <w:lang w:val="en-US"/>
        </w:rPr>
        <w:t xml:space="preserve">. </w:t>
      </w:r>
    </w:p>
    <w:p w14:paraId="4AA550E7" w14:textId="60DC32EE" w:rsidR="00CE2251" w:rsidRPr="00F12AFF" w:rsidRDefault="00CE2251" w:rsidP="00812ED0">
      <w:pPr>
        <w:spacing w:after="0" w:line="240" w:lineRule="auto"/>
        <w:ind w:firstLine="709"/>
        <w:jc w:val="both"/>
        <w:rPr>
          <w:rFonts w:ascii="Times New Roman" w:eastAsia="Times New Roman" w:hAnsi="Times New Roman" w:cs="Times New Roman"/>
          <w:sz w:val="28"/>
          <w:szCs w:val="28"/>
          <w:lang w:val="kk-KZ"/>
        </w:rPr>
      </w:pPr>
      <w:r w:rsidRPr="00D53B9C">
        <w:rPr>
          <w:rFonts w:ascii="Times New Roman" w:eastAsia="Times New Roman" w:hAnsi="Times New Roman" w:cs="Times New Roman"/>
          <w:sz w:val="28"/>
          <w:szCs w:val="28"/>
          <w:lang w:val="en-US"/>
        </w:rPr>
        <w:t>Innovation management denotes the systematic process of identifying, developing, and implementing new or improved ideas, products, services, or processes within an organization. It involves coordinating various activities to achieve strategic goals, including research, development, marketing, and organizational change. Innovation management is a broad concept that encompasses the entire lifecycle of innovation, from idea generation to commercialization and is often applied in both private and public sectors, including higher education institutions</w:t>
      </w:r>
      <w:r w:rsidR="00812ED0">
        <w:rPr>
          <w:rFonts w:ascii="Times New Roman" w:eastAsia="Times New Roman" w:hAnsi="Times New Roman" w:cs="Times New Roman"/>
          <w:sz w:val="28"/>
          <w:szCs w:val="28"/>
          <w:lang w:val="en-US"/>
        </w:rPr>
        <w:t xml:space="preserve"> [1</w:t>
      </w:r>
      <w:r w:rsidR="005D59FB">
        <w:rPr>
          <w:rFonts w:ascii="Times New Roman" w:eastAsia="Times New Roman" w:hAnsi="Times New Roman" w:cs="Times New Roman"/>
          <w:sz w:val="28"/>
          <w:szCs w:val="28"/>
          <w:lang w:val="en-US"/>
        </w:rPr>
        <w:t>7-18</w:t>
      </w:r>
      <w:r w:rsidR="00812ED0">
        <w:rPr>
          <w:rFonts w:ascii="Times New Roman" w:eastAsia="Times New Roman" w:hAnsi="Times New Roman" w:cs="Times New Roman"/>
          <w:sz w:val="28"/>
          <w:szCs w:val="28"/>
          <w:lang w:val="en-US"/>
        </w:rPr>
        <w:t>].</w:t>
      </w:r>
      <w:r w:rsidR="00F12AFF">
        <w:rPr>
          <w:rFonts w:ascii="Times New Roman" w:eastAsia="Times New Roman" w:hAnsi="Times New Roman" w:cs="Times New Roman"/>
          <w:sz w:val="28"/>
          <w:szCs w:val="28"/>
          <w:lang w:val="kk-KZ"/>
        </w:rPr>
        <w:t xml:space="preserve"> </w:t>
      </w:r>
    </w:p>
    <w:p w14:paraId="38CB0DC6" w14:textId="77777777" w:rsidR="00F12AFF" w:rsidRDefault="00CE2251" w:rsidP="00F12AFF">
      <w:pPr>
        <w:spacing w:after="0" w:line="240" w:lineRule="auto"/>
        <w:ind w:firstLine="709"/>
        <w:jc w:val="both"/>
        <w:rPr>
          <w:rFonts w:ascii="Times New Roman" w:eastAsia="Times New Roman" w:hAnsi="Times New Roman" w:cs="Times New Roman"/>
          <w:sz w:val="28"/>
          <w:szCs w:val="28"/>
          <w:lang w:val="en-US"/>
        </w:rPr>
      </w:pPr>
      <w:r w:rsidRPr="00D53B9C">
        <w:rPr>
          <w:rFonts w:ascii="Times New Roman" w:eastAsia="Times New Roman" w:hAnsi="Times New Roman" w:cs="Times New Roman"/>
          <w:sz w:val="28"/>
          <w:szCs w:val="28"/>
          <w:lang w:val="en-US"/>
        </w:rPr>
        <w:t>In the context of universities, innovation management involves forging an environment that encourages creativity, cooperation, and experimentation. It requires the development of policies, structures, and processes that enable the translation of research into practical applications, fostering entrepreneurship, and building partnerships with industry and other stakeholders</w:t>
      </w:r>
      <w:r w:rsidR="006E1415">
        <w:rPr>
          <w:rFonts w:ascii="Times New Roman" w:eastAsia="Times New Roman" w:hAnsi="Times New Roman" w:cs="Times New Roman"/>
          <w:sz w:val="28"/>
          <w:szCs w:val="28"/>
          <w:lang w:val="en-US"/>
        </w:rPr>
        <w:t xml:space="preserve"> [1</w:t>
      </w:r>
      <w:r w:rsidR="005D59FB">
        <w:rPr>
          <w:rFonts w:ascii="Times New Roman" w:eastAsia="Times New Roman" w:hAnsi="Times New Roman" w:cs="Times New Roman"/>
          <w:sz w:val="28"/>
          <w:szCs w:val="28"/>
          <w:lang w:val="en-US"/>
        </w:rPr>
        <w:t>9-20</w:t>
      </w:r>
      <w:r w:rsidR="006E1415">
        <w:rPr>
          <w:rFonts w:ascii="Times New Roman" w:eastAsia="Times New Roman" w:hAnsi="Times New Roman" w:cs="Times New Roman"/>
          <w:sz w:val="28"/>
          <w:szCs w:val="28"/>
          <w:lang w:val="en-US"/>
        </w:rPr>
        <w:t>].</w:t>
      </w:r>
    </w:p>
    <w:p w14:paraId="096AF955" w14:textId="6DBAF80D" w:rsidR="003D3E24" w:rsidRPr="00D53B9C" w:rsidRDefault="003D3E24" w:rsidP="00F12AFF">
      <w:pPr>
        <w:spacing w:after="0" w:line="240" w:lineRule="auto"/>
        <w:ind w:firstLine="709"/>
        <w:jc w:val="both"/>
        <w:rPr>
          <w:rFonts w:ascii="Times New Roman" w:eastAsia="Times New Roman" w:hAnsi="Times New Roman" w:cs="Times New Roman"/>
          <w:sz w:val="28"/>
          <w:szCs w:val="28"/>
          <w:lang w:val="en-US"/>
        </w:rPr>
      </w:pPr>
      <w:r w:rsidRPr="00D53B9C">
        <w:rPr>
          <w:rFonts w:ascii="Times New Roman" w:eastAsia="Times New Roman" w:hAnsi="Times New Roman" w:cs="Times New Roman"/>
          <w:sz w:val="28"/>
          <w:szCs w:val="28"/>
          <w:lang w:val="en-US"/>
        </w:rPr>
        <w:t>Managing innovation, on the other hand, focuses on the practical implementation and execution of innovative ideas within the university setting. This involves the application of specific tools, techniques, and practices to bring innovative projects to fruition. It requires a hands-on approach to ensure that innovative ideas are effectively translated into tangible outcomes. This includes the involvement of project managers and the use of best practices to ensure the success of innovative projects</w:t>
      </w:r>
      <w:r w:rsidR="006E1415">
        <w:rPr>
          <w:rFonts w:ascii="Times New Roman" w:eastAsia="Times New Roman" w:hAnsi="Times New Roman" w:cs="Times New Roman"/>
          <w:sz w:val="28"/>
          <w:szCs w:val="28"/>
          <w:lang w:val="en-US"/>
        </w:rPr>
        <w:t xml:space="preserve"> [</w:t>
      </w:r>
      <w:r w:rsidR="005D59FB">
        <w:rPr>
          <w:rFonts w:ascii="Times New Roman" w:eastAsia="Times New Roman" w:hAnsi="Times New Roman" w:cs="Times New Roman"/>
          <w:sz w:val="28"/>
          <w:szCs w:val="28"/>
          <w:lang w:val="en-US"/>
        </w:rPr>
        <w:t>21-22</w:t>
      </w:r>
      <w:r w:rsidR="006E1415">
        <w:rPr>
          <w:rFonts w:ascii="Times New Roman" w:eastAsia="Times New Roman" w:hAnsi="Times New Roman" w:cs="Times New Roman"/>
          <w:sz w:val="28"/>
          <w:szCs w:val="28"/>
          <w:lang w:val="en-US"/>
        </w:rPr>
        <w:t xml:space="preserve">]. </w:t>
      </w:r>
    </w:p>
    <w:p w14:paraId="6BEA8E63" w14:textId="65A386B1" w:rsidR="00CE2251" w:rsidRDefault="00CE2251" w:rsidP="006E1415">
      <w:pPr>
        <w:spacing w:after="0" w:line="240" w:lineRule="auto"/>
        <w:ind w:firstLine="709"/>
        <w:jc w:val="both"/>
        <w:rPr>
          <w:rFonts w:ascii="Times New Roman" w:eastAsia="Times New Roman" w:hAnsi="Times New Roman" w:cs="Times New Roman"/>
          <w:sz w:val="28"/>
          <w:szCs w:val="28"/>
          <w:lang w:val="en-US"/>
        </w:rPr>
      </w:pPr>
      <w:r w:rsidRPr="00D53B9C">
        <w:rPr>
          <w:rFonts w:ascii="Times New Roman" w:eastAsia="Times New Roman" w:hAnsi="Times New Roman" w:cs="Times New Roman"/>
          <w:sz w:val="28"/>
          <w:szCs w:val="28"/>
          <w:lang w:val="en-US"/>
        </w:rPr>
        <w:t xml:space="preserve">On the other hand, managing innovation is a more specific concept focusing on the processes and systems used to oversee and direct innovation activities within an organization. It involves the planning, organizing, and controlling innovation </w:t>
      </w:r>
      <w:r w:rsidRPr="00D53B9C">
        <w:rPr>
          <w:rFonts w:ascii="Times New Roman" w:eastAsia="Times New Roman" w:hAnsi="Times New Roman" w:cs="Times New Roman"/>
          <w:sz w:val="28"/>
          <w:szCs w:val="28"/>
          <w:lang w:val="en-US"/>
        </w:rPr>
        <w:lastRenderedPageBreak/>
        <w:t xml:space="preserve">projects to ensure their successful implementation and alignment with organizational objectives. </w:t>
      </w:r>
    </w:p>
    <w:p w14:paraId="004B8364" w14:textId="0EC4A521" w:rsidR="00CE2251" w:rsidRPr="00D53B9C" w:rsidRDefault="00CE2251" w:rsidP="00BB622F">
      <w:pPr>
        <w:spacing w:after="0" w:line="240" w:lineRule="auto"/>
        <w:ind w:firstLine="709"/>
        <w:jc w:val="both"/>
        <w:rPr>
          <w:rFonts w:ascii="Times New Roman" w:eastAsia="Times New Roman" w:hAnsi="Times New Roman" w:cs="Times New Roman"/>
          <w:sz w:val="28"/>
          <w:szCs w:val="28"/>
          <w:lang w:val="en-US"/>
        </w:rPr>
      </w:pPr>
      <w:r w:rsidRPr="00D53B9C">
        <w:rPr>
          <w:rFonts w:ascii="Times New Roman" w:eastAsia="Times New Roman" w:hAnsi="Times New Roman" w:cs="Times New Roman"/>
          <w:sz w:val="28"/>
          <w:szCs w:val="28"/>
          <w:lang w:val="en-US"/>
        </w:rPr>
        <w:t>In universities, managing innovation typically involves coordinating research projects, developing intellectual property, and commercializing research findings. It also includes establishing innovation ecosystems that bring together researchers, students, industry partners, and other stakeholders to collaborate on innovative projects</w:t>
      </w:r>
      <w:r w:rsidR="004A0719">
        <w:rPr>
          <w:rFonts w:ascii="Times New Roman" w:eastAsia="Times New Roman" w:hAnsi="Times New Roman" w:cs="Times New Roman"/>
          <w:sz w:val="28"/>
          <w:szCs w:val="28"/>
          <w:lang w:val="en-US"/>
        </w:rPr>
        <w:t xml:space="preserve"> [1</w:t>
      </w:r>
      <w:r w:rsidR="005D59FB">
        <w:rPr>
          <w:rFonts w:ascii="Times New Roman" w:eastAsia="Times New Roman" w:hAnsi="Times New Roman" w:cs="Times New Roman"/>
          <w:sz w:val="28"/>
          <w:szCs w:val="28"/>
          <w:lang w:val="en-US"/>
        </w:rPr>
        <w:t>9</w:t>
      </w:r>
      <w:r w:rsidR="004A0719">
        <w:rPr>
          <w:rFonts w:ascii="Times New Roman" w:eastAsia="Times New Roman" w:hAnsi="Times New Roman" w:cs="Times New Roman"/>
          <w:sz w:val="28"/>
          <w:szCs w:val="28"/>
          <w:lang w:val="en-US"/>
        </w:rPr>
        <w:t>, 2</w:t>
      </w:r>
      <w:r w:rsidR="005D59FB">
        <w:rPr>
          <w:rFonts w:ascii="Times New Roman" w:eastAsia="Times New Roman" w:hAnsi="Times New Roman" w:cs="Times New Roman"/>
          <w:sz w:val="28"/>
          <w:szCs w:val="28"/>
          <w:lang w:val="en-US"/>
        </w:rPr>
        <w:t>3</w:t>
      </w:r>
      <w:r w:rsidR="004A0719">
        <w:rPr>
          <w:rFonts w:ascii="Times New Roman" w:eastAsia="Times New Roman" w:hAnsi="Times New Roman" w:cs="Times New Roman"/>
          <w:sz w:val="28"/>
          <w:szCs w:val="28"/>
          <w:lang w:val="en-US"/>
        </w:rPr>
        <w:t xml:space="preserve">]. </w:t>
      </w:r>
    </w:p>
    <w:p w14:paraId="67EBD671" w14:textId="09430FF7" w:rsidR="003D3E24" w:rsidRPr="00D53B9C" w:rsidRDefault="003D3E24" w:rsidP="00BB622F">
      <w:pPr>
        <w:spacing w:after="0" w:line="240" w:lineRule="auto"/>
        <w:ind w:firstLine="709"/>
        <w:jc w:val="both"/>
        <w:rPr>
          <w:rFonts w:ascii="Times New Roman" w:eastAsia="Times New Roman" w:hAnsi="Times New Roman" w:cs="Times New Roman"/>
          <w:sz w:val="28"/>
          <w:szCs w:val="28"/>
          <w:lang w:val="en-US"/>
        </w:rPr>
      </w:pPr>
      <w:r w:rsidRPr="00D53B9C">
        <w:rPr>
          <w:rFonts w:ascii="Times New Roman" w:eastAsia="Times New Roman" w:hAnsi="Times New Roman" w:cs="Times New Roman"/>
          <w:sz w:val="28"/>
          <w:szCs w:val="28"/>
          <w:lang w:val="en-US"/>
        </w:rPr>
        <w:t>Innovation management is broader, encompassing the strategic and organizational aspects of fostering innovation, while managing innovation is more focused on the execution and operationalization of specific innovative projects</w:t>
      </w:r>
      <w:r w:rsidR="004A0719">
        <w:rPr>
          <w:rFonts w:ascii="Times New Roman" w:eastAsia="Times New Roman" w:hAnsi="Times New Roman" w:cs="Times New Roman"/>
          <w:sz w:val="28"/>
          <w:szCs w:val="28"/>
          <w:lang w:val="en-US"/>
        </w:rPr>
        <w:t xml:space="preserve"> [15</w:t>
      </w:r>
      <w:r w:rsidR="005D59FB">
        <w:rPr>
          <w:rFonts w:ascii="Times New Roman" w:eastAsia="Times New Roman" w:hAnsi="Times New Roman" w:cs="Times New Roman"/>
          <w:sz w:val="28"/>
          <w:szCs w:val="28"/>
          <w:lang w:val="en-US"/>
        </w:rPr>
        <w:t>, 21</w:t>
      </w:r>
      <w:r w:rsidR="004A0719">
        <w:rPr>
          <w:rFonts w:ascii="Times New Roman" w:eastAsia="Times New Roman" w:hAnsi="Times New Roman" w:cs="Times New Roman"/>
          <w:sz w:val="28"/>
          <w:szCs w:val="28"/>
          <w:lang w:val="en-US"/>
        </w:rPr>
        <w:t>].</w:t>
      </w:r>
      <w:r w:rsidRPr="00D53B9C">
        <w:rPr>
          <w:rFonts w:ascii="Times New Roman" w:eastAsia="Times New Roman" w:hAnsi="Times New Roman" w:cs="Times New Roman"/>
          <w:sz w:val="28"/>
          <w:szCs w:val="28"/>
          <w:lang w:val="en-US"/>
        </w:rPr>
        <w:t xml:space="preserve"> </w:t>
      </w:r>
    </w:p>
    <w:p w14:paraId="307AB6B4" w14:textId="11A64FBC" w:rsidR="00067FAD" w:rsidRPr="00D53B9C" w:rsidRDefault="003D3E24" w:rsidP="00BB622F">
      <w:pPr>
        <w:spacing w:after="0" w:line="240" w:lineRule="auto"/>
        <w:ind w:firstLine="709"/>
        <w:jc w:val="both"/>
        <w:rPr>
          <w:rFonts w:ascii="Times New Roman" w:eastAsia="Times New Roman" w:hAnsi="Times New Roman" w:cs="Times New Roman"/>
          <w:sz w:val="28"/>
          <w:szCs w:val="28"/>
          <w:lang w:val="en-US"/>
        </w:rPr>
      </w:pPr>
      <w:r w:rsidRPr="00D53B9C">
        <w:rPr>
          <w:rFonts w:ascii="Times New Roman" w:eastAsia="Times New Roman" w:hAnsi="Times New Roman" w:cs="Times New Roman"/>
          <w:sz w:val="28"/>
          <w:szCs w:val="28"/>
          <w:lang w:val="en-US"/>
        </w:rPr>
        <w:t>Strategic vs. Operational: Innovation management is strategic, involving long-term planning and alignment with institutional goals. Managing innovation is operational, dealing with the day-to-day activities required to implement innovative ideas</w:t>
      </w:r>
      <w:r w:rsidR="008745ED">
        <w:rPr>
          <w:rFonts w:ascii="Times New Roman" w:eastAsia="Times New Roman" w:hAnsi="Times New Roman" w:cs="Times New Roman"/>
          <w:sz w:val="28"/>
          <w:szCs w:val="28"/>
          <w:lang w:val="en-US"/>
        </w:rPr>
        <w:t xml:space="preserve"> [</w:t>
      </w:r>
      <w:r w:rsidR="005D59FB">
        <w:rPr>
          <w:rFonts w:ascii="Times New Roman" w:eastAsia="Times New Roman" w:hAnsi="Times New Roman" w:cs="Times New Roman"/>
          <w:sz w:val="28"/>
          <w:szCs w:val="28"/>
          <w:lang w:val="en-US"/>
        </w:rPr>
        <w:t>22, 24</w:t>
      </w:r>
      <w:r w:rsidR="008745ED">
        <w:rPr>
          <w:rFonts w:ascii="Times New Roman" w:eastAsia="Times New Roman" w:hAnsi="Times New Roman" w:cs="Times New Roman"/>
          <w:sz w:val="28"/>
          <w:szCs w:val="28"/>
          <w:lang w:val="en-US"/>
        </w:rPr>
        <w:t xml:space="preserve">]. </w:t>
      </w:r>
      <w:r w:rsidR="00DC3694">
        <w:rPr>
          <w:rFonts w:ascii="Times New Roman" w:eastAsia="Times New Roman" w:hAnsi="Times New Roman" w:cs="Times New Roman"/>
          <w:sz w:val="28"/>
          <w:szCs w:val="28"/>
          <w:lang w:val="en-US"/>
        </w:rPr>
        <w:t xml:space="preserve"> </w:t>
      </w:r>
    </w:p>
    <w:p w14:paraId="43888015" w14:textId="3616B114" w:rsidR="003D3E24" w:rsidRPr="00D53B9C" w:rsidRDefault="003D3E24" w:rsidP="00BB622F">
      <w:pPr>
        <w:spacing w:after="0" w:line="240" w:lineRule="auto"/>
        <w:ind w:firstLine="709"/>
        <w:jc w:val="both"/>
        <w:rPr>
          <w:rFonts w:ascii="Times New Roman" w:eastAsia="Times New Roman" w:hAnsi="Times New Roman" w:cs="Times New Roman"/>
          <w:sz w:val="28"/>
          <w:szCs w:val="28"/>
          <w:lang w:val="en-US"/>
        </w:rPr>
      </w:pPr>
      <w:r w:rsidRPr="00067FAD">
        <w:rPr>
          <w:rFonts w:ascii="Times New Roman" w:eastAsia="Times New Roman" w:hAnsi="Times New Roman" w:cs="Times New Roman"/>
          <w:i/>
          <w:iCs/>
          <w:sz w:val="28"/>
          <w:szCs w:val="28"/>
          <w:lang w:val="en-US"/>
        </w:rPr>
        <w:t>Role in Universities:</w:t>
      </w:r>
      <w:r w:rsidRPr="00D53B9C">
        <w:rPr>
          <w:rFonts w:ascii="Times New Roman" w:eastAsia="Times New Roman" w:hAnsi="Times New Roman" w:cs="Times New Roman"/>
          <w:sz w:val="28"/>
          <w:szCs w:val="28"/>
          <w:lang w:val="en-US"/>
        </w:rPr>
        <w:t xml:space="preserve"> In universities, innovation management involves creating policies and structures that support innovation, whereas managing innovation involves the practical steps taken by faculty and staff to implement these innovations in teaching, research, and community engagement</w:t>
      </w:r>
      <w:r w:rsidR="00DC3694">
        <w:rPr>
          <w:rFonts w:ascii="Times New Roman" w:eastAsia="Times New Roman" w:hAnsi="Times New Roman" w:cs="Times New Roman"/>
          <w:sz w:val="28"/>
          <w:szCs w:val="28"/>
          <w:lang w:val="en-US"/>
        </w:rPr>
        <w:t xml:space="preserve"> [</w:t>
      </w:r>
      <w:r w:rsidR="005D59FB">
        <w:rPr>
          <w:rFonts w:ascii="Times New Roman" w:eastAsia="Times New Roman" w:hAnsi="Times New Roman" w:cs="Times New Roman"/>
          <w:sz w:val="28"/>
          <w:szCs w:val="28"/>
          <w:lang w:val="en-US"/>
        </w:rPr>
        <w:t>16, 25</w:t>
      </w:r>
      <w:r w:rsidR="00DC3694">
        <w:rPr>
          <w:rFonts w:ascii="Times New Roman" w:eastAsia="Times New Roman" w:hAnsi="Times New Roman" w:cs="Times New Roman"/>
          <w:sz w:val="28"/>
          <w:szCs w:val="28"/>
          <w:lang w:val="en-US"/>
        </w:rPr>
        <w:t xml:space="preserve">]. </w:t>
      </w:r>
    </w:p>
    <w:p w14:paraId="7B5BFF64" w14:textId="6F36469F" w:rsidR="003D3E24" w:rsidRPr="00D53B9C" w:rsidRDefault="003D3E24" w:rsidP="00BB622F">
      <w:pPr>
        <w:spacing w:after="0" w:line="240" w:lineRule="auto"/>
        <w:ind w:firstLine="709"/>
        <w:jc w:val="both"/>
        <w:rPr>
          <w:rFonts w:ascii="Times New Roman" w:eastAsia="Times New Roman" w:hAnsi="Times New Roman" w:cs="Times New Roman"/>
          <w:sz w:val="28"/>
          <w:szCs w:val="28"/>
          <w:lang w:val="en-US"/>
        </w:rPr>
      </w:pPr>
      <w:r w:rsidRPr="00D53B9C">
        <w:rPr>
          <w:rFonts w:ascii="Times New Roman" w:eastAsia="Times New Roman" w:hAnsi="Times New Roman" w:cs="Times New Roman"/>
          <w:sz w:val="28"/>
          <w:szCs w:val="28"/>
          <w:lang w:val="en-US"/>
        </w:rPr>
        <w:t>In the university context, both are essential for fostering a culture of innovation. While innovation management provides the strategic framework and resources necessary for innovation, managing innovation ensures that these strategies are effectively implemented to achieve desired outcomes. Together, they enable universities to adapt to changing educational demands and contribute to societal development.</w:t>
      </w:r>
    </w:p>
    <w:p w14:paraId="6A5067A8" w14:textId="77777777" w:rsidR="00CE2251" w:rsidRPr="00CE2251" w:rsidRDefault="00CE2251" w:rsidP="00BB622F">
      <w:pPr>
        <w:spacing w:after="0" w:line="240" w:lineRule="auto"/>
        <w:ind w:firstLine="709"/>
        <w:jc w:val="both"/>
        <w:rPr>
          <w:rFonts w:ascii="Times New Roman" w:eastAsia="Times New Roman" w:hAnsi="Times New Roman" w:cs="Times New Roman"/>
          <w:color w:val="0E101A"/>
          <w:sz w:val="28"/>
          <w:szCs w:val="28"/>
          <w:lang w:val="en-US"/>
        </w:rPr>
      </w:pPr>
      <w:r w:rsidRPr="00CE2251">
        <w:rPr>
          <w:rFonts w:ascii="Times New Roman" w:eastAsia="Times New Roman" w:hAnsi="Times New Roman" w:cs="Times New Roman"/>
          <w:color w:val="0E101A"/>
          <w:sz w:val="28"/>
          <w:szCs w:val="28"/>
          <w:lang w:val="en-US"/>
        </w:rPr>
        <w:t>While innovation management and managing innovation are closely related, there are key distinctions between the two concepts:</w:t>
      </w:r>
    </w:p>
    <w:p w14:paraId="29A5959D" w14:textId="7782F606" w:rsidR="00CE2251" w:rsidRPr="00CE2251" w:rsidRDefault="009C2E08" w:rsidP="00DC3694">
      <w:pPr>
        <w:spacing w:after="0" w:line="240" w:lineRule="auto"/>
        <w:ind w:firstLine="709"/>
        <w:jc w:val="both"/>
        <w:rPr>
          <w:rFonts w:ascii="Times New Roman" w:eastAsia="Times New Roman" w:hAnsi="Times New Roman" w:cs="Times New Roman"/>
          <w:color w:val="0E101A"/>
          <w:sz w:val="28"/>
          <w:szCs w:val="28"/>
          <w:lang w:val="en-US"/>
        </w:rPr>
      </w:pPr>
      <w:r w:rsidRPr="009C2E08">
        <w:rPr>
          <w:rFonts w:ascii="Times New Roman" w:eastAsia="Times New Roman" w:hAnsi="Times New Roman" w:cs="Times New Roman"/>
          <w:i/>
          <w:iCs/>
          <w:color w:val="0E101A"/>
          <w:sz w:val="28"/>
          <w:szCs w:val="28"/>
          <w:lang w:val="en-US"/>
        </w:rPr>
        <w:t>In scope</w:t>
      </w:r>
      <w:r w:rsidR="00CE2251" w:rsidRPr="00CE2251">
        <w:rPr>
          <w:rFonts w:ascii="Times New Roman" w:eastAsia="Times New Roman" w:hAnsi="Times New Roman" w:cs="Times New Roman"/>
          <w:i/>
          <w:iCs/>
          <w:color w:val="0E101A"/>
          <w:sz w:val="28"/>
          <w:szCs w:val="28"/>
          <w:lang w:val="en-US"/>
        </w:rPr>
        <w:t>:</w:t>
      </w:r>
      <w:r w:rsidR="00CE2251" w:rsidRPr="00CE2251">
        <w:rPr>
          <w:rFonts w:ascii="Times New Roman" w:eastAsia="Times New Roman" w:hAnsi="Times New Roman" w:cs="Times New Roman"/>
          <w:color w:val="0E101A"/>
          <w:sz w:val="28"/>
          <w:szCs w:val="28"/>
          <w:lang w:val="en-US"/>
        </w:rPr>
        <w:t xml:space="preserve"> Innovation management is a broader concept that encircles the entire innovation process, from idea generation to implementation and commercialization. Managing innovation, however, is more focused on the operational aspects of innovation, such as project management and resource allocation.</w:t>
      </w:r>
    </w:p>
    <w:p w14:paraId="50696BFF" w14:textId="3CA7A635" w:rsidR="00CE2251" w:rsidRPr="00CE2251" w:rsidRDefault="009C2E08" w:rsidP="00DC3694">
      <w:pPr>
        <w:spacing w:after="0" w:line="240" w:lineRule="auto"/>
        <w:ind w:firstLine="709"/>
        <w:jc w:val="both"/>
        <w:rPr>
          <w:rFonts w:ascii="Times New Roman" w:eastAsia="Times New Roman" w:hAnsi="Times New Roman" w:cs="Times New Roman"/>
          <w:color w:val="0E101A"/>
          <w:sz w:val="28"/>
          <w:szCs w:val="28"/>
          <w:lang w:val="en-US"/>
        </w:rPr>
      </w:pPr>
      <w:r w:rsidRPr="009C2E08">
        <w:rPr>
          <w:rFonts w:ascii="Times New Roman" w:eastAsia="Times New Roman" w:hAnsi="Times New Roman" w:cs="Times New Roman"/>
          <w:i/>
          <w:iCs/>
          <w:color w:val="0E101A"/>
          <w:sz w:val="28"/>
          <w:szCs w:val="28"/>
          <w:lang w:val="en-US"/>
        </w:rPr>
        <w:t>In focus:</w:t>
      </w:r>
      <w:r w:rsidR="00CE2251" w:rsidRPr="00CE2251">
        <w:rPr>
          <w:rFonts w:ascii="Times New Roman" w:eastAsia="Times New Roman" w:hAnsi="Times New Roman" w:cs="Times New Roman"/>
          <w:color w:val="0E101A"/>
          <w:sz w:val="28"/>
          <w:szCs w:val="28"/>
          <w:lang w:val="en-US"/>
        </w:rPr>
        <w:t xml:space="preserve"> Innovation management is strategic, focusing on the direction and alignment of innovation activities with organizational goals. On the other hand, managing innovation is more tactical, focusing on the day-to-day oversight of innovation projects.</w:t>
      </w:r>
    </w:p>
    <w:p w14:paraId="7760E5CF" w14:textId="4E002BF8" w:rsidR="00CE2251" w:rsidRPr="00CE2251" w:rsidRDefault="009C2E08" w:rsidP="00DC3694">
      <w:pPr>
        <w:spacing w:after="0" w:line="240" w:lineRule="auto"/>
        <w:ind w:firstLine="709"/>
        <w:jc w:val="both"/>
        <w:rPr>
          <w:rFonts w:ascii="Times New Roman" w:eastAsia="Times New Roman" w:hAnsi="Times New Roman" w:cs="Times New Roman"/>
          <w:color w:val="0E101A"/>
          <w:sz w:val="28"/>
          <w:szCs w:val="28"/>
          <w:lang w:val="en-US"/>
        </w:rPr>
      </w:pPr>
      <w:r w:rsidRPr="009C2E08">
        <w:rPr>
          <w:rFonts w:ascii="Times New Roman" w:eastAsia="Times New Roman" w:hAnsi="Times New Roman" w:cs="Times New Roman"/>
          <w:i/>
          <w:iCs/>
          <w:color w:val="0E101A"/>
          <w:sz w:val="28"/>
          <w:szCs w:val="28"/>
          <w:lang w:val="en-US"/>
        </w:rPr>
        <w:t>In processes:</w:t>
      </w:r>
      <w:r>
        <w:rPr>
          <w:rFonts w:ascii="Times New Roman" w:eastAsia="Times New Roman" w:hAnsi="Times New Roman" w:cs="Times New Roman"/>
          <w:color w:val="0E101A"/>
          <w:sz w:val="28"/>
          <w:szCs w:val="28"/>
          <w:lang w:val="en-US"/>
        </w:rPr>
        <w:t xml:space="preserve"> </w:t>
      </w:r>
      <w:r w:rsidR="00CE2251" w:rsidRPr="00CE2251">
        <w:rPr>
          <w:rFonts w:ascii="Times New Roman" w:eastAsia="Times New Roman" w:hAnsi="Times New Roman" w:cs="Times New Roman"/>
          <w:color w:val="0E101A"/>
          <w:sz w:val="28"/>
          <w:szCs w:val="28"/>
          <w:lang w:val="en-US"/>
        </w:rPr>
        <w:t xml:space="preserve">Innovation management involves many processes, including idea generation, research and development, marketing, and organizational change. However, </w:t>
      </w:r>
      <w:r w:rsidR="0096772F">
        <w:rPr>
          <w:rFonts w:ascii="Times New Roman" w:eastAsia="Times New Roman" w:hAnsi="Times New Roman" w:cs="Times New Roman"/>
          <w:color w:val="0E101A"/>
          <w:sz w:val="28"/>
          <w:szCs w:val="28"/>
          <w:lang w:val="en-US"/>
        </w:rPr>
        <w:t xml:space="preserve">managing </w:t>
      </w:r>
      <w:r w:rsidR="00CE2251" w:rsidRPr="00CE2251">
        <w:rPr>
          <w:rFonts w:ascii="Times New Roman" w:eastAsia="Times New Roman" w:hAnsi="Times New Roman" w:cs="Times New Roman"/>
          <w:color w:val="0E101A"/>
          <w:sz w:val="28"/>
          <w:szCs w:val="28"/>
          <w:lang w:val="en-US"/>
        </w:rPr>
        <w:t>innovation primarily involves planning, organizing, and controlling innovation projects.</w:t>
      </w:r>
    </w:p>
    <w:p w14:paraId="5B5D1DAD" w14:textId="3DC40F6E" w:rsidR="00CE2251" w:rsidRPr="00CE2251" w:rsidRDefault="009C2E08" w:rsidP="00DC3694">
      <w:pPr>
        <w:spacing w:after="0" w:line="240" w:lineRule="auto"/>
        <w:ind w:firstLine="709"/>
        <w:jc w:val="both"/>
        <w:rPr>
          <w:rFonts w:ascii="Times New Roman" w:eastAsia="Times New Roman" w:hAnsi="Times New Roman" w:cs="Times New Roman"/>
          <w:color w:val="0E101A"/>
          <w:sz w:val="28"/>
          <w:szCs w:val="28"/>
          <w:lang w:val="en-US"/>
        </w:rPr>
      </w:pPr>
      <w:r w:rsidRPr="009C2E08">
        <w:rPr>
          <w:rFonts w:ascii="Times New Roman" w:eastAsia="Times New Roman" w:hAnsi="Times New Roman" w:cs="Times New Roman"/>
          <w:i/>
          <w:iCs/>
          <w:color w:val="0E101A"/>
          <w:sz w:val="28"/>
          <w:szCs w:val="28"/>
          <w:lang w:val="en-US"/>
        </w:rPr>
        <w:t>In outcomes:</w:t>
      </w:r>
      <w:r>
        <w:rPr>
          <w:rFonts w:ascii="Times New Roman" w:eastAsia="Times New Roman" w:hAnsi="Times New Roman" w:cs="Times New Roman"/>
          <w:b/>
          <w:bCs/>
          <w:color w:val="0E101A"/>
          <w:sz w:val="28"/>
          <w:szCs w:val="28"/>
          <w:lang w:val="en-US"/>
        </w:rPr>
        <w:t xml:space="preserve"> </w:t>
      </w:r>
      <w:r w:rsidR="00CE2251" w:rsidRPr="00CE2251">
        <w:rPr>
          <w:rFonts w:ascii="Times New Roman" w:eastAsia="Times New Roman" w:hAnsi="Times New Roman" w:cs="Times New Roman"/>
          <w:color w:val="0E101A"/>
          <w:sz w:val="28"/>
          <w:szCs w:val="28"/>
          <w:lang w:val="en-US"/>
        </w:rPr>
        <w:t>The outcomes of innovation management are typically long-term and strategic, such as creating new products, services, or business models. The outcomes of managing innovation are more immediate and operational, such as completing innovation projects and achieving specific objectives.</w:t>
      </w:r>
    </w:p>
    <w:p w14:paraId="1E4849D8" w14:textId="173AE10B" w:rsidR="00CE2251" w:rsidRPr="001941FC" w:rsidRDefault="00CE2251" w:rsidP="00DC3694">
      <w:pPr>
        <w:spacing w:after="0" w:line="240" w:lineRule="auto"/>
        <w:ind w:firstLine="709"/>
        <w:jc w:val="both"/>
        <w:rPr>
          <w:rFonts w:ascii="Times New Roman" w:eastAsia="Times New Roman" w:hAnsi="Times New Roman" w:cs="Times New Roman"/>
          <w:color w:val="0E101A"/>
          <w:sz w:val="28"/>
          <w:szCs w:val="28"/>
          <w:lang w:val="kk-KZ"/>
        </w:rPr>
      </w:pPr>
      <w:r w:rsidRPr="00CE2251">
        <w:rPr>
          <w:rFonts w:ascii="Times New Roman" w:eastAsia="Times New Roman" w:hAnsi="Times New Roman" w:cs="Times New Roman"/>
          <w:color w:val="0E101A"/>
          <w:sz w:val="28"/>
          <w:szCs w:val="28"/>
          <w:lang w:val="en-US"/>
        </w:rPr>
        <w:lastRenderedPageBreak/>
        <w:t>Innovation management in universities involves creating an environment that supports innovation and entrepreneurship. It includes developing policies, structures, and processes that translate research into practical applications, foster entrepreneurship, and build partnerships with industry and other stakeholders</w:t>
      </w:r>
      <w:r w:rsidR="00DC3694">
        <w:rPr>
          <w:rFonts w:ascii="Times New Roman" w:eastAsia="Times New Roman" w:hAnsi="Times New Roman" w:cs="Times New Roman"/>
          <w:color w:val="0E101A"/>
          <w:sz w:val="28"/>
          <w:szCs w:val="28"/>
          <w:lang w:val="en-US"/>
        </w:rPr>
        <w:t xml:space="preserve"> [</w:t>
      </w:r>
      <w:r w:rsidR="005D59FB">
        <w:rPr>
          <w:rFonts w:ascii="Times New Roman" w:eastAsia="Times New Roman" w:hAnsi="Times New Roman" w:cs="Times New Roman"/>
          <w:color w:val="0E101A"/>
          <w:sz w:val="28"/>
          <w:szCs w:val="28"/>
          <w:lang w:val="en-US"/>
        </w:rPr>
        <w:t>19-20</w:t>
      </w:r>
      <w:r w:rsidR="00DC3694">
        <w:rPr>
          <w:rFonts w:ascii="Times New Roman" w:eastAsia="Times New Roman" w:hAnsi="Times New Roman" w:cs="Times New Roman"/>
          <w:color w:val="0E101A"/>
          <w:sz w:val="28"/>
          <w:szCs w:val="28"/>
          <w:lang w:val="en-US"/>
        </w:rPr>
        <w:t xml:space="preserve">]. </w:t>
      </w:r>
      <w:r w:rsidR="001941FC">
        <w:rPr>
          <w:rFonts w:ascii="Times New Roman" w:eastAsia="Times New Roman" w:hAnsi="Times New Roman" w:cs="Times New Roman"/>
          <w:color w:val="0E101A"/>
          <w:sz w:val="28"/>
          <w:szCs w:val="28"/>
          <w:lang w:val="kk-KZ"/>
        </w:rPr>
        <w:t xml:space="preserve"> </w:t>
      </w:r>
    </w:p>
    <w:p w14:paraId="5645AEB2" w14:textId="77777777" w:rsidR="00CE2251" w:rsidRPr="00CE2251" w:rsidRDefault="00CE2251" w:rsidP="00DC3694">
      <w:pPr>
        <w:spacing w:after="0" w:line="240" w:lineRule="auto"/>
        <w:ind w:firstLine="709"/>
        <w:jc w:val="both"/>
        <w:rPr>
          <w:rFonts w:ascii="Times New Roman" w:eastAsia="Times New Roman" w:hAnsi="Times New Roman" w:cs="Times New Roman"/>
          <w:color w:val="0E101A"/>
          <w:sz w:val="28"/>
          <w:szCs w:val="28"/>
          <w:lang w:val="en-US"/>
        </w:rPr>
      </w:pPr>
      <w:r w:rsidRPr="00CE2251">
        <w:rPr>
          <w:rFonts w:ascii="Times New Roman" w:eastAsia="Times New Roman" w:hAnsi="Times New Roman" w:cs="Times New Roman"/>
          <w:color w:val="0E101A"/>
          <w:sz w:val="28"/>
          <w:szCs w:val="28"/>
          <w:lang w:val="en-US"/>
        </w:rPr>
        <w:t>Key aspects of innovation management in universities include:</w:t>
      </w:r>
    </w:p>
    <w:p w14:paraId="4A4BCA97" w14:textId="77777777" w:rsidR="00CE2251" w:rsidRPr="00CE2251" w:rsidRDefault="00CE2251" w:rsidP="00B07683">
      <w:pPr>
        <w:numPr>
          <w:ilvl w:val="0"/>
          <w:numId w:val="1"/>
        </w:numPr>
        <w:spacing w:after="0" w:line="240" w:lineRule="auto"/>
        <w:ind w:left="0" w:firstLine="709"/>
        <w:jc w:val="both"/>
        <w:rPr>
          <w:rFonts w:ascii="Times New Roman" w:eastAsia="Times New Roman" w:hAnsi="Times New Roman" w:cs="Times New Roman"/>
          <w:color w:val="0E101A"/>
          <w:sz w:val="28"/>
          <w:szCs w:val="28"/>
          <w:lang w:val="en-US"/>
        </w:rPr>
      </w:pPr>
      <w:r w:rsidRPr="00CE2251">
        <w:rPr>
          <w:rFonts w:ascii="Times New Roman" w:eastAsia="Times New Roman" w:hAnsi="Times New Roman" w:cs="Times New Roman"/>
          <w:i/>
          <w:iCs/>
          <w:color w:val="0E101A"/>
          <w:sz w:val="28"/>
          <w:szCs w:val="28"/>
          <w:lang w:val="en-US"/>
        </w:rPr>
        <w:t>Research and Development:</w:t>
      </w:r>
      <w:r w:rsidRPr="00CE2251">
        <w:rPr>
          <w:rFonts w:ascii="Times New Roman" w:eastAsia="Times New Roman" w:hAnsi="Times New Roman" w:cs="Times New Roman"/>
          <w:color w:val="0E101A"/>
          <w:sz w:val="28"/>
          <w:szCs w:val="28"/>
          <w:lang w:val="en-US"/>
        </w:rPr>
        <w:t xml:space="preserve"> Universities are key players in research and development, and innovation management involves coordinating these activities to ensure they align with strategic goals.</w:t>
      </w:r>
    </w:p>
    <w:p w14:paraId="58A7DA38" w14:textId="77777777" w:rsidR="00CE2251" w:rsidRPr="00CE2251" w:rsidRDefault="00CE2251" w:rsidP="00B07683">
      <w:pPr>
        <w:numPr>
          <w:ilvl w:val="0"/>
          <w:numId w:val="1"/>
        </w:numPr>
        <w:spacing w:after="0" w:line="240" w:lineRule="auto"/>
        <w:ind w:left="0" w:firstLine="709"/>
        <w:jc w:val="both"/>
        <w:rPr>
          <w:rFonts w:ascii="Times New Roman" w:eastAsia="Times New Roman" w:hAnsi="Times New Roman" w:cs="Times New Roman"/>
          <w:color w:val="0E101A"/>
          <w:sz w:val="28"/>
          <w:szCs w:val="28"/>
          <w:lang w:val="en-US"/>
        </w:rPr>
      </w:pPr>
      <w:r w:rsidRPr="00CE2251">
        <w:rPr>
          <w:rFonts w:ascii="Times New Roman" w:eastAsia="Times New Roman" w:hAnsi="Times New Roman" w:cs="Times New Roman"/>
          <w:i/>
          <w:iCs/>
          <w:color w:val="0E101A"/>
          <w:sz w:val="28"/>
          <w:szCs w:val="28"/>
          <w:lang w:val="en-US"/>
        </w:rPr>
        <w:t>Technology Transfer:</w:t>
      </w:r>
      <w:r w:rsidRPr="00CE2251">
        <w:rPr>
          <w:rFonts w:ascii="Times New Roman" w:eastAsia="Times New Roman" w:hAnsi="Times New Roman" w:cs="Times New Roman"/>
          <w:color w:val="0E101A"/>
          <w:sz w:val="28"/>
          <w:szCs w:val="28"/>
          <w:lang w:val="en-US"/>
        </w:rPr>
        <w:t xml:space="preserve"> Innovation management in universities also involves transferring technology from the laboratory to the marketplace through licensing, spin-offs, and partnerships with industry.</w:t>
      </w:r>
    </w:p>
    <w:p w14:paraId="3A6B8E9B" w14:textId="5D95814D" w:rsidR="00CE2251" w:rsidRPr="00CE2251" w:rsidRDefault="00CE2251" w:rsidP="00B07683">
      <w:pPr>
        <w:numPr>
          <w:ilvl w:val="0"/>
          <w:numId w:val="1"/>
        </w:numPr>
        <w:spacing w:after="0" w:line="240" w:lineRule="auto"/>
        <w:ind w:left="0" w:firstLine="709"/>
        <w:jc w:val="both"/>
        <w:rPr>
          <w:rFonts w:ascii="Times New Roman" w:eastAsia="Times New Roman" w:hAnsi="Times New Roman" w:cs="Times New Roman"/>
          <w:color w:val="0E101A"/>
          <w:sz w:val="28"/>
          <w:szCs w:val="28"/>
          <w:lang w:val="en-US"/>
        </w:rPr>
      </w:pPr>
      <w:r w:rsidRPr="00CE2251">
        <w:rPr>
          <w:rFonts w:ascii="Times New Roman" w:eastAsia="Times New Roman" w:hAnsi="Times New Roman" w:cs="Times New Roman"/>
          <w:i/>
          <w:iCs/>
          <w:color w:val="0E101A"/>
          <w:sz w:val="28"/>
          <w:szCs w:val="28"/>
          <w:lang w:val="en-US"/>
        </w:rPr>
        <w:t>Entrepreneurship:</w:t>
      </w:r>
      <w:r w:rsidRPr="00CE2251">
        <w:rPr>
          <w:rFonts w:ascii="Times New Roman" w:eastAsia="Times New Roman" w:hAnsi="Times New Roman" w:cs="Times New Roman"/>
          <w:color w:val="0E101A"/>
          <w:sz w:val="28"/>
          <w:szCs w:val="28"/>
          <w:lang w:val="en-US"/>
        </w:rPr>
        <w:t xml:space="preserve"> Innovation management in universities often promotes entrepreneurship by creating incubators, accelerators, and other start-up support programs.</w:t>
      </w:r>
      <w:r w:rsidR="00DC3694">
        <w:rPr>
          <w:rFonts w:ascii="Times New Roman" w:eastAsia="Times New Roman" w:hAnsi="Times New Roman" w:cs="Times New Roman"/>
          <w:color w:val="0E101A"/>
          <w:sz w:val="28"/>
          <w:szCs w:val="28"/>
          <w:lang w:val="en-US"/>
        </w:rPr>
        <w:t xml:space="preserve"> </w:t>
      </w:r>
    </w:p>
    <w:p w14:paraId="4B4A983D" w14:textId="4B8E5B09" w:rsidR="00CE2251" w:rsidRPr="00CE2251" w:rsidRDefault="00CE2251" w:rsidP="00B07683">
      <w:pPr>
        <w:numPr>
          <w:ilvl w:val="0"/>
          <w:numId w:val="1"/>
        </w:numPr>
        <w:spacing w:after="0" w:line="240" w:lineRule="auto"/>
        <w:ind w:left="0" w:firstLine="709"/>
        <w:jc w:val="both"/>
        <w:rPr>
          <w:rFonts w:ascii="Times New Roman" w:eastAsia="Times New Roman" w:hAnsi="Times New Roman" w:cs="Times New Roman"/>
          <w:color w:val="0E101A"/>
          <w:sz w:val="28"/>
          <w:szCs w:val="28"/>
          <w:lang w:val="en-US"/>
        </w:rPr>
      </w:pPr>
      <w:r w:rsidRPr="00CE2251">
        <w:rPr>
          <w:rFonts w:ascii="Times New Roman" w:eastAsia="Times New Roman" w:hAnsi="Times New Roman" w:cs="Times New Roman"/>
          <w:i/>
          <w:iCs/>
          <w:color w:val="0E101A"/>
          <w:sz w:val="28"/>
          <w:szCs w:val="28"/>
          <w:lang w:val="en-US"/>
        </w:rPr>
        <w:t>Collaboration:</w:t>
      </w:r>
      <w:r w:rsidRPr="00CE2251">
        <w:rPr>
          <w:rFonts w:ascii="Times New Roman" w:eastAsia="Times New Roman" w:hAnsi="Times New Roman" w:cs="Times New Roman"/>
          <w:color w:val="0E101A"/>
          <w:sz w:val="28"/>
          <w:szCs w:val="28"/>
          <w:lang w:val="en-US"/>
        </w:rPr>
        <w:t xml:space="preserve"> Innovation management in universities involves collaboration with external stakeholders, including industry partners, government organizations, and other research institutions, to utilize resources and expertise.</w:t>
      </w:r>
      <w:r w:rsidR="00DC3694">
        <w:rPr>
          <w:rFonts w:ascii="Times New Roman" w:eastAsia="Times New Roman" w:hAnsi="Times New Roman" w:cs="Times New Roman"/>
          <w:color w:val="0E101A"/>
          <w:sz w:val="28"/>
          <w:szCs w:val="28"/>
          <w:lang w:val="en-US"/>
        </w:rPr>
        <w:t xml:space="preserve"> </w:t>
      </w:r>
    </w:p>
    <w:p w14:paraId="07BF4464" w14:textId="61FEF56C" w:rsidR="00CE2251" w:rsidRPr="00CE2251" w:rsidRDefault="00CE2251" w:rsidP="00DC3694">
      <w:pPr>
        <w:spacing w:after="0" w:line="240" w:lineRule="auto"/>
        <w:ind w:firstLine="709"/>
        <w:jc w:val="both"/>
        <w:rPr>
          <w:rFonts w:ascii="Times New Roman" w:eastAsia="Times New Roman" w:hAnsi="Times New Roman" w:cs="Times New Roman"/>
          <w:color w:val="0E101A"/>
          <w:sz w:val="28"/>
          <w:szCs w:val="28"/>
          <w:lang w:val="en-US"/>
        </w:rPr>
      </w:pPr>
      <w:r w:rsidRPr="00CE2251">
        <w:rPr>
          <w:rFonts w:ascii="Times New Roman" w:eastAsia="Times New Roman" w:hAnsi="Times New Roman" w:cs="Times New Roman"/>
          <w:color w:val="0E101A"/>
          <w:sz w:val="28"/>
          <w:szCs w:val="28"/>
          <w:lang w:val="en-US"/>
        </w:rPr>
        <w:t>Managing innovation in universities involves overseeing and directing innovation activities to ensure successful implementation and alignment with organizational objectives. It includes planning, organizing, and controlling innovation projects and establishing systems and processes to support innovation</w:t>
      </w:r>
      <w:r w:rsidR="00DC3694">
        <w:rPr>
          <w:rFonts w:ascii="Times New Roman" w:eastAsia="Times New Roman" w:hAnsi="Times New Roman" w:cs="Times New Roman"/>
          <w:color w:val="0E101A"/>
          <w:sz w:val="28"/>
          <w:szCs w:val="28"/>
          <w:lang w:val="en-US"/>
        </w:rPr>
        <w:t xml:space="preserve"> [2</w:t>
      </w:r>
      <w:r w:rsidR="005D59FB">
        <w:rPr>
          <w:rFonts w:ascii="Times New Roman" w:eastAsia="Times New Roman" w:hAnsi="Times New Roman" w:cs="Times New Roman"/>
          <w:color w:val="0E101A"/>
          <w:sz w:val="28"/>
          <w:szCs w:val="28"/>
          <w:lang w:val="en-US"/>
        </w:rPr>
        <w:t>6-27</w:t>
      </w:r>
      <w:r w:rsidR="00DC3694">
        <w:rPr>
          <w:rFonts w:ascii="Times New Roman" w:eastAsia="Times New Roman" w:hAnsi="Times New Roman" w:cs="Times New Roman"/>
          <w:color w:val="0E101A"/>
          <w:sz w:val="28"/>
          <w:szCs w:val="28"/>
          <w:lang w:val="en-US"/>
        </w:rPr>
        <w:t xml:space="preserve">]. </w:t>
      </w:r>
    </w:p>
    <w:p w14:paraId="4FAF56D7" w14:textId="1EA04306" w:rsidR="00CE2251" w:rsidRPr="00CE2251" w:rsidRDefault="009C2E08" w:rsidP="00DC3694">
      <w:pPr>
        <w:spacing w:after="0" w:line="240" w:lineRule="auto"/>
        <w:ind w:firstLine="709"/>
        <w:jc w:val="both"/>
        <w:rPr>
          <w:rFonts w:ascii="Times New Roman" w:eastAsia="Times New Roman" w:hAnsi="Times New Roman" w:cs="Times New Roman"/>
          <w:color w:val="0E101A"/>
          <w:sz w:val="28"/>
          <w:szCs w:val="28"/>
          <w:lang w:val="en-US"/>
        </w:rPr>
      </w:pPr>
      <w:r w:rsidRPr="009C2E08">
        <w:rPr>
          <w:rFonts w:ascii="Times New Roman" w:eastAsia="Times New Roman" w:hAnsi="Times New Roman" w:cs="Times New Roman"/>
          <w:color w:val="0E101A"/>
          <w:sz w:val="28"/>
          <w:szCs w:val="28"/>
          <w:lang w:val="en-US"/>
        </w:rPr>
        <w:t>Key components of managing innovation in academic institutions include:</w:t>
      </w:r>
    </w:p>
    <w:p w14:paraId="14A35DE2" w14:textId="77777777" w:rsidR="00CE2251" w:rsidRPr="00CE2251" w:rsidRDefault="00CE2251" w:rsidP="00B07683">
      <w:pPr>
        <w:numPr>
          <w:ilvl w:val="0"/>
          <w:numId w:val="2"/>
        </w:numPr>
        <w:spacing w:after="0" w:line="240" w:lineRule="auto"/>
        <w:ind w:left="0" w:firstLine="709"/>
        <w:jc w:val="both"/>
        <w:rPr>
          <w:rFonts w:ascii="Times New Roman" w:eastAsia="Times New Roman" w:hAnsi="Times New Roman" w:cs="Times New Roman"/>
          <w:color w:val="0E101A"/>
          <w:sz w:val="28"/>
          <w:szCs w:val="28"/>
          <w:lang w:val="en-US"/>
        </w:rPr>
      </w:pPr>
      <w:r w:rsidRPr="00CE2251">
        <w:rPr>
          <w:rFonts w:ascii="Times New Roman" w:eastAsia="Times New Roman" w:hAnsi="Times New Roman" w:cs="Times New Roman"/>
          <w:i/>
          <w:iCs/>
          <w:color w:val="0E101A"/>
          <w:sz w:val="28"/>
          <w:szCs w:val="28"/>
          <w:lang w:val="en-US"/>
        </w:rPr>
        <w:t>Project Management:</w:t>
      </w:r>
      <w:r w:rsidRPr="00CE2251">
        <w:rPr>
          <w:rFonts w:ascii="Times New Roman" w:eastAsia="Times New Roman" w:hAnsi="Times New Roman" w:cs="Times New Roman"/>
          <w:color w:val="0E101A"/>
          <w:sz w:val="28"/>
          <w:szCs w:val="28"/>
          <w:lang w:val="en-US"/>
        </w:rPr>
        <w:t xml:space="preserve"> Managing innovation in universities involves applying project management techniques to ensure that innovation projects are completed on time, within budget, and to the required quality standards. </w:t>
      </w:r>
    </w:p>
    <w:p w14:paraId="5A557088" w14:textId="77777777" w:rsidR="00CE2251" w:rsidRPr="00CE2251" w:rsidRDefault="00CE2251" w:rsidP="00B07683">
      <w:pPr>
        <w:numPr>
          <w:ilvl w:val="0"/>
          <w:numId w:val="2"/>
        </w:numPr>
        <w:spacing w:after="0" w:line="240" w:lineRule="auto"/>
        <w:ind w:left="0" w:firstLine="709"/>
        <w:jc w:val="both"/>
        <w:rPr>
          <w:rFonts w:ascii="Times New Roman" w:eastAsia="Times New Roman" w:hAnsi="Times New Roman" w:cs="Times New Roman"/>
          <w:color w:val="0E101A"/>
          <w:sz w:val="28"/>
          <w:szCs w:val="28"/>
          <w:lang w:val="en-US"/>
        </w:rPr>
      </w:pPr>
      <w:r w:rsidRPr="00CE2251">
        <w:rPr>
          <w:rFonts w:ascii="Times New Roman" w:eastAsia="Times New Roman" w:hAnsi="Times New Roman" w:cs="Times New Roman"/>
          <w:i/>
          <w:iCs/>
          <w:color w:val="0E101A"/>
          <w:sz w:val="28"/>
          <w:szCs w:val="28"/>
          <w:lang w:val="en-US"/>
        </w:rPr>
        <w:t>Resource Allocation</w:t>
      </w:r>
      <w:r w:rsidRPr="00CE2251">
        <w:rPr>
          <w:rFonts w:ascii="Times New Roman" w:eastAsia="Times New Roman" w:hAnsi="Times New Roman" w:cs="Times New Roman"/>
          <w:color w:val="0E101A"/>
          <w:sz w:val="28"/>
          <w:szCs w:val="28"/>
          <w:lang w:val="en-US"/>
        </w:rPr>
        <w:t>: Managing innovation requires effectively allocating resources, such as funding, personnel, and equipment, to support innovation projects.</w:t>
      </w:r>
    </w:p>
    <w:p w14:paraId="1ACAEB8C" w14:textId="77777777" w:rsidR="00CE2251" w:rsidRPr="00CE2251" w:rsidRDefault="00CE2251" w:rsidP="00B07683">
      <w:pPr>
        <w:numPr>
          <w:ilvl w:val="0"/>
          <w:numId w:val="2"/>
        </w:numPr>
        <w:spacing w:after="0" w:line="240" w:lineRule="auto"/>
        <w:ind w:left="0" w:firstLine="709"/>
        <w:jc w:val="both"/>
        <w:rPr>
          <w:rFonts w:ascii="Times New Roman" w:eastAsia="Times New Roman" w:hAnsi="Times New Roman" w:cs="Times New Roman"/>
          <w:color w:val="0E101A"/>
          <w:sz w:val="28"/>
          <w:szCs w:val="28"/>
          <w:lang w:val="en-US"/>
        </w:rPr>
      </w:pPr>
      <w:r w:rsidRPr="00CE2251">
        <w:rPr>
          <w:rFonts w:ascii="Times New Roman" w:eastAsia="Times New Roman" w:hAnsi="Times New Roman" w:cs="Times New Roman"/>
          <w:i/>
          <w:iCs/>
          <w:color w:val="0E101A"/>
          <w:sz w:val="28"/>
          <w:szCs w:val="28"/>
          <w:lang w:val="en-US"/>
        </w:rPr>
        <w:t>Risk Assessment:</w:t>
      </w:r>
      <w:r w:rsidRPr="00CE2251">
        <w:rPr>
          <w:rFonts w:ascii="Times New Roman" w:eastAsia="Times New Roman" w:hAnsi="Times New Roman" w:cs="Times New Roman"/>
          <w:color w:val="0E101A"/>
          <w:sz w:val="28"/>
          <w:szCs w:val="28"/>
          <w:lang w:val="en-US"/>
        </w:rPr>
        <w:t xml:space="preserve"> Managing innovation involves identifying and mitigating risks associated with innovation projects, such as technical risks, market risks, and regulatory risks.</w:t>
      </w:r>
    </w:p>
    <w:p w14:paraId="75BB210A" w14:textId="77777777" w:rsidR="00CE2251" w:rsidRPr="00CE2251" w:rsidRDefault="00CE2251" w:rsidP="00B07683">
      <w:pPr>
        <w:numPr>
          <w:ilvl w:val="0"/>
          <w:numId w:val="2"/>
        </w:numPr>
        <w:spacing w:after="0" w:line="240" w:lineRule="auto"/>
        <w:ind w:left="0" w:firstLine="709"/>
        <w:jc w:val="both"/>
        <w:rPr>
          <w:rFonts w:ascii="Times New Roman" w:eastAsia="Times New Roman" w:hAnsi="Times New Roman" w:cs="Times New Roman"/>
          <w:color w:val="0E101A"/>
          <w:sz w:val="28"/>
          <w:szCs w:val="28"/>
          <w:lang w:val="en-US"/>
        </w:rPr>
      </w:pPr>
      <w:r w:rsidRPr="00CE2251">
        <w:rPr>
          <w:rFonts w:ascii="Times New Roman" w:eastAsia="Times New Roman" w:hAnsi="Times New Roman" w:cs="Times New Roman"/>
          <w:i/>
          <w:iCs/>
          <w:color w:val="0E101A"/>
          <w:sz w:val="28"/>
          <w:szCs w:val="28"/>
          <w:lang w:val="en-US"/>
        </w:rPr>
        <w:t>Performance Monitoring:</w:t>
      </w:r>
      <w:r w:rsidRPr="00CE2251">
        <w:rPr>
          <w:rFonts w:ascii="Times New Roman" w:eastAsia="Times New Roman" w:hAnsi="Times New Roman" w:cs="Times New Roman"/>
          <w:color w:val="0E101A"/>
          <w:sz w:val="28"/>
          <w:szCs w:val="28"/>
          <w:lang w:val="en-US"/>
        </w:rPr>
        <w:t xml:space="preserve"> Managing innovation requires monitoring and evaluating innovation projects to assess their performance and impact and make adjustments as needed.</w:t>
      </w:r>
    </w:p>
    <w:p w14:paraId="26EF6BE7" w14:textId="69A35371" w:rsidR="00CE2251" w:rsidRPr="00CE2251" w:rsidRDefault="00CE2251" w:rsidP="00DC3694">
      <w:pPr>
        <w:spacing w:after="0" w:line="240" w:lineRule="auto"/>
        <w:ind w:firstLine="720"/>
        <w:jc w:val="both"/>
        <w:rPr>
          <w:rFonts w:ascii="Times New Roman" w:eastAsia="Times New Roman" w:hAnsi="Times New Roman" w:cs="Times New Roman"/>
          <w:color w:val="0E101A"/>
          <w:sz w:val="28"/>
          <w:szCs w:val="28"/>
          <w:lang w:val="en-US"/>
        </w:rPr>
      </w:pPr>
      <w:r w:rsidRPr="00CE2251">
        <w:rPr>
          <w:rFonts w:ascii="Times New Roman" w:eastAsia="Times New Roman" w:hAnsi="Times New Roman" w:cs="Times New Roman"/>
          <w:i/>
          <w:iCs/>
          <w:color w:val="0E101A"/>
          <w:sz w:val="28"/>
          <w:szCs w:val="28"/>
          <w:lang w:val="en-US"/>
        </w:rPr>
        <w:t>The Role of Innovation Management in University Settings:</w:t>
      </w:r>
    </w:p>
    <w:p w14:paraId="4A0B4CB7" w14:textId="77777777" w:rsidR="00CE2251" w:rsidRPr="00CE2251" w:rsidRDefault="00CE2251" w:rsidP="00DC3694">
      <w:pPr>
        <w:spacing w:after="0" w:line="240" w:lineRule="auto"/>
        <w:ind w:firstLine="720"/>
        <w:jc w:val="both"/>
        <w:rPr>
          <w:rFonts w:ascii="Times New Roman" w:eastAsia="Times New Roman" w:hAnsi="Times New Roman" w:cs="Times New Roman"/>
          <w:color w:val="0E101A"/>
          <w:sz w:val="28"/>
          <w:szCs w:val="28"/>
          <w:lang w:val="en-US"/>
        </w:rPr>
      </w:pPr>
      <w:r w:rsidRPr="00CE2251">
        <w:rPr>
          <w:rFonts w:ascii="Times New Roman" w:eastAsia="Times New Roman" w:hAnsi="Times New Roman" w:cs="Times New Roman"/>
          <w:color w:val="0E101A"/>
          <w:sz w:val="28"/>
          <w:szCs w:val="28"/>
          <w:lang w:val="en-US"/>
        </w:rPr>
        <w:t>Both innovation management and managing innovation play critical roles in university settings, but they serve different purposes and require different approaches. Innovation management provides the strategic direction and overall framework for innovation activities while managing innovation focuses on the operational aspects of innovation projects.</w:t>
      </w:r>
    </w:p>
    <w:p w14:paraId="2E8AF37B" w14:textId="77777777" w:rsidR="00CE2251" w:rsidRPr="00CE2251" w:rsidRDefault="00CE2251" w:rsidP="00DC3694">
      <w:pPr>
        <w:spacing w:after="0" w:line="240" w:lineRule="auto"/>
        <w:ind w:firstLine="720"/>
        <w:jc w:val="both"/>
        <w:rPr>
          <w:rFonts w:ascii="Times New Roman" w:eastAsia="Times New Roman" w:hAnsi="Times New Roman" w:cs="Times New Roman"/>
          <w:color w:val="0E101A"/>
          <w:sz w:val="28"/>
          <w:szCs w:val="28"/>
          <w:lang w:val="en-US"/>
        </w:rPr>
      </w:pPr>
      <w:r w:rsidRPr="00CE2251">
        <w:rPr>
          <w:rFonts w:ascii="Times New Roman" w:eastAsia="Times New Roman" w:hAnsi="Times New Roman" w:cs="Times New Roman"/>
          <w:color w:val="0E101A"/>
          <w:sz w:val="28"/>
          <w:szCs w:val="28"/>
          <w:lang w:val="en-US"/>
        </w:rPr>
        <w:t xml:space="preserve">These concepts enable universities to harness innovation effectively, drive technological advancements, foster entrepreneurship, and contribute to societal and </w:t>
      </w:r>
      <w:r w:rsidRPr="00CE2251">
        <w:rPr>
          <w:rFonts w:ascii="Times New Roman" w:eastAsia="Times New Roman" w:hAnsi="Times New Roman" w:cs="Times New Roman"/>
          <w:color w:val="0E101A"/>
          <w:sz w:val="28"/>
          <w:szCs w:val="28"/>
          <w:lang w:val="en-US"/>
        </w:rPr>
        <w:lastRenderedPageBreak/>
        <w:t>economic development. By understanding the distinctions between innovation management and innovation management, universities can develop comprehensive strategies that align innovation activities with their strategic goals and ensure the successful implementation of innovation projects.</w:t>
      </w:r>
    </w:p>
    <w:p w14:paraId="23AB77D9" w14:textId="34391A79" w:rsidR="00CE2251" w:rsidRPr="00CE2251" w:rsidRDefault="00CE2251" w:rsidP="00DC3694">
      <w:pPr>
        <w:spacing w:after="0" w:line="240" w:lineRule="auto"/>
        <w:ind w:firstLine="720"/>
        <w:jc w:val="both"/>
        <w:rPr>
          <w:rFonts w:ascii="Times New Roman" w:eastAsia="Times New Roman" w:hAnsi="Times New Roman" w:cs="Times New Roman"/>
          <w:color w:val="0E101A"/>
          <w:sz w:val="28"/>
          <w:szCs w:val="28"/>
          <w:lang w:val="en-US"/>
        </w:rPr>
      </w:pPr>
      <w:r w:rsidRPr="00CE2251">
        <w:rPr>
          <w:rFonts w:ascii="Times New Roman" w:eastAsia="Times New Roman" w:hAnsi="Times New Roman" w:cs="Times New Roman"/>
          <w:color w:val="0E101A"/>
          <w:sz w:val="28"/>
          <w:szCs w:val="28"/>
          <w:lang w:val="en-US"/>
        </w:rPr>
        <w:t>Finally, innovation management and managing innovation are two distinct but closely related concepts that play important roles in university settings. Innovation management provides the strategic direction and overall framework for innovation activities while managing innovation focuses on the operational aspects of innovation projects. By understanding the distinctions between these two concepts</w:t>
      </w:r>
      <w:r w:rsidR="001838B1">
        <w:rPr>
          <w:rFonts w:ascii="Times New Roman" w:eastAsia="Times New Roman" w:hAnsi="Times New Roman" w:cs="Times New Roman"/>
          <w:color w:val="0E101A"/>
          <w:sz w:val="28"/>
          <w:szCs w:val="28"/>
          <w:lang w:val="en-US"/>
        </w:rPr>
        <w:t xml:space="preserve"> </w:t>
      </w:r>
      <w:r w:rsidR="001838B1" w:rsidRPr="00643A03">
        <w:rPr>
          <w:rFonts w:ascii="Times New Roman" w:eastAsia="Times New Roman" w:hAnsi="Times New Roman" w:cs="Times New Roman"/>
          <w:color w:val="0E101A"/>
          <w:sz w:val="28"/>
          <w:szCs w:val="28"/>
          <w:lang w:val="en-US"/>
        </w:rPr>
        <w:t>(table 1</w:t>
      </w:r>
      <w:r w:rsidR="001838B1">
        <w:rPr>
          <w:rFonts w:ascii="Times New Roman" w:eastAsia="Times New Roman" w:hAnsi="Times New Roman" w:cs="Times New Roman"/>
          <w:color w:val="0E101A"/>
          <w:sz w:val="28"/>
          <w:szCs w:val="28"/>
          <w:lang w:val="en-US"/>
        </w:rPr>
        <w:t>)</w:t>
      </w:r>
      <w:r w:rsidRPr="00CE2251">
        <w:rPr>
          <w:rFonts w:ascii="Times New Roman" w:eastAsia="Times New Roman" w:hAnsi="Times New Roman" w:cs="Times New Roman"/>
          <w:color w:val="0E101A"/>
          <w:sz w:val="28"/>
          <w:szCs w:val="28"/>
          <w:lang w:val="en-US"/>
        </w:rPr>
        <w:t>, universities can develop comprehensive strategies that align innovation activities with their strategic goals and ensure the successful implementation of innovation projects.</w:t>
      </w:r>
    </w:p>
    <w:p w14:paraId="2937205B" w14:textId="547FFE95" w:rsidR="00CE2251" w:rsidRPr="00D53B9C" w:rsidRDefault="00CE2251" w:rsidP="00D53B9C">
      <w:pPr>
        <w:spacing w:after="0" w:line="240" w:lineRule="auto"/>
        <w:jc w:val="both"/>
        <w:rPr>
          <w:rFonts w:ascii="Times New Roman" w:eastAsia="Times New Roman" w:hAnsi="Times New Roman" w:cs="Times New Roman"/>
          <w:sz w:val="28"/>
          <w:szCs w:val="28"/>
          <w:lang w:val="en-US"/>
        </w:rPr>
      </w:pPr>
    </w:p>
    <w:p w14:paraId="60F6C88F" w14:textId="7D0981D3" w:rsidR="00BA2146" w:rsidRDefault="00B775A3" w:rsidP="004013D8">
      <w:pPr>
        <w:spacing w:after="0" w:line="240" w:lineRule="auto"/>
        <w:ind w:firstLine="709"/>
        <w:rPr>
          <w:rFonts w:ascii="Times New Roman" w:eastAsia="Times New Roman" w:hAnsi="Times New Roman" w:cs="Times New Roman"/>
          <w:sz w:val="28"/>
          <w:szCs w:val="28"/>
          <w:lang w:val="en-US"/>
        </w:rPr>
      </w:pPr>
      <w:r w:rsidRPr="00D53B9C">
        <w:rPr>
          <w:rFonts w:ascii="Times New Roman" w:eastAsia="Times New Roman" w:hAnsi="Times New Roman" w:cs="Times New Roman"/>
          <w:sz w:val="28"/>
          <w:szCs w:val="28"/>
          <w:lang w:val="en-US"/>
        </w:rPr>
        <w:t xml:space="preserve">Table </w:t>
      </w:r>
      <w:r w:rsidR="003A0202">
        <w:rPr>
          <w:rFonts w:ascii="Times New Roman" w:eastAsia="Times New Roman" w:hAnsi="Times New Roman" w:cs="Times New Roman"/>
          <w:sz w:val="28"/>
          <w:szCs w:val="28"/>
          <w:lang w:val="en-US"/>
        </w:rPr>
        <w:t>1</w:t>
      </w:r>
      <w:r w:rsidRPr="00D53B9C">
        <w:rPr>
          <w:rFonts w:ascii="Times New Roman" w:eastAsia="Times New Roman" w:hAnsi="Times New Roman" w:cs="Times New Roman"/>
          <w:sz w:val="28"/>
          <w:szCs w:val="28"/>
          <w:lang w:val="en-US"/>
        </w:rPr>
        <w:t xml:space="preserve"> </w:t>
      </w:r>
      <w:r w:rsidR="003708CF" w:rsidRPr="009000E7">
        <w:rPr>
          <w:rFonts w:ascii="Times New Roman" w:eastAsia="Times New Roman" w:hAnsi="Times New Roman" w:cs="Times New Roman"/>
          <w:sz w:val="28"/>
          <w:szCs w:val="28"/>
          <w:lang w:val="en-US"/>
        </w:rPr>
        <w:t xml:space="preserve">– </w:t>
      </w:r>
      <w:r w:rsidRPr="00D53B9C">
        <w:rPr>
          <w:rFonts w:ascii="Times New Roman" w:eastAsia="Times New Roman" w:hAnsi="Times New Roman" w:cs="Times New Roman"/>
          <w:sz w:val="28"/>
          <w:szCs w:val="28"/>
          <w:lang w:val="en-US"/>
        </w:rPr>
        <w:t xml:space="preserve">Innovation Management </w:t>
      </w:r>
      <w:r w:rsidR="0096772F">
        <w:rPr>
          <w:rFonts w:ascii="Times New Roman" w:eastAsia="Times New Roman" w:hAnsi="Times New Roman" w:cs="Times New Roman"/>
          <w:sz w:val="28"/>
          <w:szCs w:val="28"/>
          <w:lang w:val="en-US"/>
        </w:rPr>
        <w:t>in universities</w:t>
      </w:r>
    </w:p>
    <w:p w14:paraId="34C92C08" w14:textId="77777777" w:rsidR="00507F88" w:rsidRPr="00785EA1" w:rsidRDefault="00507F88" w:rsidP="00BA2146">
      <w:pPr>
        <w:spacing w:after="0" w:line="240" w:lineRule="auto"/>
        <w:jc w:val="center"/>
        <w:rPr>
          <w:rFonts w:ascii="Times New Roman" w:eastAsia="Times New Roman" w:hAnsi="Times New Roman" w:cs="Times New Roman"/>
          <w:sz w:val="28"/>
          <w:szCs w:val="28"/>
          <w:lang w:val="en-US"/>
        </w:rPr>
      </w:pPr>
    </w:p>
    <w:tbl>
      <w:tblPr>
        <w:tblStyle w:val="aff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43"/>
        <w:gridCol w:w="3119"/>
      </w:tblGrid>
      <w:tr w:rsidR="00CE2251" w:rsidRPr="00D53B9C" w14:paraId="741A43B1" w14:textId="77777777" w:rsidTr="00C04E9D">
        <w:trPr>
          <w:trHeight w:val="477"/>
        </w:trPr>
        <w:tc>
          <w:tcPr>
            <w:tcW w:w="1418" w:type="dxa"/>
          </w:tcPr>
          <w:p w14:paraId="177A7118" w14:textId="1EC881D2" w:rsidR="00CE2251" w:rsidRPr="00D53B9C" w:rsidRDefault="00CE2251" w:rsidP="00D53B9C">
            <w:pPr>
              <w:jc w:val="both"/>
              <w:rPr>
                <w:rFonts w:ascii="Times New Roman" w:eastAsia="Times New Roman" w:hAnsi="Times New Roman" w:cs="Times New Roman"/>
                <w:sz w:val="28"/>
                <w:szCs w:val="28"/>
                <w:lang w:val="en-US"/>
              </w:rPr>
            </w:pPr>
            <w:r w:rsidRPr="00D53B9C">
              <w:rPr>
                <w:rFonts w:ascii="Times New Roman" w:hAnsi="Times New Roman" w:cs="Times New Roman"/>
                <w:color w:val="000000"/>
                <w:sz w:val="28"/>
                <w:szCs w:val="28"/>
                <w:lang w:val="en-US"/>
              </w:rPr>
              <w:t>Aspect</w:t>
            </w:r>
          </w:p>
        </w:tc>
        <w:tc>
          <w:tcPr>
            <w:tcW w:w="3543" w:type="dxa"/>
          </w:tcPr>
          <w:p w14:paraId="4F517597" w14:textId="0D2923D1" w:rsidR="00CE2251" w:rsidRPr="00D53B9C" w:rsidRDefault="00CE2251" w:rsidP="00D53B9C">
            <w:pPr>
              <w:jc w:val="both"/>
              <w:rPr>
                <w:rFonts w:ascii="Times New Roman" w:eastAsia="Times New Roman" w:hAnsi="Times New Roman" w:cs="Times New Roman"/>
                <w:sz w:val="28"/>
                <w:szCs w:val="28"/>
                <w:lang w:val="en-US"/>
              </w:rPr>
            </w:pPr>
            <w:r w:rsidRPr="00D53B9C">
              <w:rPr>
                <w:rFonts w:ascii="Times New Roman" w:hAnsi="Times New Roman" w:cs="Times New Roman"/>
                <w:color w:val="000000"/>
                <w:sz w:val="28"/>
                <w:szCs w:val="28"/>
                <w:lang w:val="en-US"/>
              </w:rPr>
              <w:t>Innovation Management</w:t>
            </w:r>
          </w:p>
        </w:tc>
        <w:tc>
          <w:tcPr>
            <w:tcW w:w="3119" w:type="dxa"/>
          </w:tcPr>
          <w:p w14:paraId="031913D3" w14:textId="7E4FCA2F" w:rsidR="00CE2251" w:rsidRPr="00D53B9C" w:rsidRDefault="00CE2251" w:rsidP="00D53B9C">
            <w:pPr>
              <w:jc w:val="both"/>
              <w:rPr>
                <w:rFonts w:ascii="Times New Roman" w:eastAsia="Times New Roman" w:hAnsi="Times New Roman" w:cs="Times New Roman"/>
                <w:sz w:val="28"/>
                <w:szCs w:val="28"/>
                <w:lang w:val="en-US"/>
              </w:rPr>
            </w:pPr>
            <w:r w:rsidRPr="00D53B9C">
              <w:rPr>
                <w:rFonts w:ascii="Times New Roman" w:hAnsi="Times New Roman" w:cs="Times New Roman"/>
                <w:color w:val="000000"/>
                <w:sz w:val="28"/>
                <w:szCs w:val="28"/>
                <w:lang w:val="en-US"/>
              </w:rPr>
              <w:t>Managing Innovation</w:t>
            </w:r>
          </w:p>
        </w:tc>
      </w:tr>
      <w:tr w:rsidR="00CE2251" w:rsidRPr="000E0481" w14:paraId="2860D51A" w14:textId="77777777" w:rsidTr="00C04E9D">
        <w:trPr>
          <w:trHeight w:val="1623"/>
        </w:trPr>
        <w:tc>
          <w:tcPr>
            <w:tcW w:w="1418" w:type="dxa"/>
          </w:tcPr>
          <w:p w14:paraId="2EA3C66E" w14:textId="7989F045" w:rsidR="00CE2251" w:rsidRPr="0074076A" w:rsidRDefault="00CE2251" w:rsidP="00D53B9C">
            <w:pPr>
              <w:jc w:val="both"/>
              <w:rPr>
                <w:rFonts w:ascii="Times New Roman" w:eastAsia="Times New Roman" w:hAnsi="Times New Roman" w:cs="Times New Roman"/>
                <w:sz w:val="28"/>
                <w:szCs w:val="28"/>
                <w:lang w:val="en-US"/>
              </w:rPr>
            </w:pPr>
            <w:r w:rsidRPr="0074076A">
              <w:rPr>
                <w:rFonts w:ascii="Times New Roman" w:eastAsia="Times New Roman" w:hAnsi="Times New Roman" w:cs="Times New Roman"/>
                <w:sz w:val="28"/>
                <w:szCs w:val="28"/>
                <w:lang w:val="en-US"/>
              </w:rPr>
              <w:t>Definition</w:t>
            </w:r>
          </w:p>
        </w:tc>
        <w:tc>
          <w:tcPr>
            <w:tcW w:w="3543" w:type="dxa"/>
          </w:tcPr>
          <w:p w14:paraId="5C002E5E" w14:textId="36FCA0C7" w:rsidR="00CE2251" w:rsidRPr="0074076A" w:rsidRDefault="00CE2251" w:rsidP="00D53B9C">
            <w:pPr>
              <w:jc w:val="both"/>
              <w:rPr>
                <w:rFonts w:ascii="Times New Roman" w:eastAsia="Times New Roman" w:hAnsi="Times New Roman" w:cs="Times New Roman"/>
                <w:sz w:val="28"/>
                <w:szCs w:val="28"/>
                <w:lang w:val="en-US"/>
              </w:rPr>
            </w:pPr>
            <w:r w:rsidRPr="0074076A">
              <w:rPr>
                <w:rFonts w:ascii="Times New Roman" w:hAnsi="Times New Roman" w:cs="Times New Roman"/>
                <w:color w:val="000000"/>
                <w:sz w:val="28"/>
                <w:szCs w:val="28"/>
                <w:lang w:val="en-US"/>
              </w:rPr>
              <w:t>Systematic process of identifying, developing, and implementing new ideas, products, services, or processes.</w:t>
            </w:r>
          </w:p>
        </w:tc>
        <w:tc>
          <w:tcPr>
            <w:tcW w:w="3119" w:type="dxa"/>
          </w:tcPr>
          <w:p w14:paraId="0DFFC623" w14:textId="14B0C6AA" w:rsidR="00CE2251" w:rsidRPr="0074076A" w:rsidRDefault="00CE2251" w:rsidP="00D53B9C">
            <w:pPr>
              <w:jc w:val="both"/>
              <w:rPr>
                <w:rFonts w:ascii="Times New Roman" w:eastAsia="Times New Roman" w:hAnsi="Times New Roman" w:cs="Times New Roman"/>
                <w:sz w:val="28"/>
                <w:szCs w:val="28"/>
                <w:lang w:val="en-US"/>
              </w:rPr>
            </w:pPr>
            <w:r w:rsidRPr="0074076A">
              <w:rPr>
                <w:rFonts w:ascii="Times New Roman" w:hAnsi="Times New Roman" w:cs="Times New Roman"/>
                <w:color w:val="000000"/>
                <w:sz w:val="28"/>
                <w:szCs w:val="28"/>
                <w:lang w:val="en-US"/>
              </w:rPr>
              <w:t>Focuses on the oversight and direction of innovation activities within an organization.</w:t>
            </w:r>
          </w:p>
        </w:tc>
      </w:tr>
      <w:tr w:rsidR="00CE2251" w:rsidRPr="000E0481" w14:paraId="73428B16" w14:textId="77777777" w:rsidTr="00C04E9D">
        <w:tc>
          <w:tcPr>
            <w:tcW w:w="1418" w:type="dxa"/>
          </w:tcPr>
          <w:p w14:paraId="25DC1C9D" w14:textId="7E79D91D" w:rsidR="00CE2251" w:rsidRPr="0074076A" w:rsidRDefault="00CE2251" w:rsidP="00D53B9C">
            <w:pPr>
              <w:jc w:val="both"/>
              <w:rPr>
                <w:rFonts w:ascii="Times New Roman" w:eastAsia="Times New Roman" w:hAnsi="Times New Roman" w:cs="Times New Roman"/>
                <w:i/>
                <w:iCs/>
                <w:sz w:val="28"/>
                <w:szCs w:val="28"/>
                <w:lang w:val="en-US"/>
              </w:rPr>
            </w:pPr>
            <w:r w:rsidRPr="0074076A">
              <w:rPr>
                <w:rFonts w:ascii="Times New Roman" w:eastAsia="Times New Roman" w:hAnsi="Times New Roman" w:cs="Times New Roman"/>
                <w:sz w:val="28"/>
                <w:szCs w:val="28"/>
                <w:lang w:val="en-US"/>
              </w:rPr>
              <w:t>Scope</w:t>
            </w:r>
          </w:p>
        </w:tc>
        <w:tc>
          <w:tcPr>
            <w:tcW w:w="3543" w:type="dxa"/>
          </w:tcPr>
          <w:p w14:paraId="08428888" w14:textId="20A3BB8E" w:rsidR="00CE2251" w:rsidRPr="0074076A" w:rsidRDefault="00CE2251" w:rsidP="00D53B9C">
            <w:pPr>
              <w:jc w:val="both"/>
              <w:rPr>
                <w:rFonts w:ascii="Times New Roman" w:eastAsia="Times New Roman" w:hAnsi="Times New Roman" w:cs="Times New Roman"/>
                <w:sz w:val="28"/>
                <w:szCs w:val="28"/>
                <w:lang w:val="en-US"/>
              </w:rPr>
            </w:pPr>
            <w:r w:rsidRPr="0074076A">
              <w:rPr>
                <w:rFonts w:ascii="Times New Roman" w:hAnsi="Times New Roman" w:cs="Times New Roman"/>
                <w:color w:val="000000"/>
                <w:sz w:val="28"/>
                <w:szCs w:val="28"/>
                <w:lang w:val="en-US"/>
              </w:rPr>
              <w:t>Broad, encompassing the entire innovation lifecycle.</w:t>
            </w:r>
          </w:p>
        </w:tc>
        <w:tc>
          <w:tcPr>
            <w:tcW w:w="3119" w:type="dxa"/>
          </w:tcPr>
          <w:p w14:paraId="7B7C868B" w14:textId="445EE976" w:rsidR="00CE2251" w:rsidRPr="0074076A" w:rsidRDefault="00CE2251" w:rsidP="00D53B9C">
            <w:pPr>
              <w:jc w:val="both"/>
              <w:rPr>
                <w:rFonts w:ascii="Times New Roman" w:eastAsia="Times New Roman" w:hAnsi="Times New Roman" w:cs="Times New Roman"/>
                <w:sz w:val="28"/>
                <w:szCs w:val="28"/>
                <w:lang w:val="en-US"/>
              </w:rPr>
            </w:pPr>
            <w:r w:rsidRPr="0074076A">
              <w:rPr>
                <w:rFonts w:ascii="Times New Roman" w:hAnsi="Times New Roman" w:cs="Times New Roman"/>
                <w:color w:val="000000"/>
                <w:sz w:val="28"/>
                <w:szCs w:val="28"/>
                <w:lang w:val="en-US"/>
              </w:rPr>
              <w:t>Narrow, focusing on operational aspects of innovation projects.</w:t>
            </w:r>
          </w:p>
        </w:tc>
      </w:tr>
      <w:tr w:rsidR="00CE2251" w:rsidRPr="000E0481" w14:paraId="4C07FB41" w14:textId="77777777" w:rsidTr="00C04E9D">
        <w:trPr>
          <w:trHeight w:val="1138"/>
        </w:trPr>
        <w:tc>
          <w:tcPr>
            <w:tcW w:w="1418" w:type="dxa"/>
          </w:tcPr>
          <w:p w14:paraId="5ADED04A" w14:textId="3F5B4596" w:rsidR="00CE2251" w:rsidRPr="0074076A" w:rsidRDefault="00CE2251" w:rsidP="00D53B9C">
            <w:pPr>
              <w:jc w:val="both"/>
              <w:rPr>
                <w:rFonts w:ascii="Times New Roman" w:eastAsia="Times New Roman" w:hAnsi="Times New Roman" w:cs="Times New Roman"/>
                <w:sz w:val="28"/>
                <w:szCs w:val="28"/>
                <w:lang w:val="en-US"/>
              </w:rPr>
            </w:pPr>
            <w:r w:rsidRPr="0074076A">
              <w:rPr>
                <w:rFonts w:ascii="Times New Roman" w:eastAsia="Times New Roman" w:hAnsi="Times New Roman" w:cs="Times New Roman"/>
                <w:sz w:val="28"/>
                <w:szCs w:val="28"/>
                <w:lang w:val="en-US"/>
              </w:rPr>
              <w:t>Focus</w:t>
            </w:r>
          </w:p>
        </w:tc>
        <w:tc>
          <w:tcPr>
            <w:tcW w:w="3543" w:type="dxa"/>
          </w:tcPr>
          <w:p w14:paraId="30E9861E" w14:textId="16E4D450" w:rsidR="00CE2251" w:rsidRPr="0074076A" w:rsidRDefault="00CE2251" w:rsidP="00D53B9C">
            <w:pPr>
              <w:jc w:val="both"/>
              <w:rPr>
                <w:rFonts w:ascii="Times New Roman" w:eastAsia="Times New Roman" w:hAnsi="Times New Roman" w:cs="Times New Roman"/>
                <w:sz w:val="28"/>
                <w:szCs w:val="28"/>
                <w:lang w:val="en-US"/>
              </w:rPr>
            </w:pPr>
            <w:r w:rsidRPr="0074076A">
              <w:rPr>
                <w:rFonts w:ascii="Times New Roman" w:hAnsi="Times New Roman" w:cs="Times New Roman"/>
                <w:color w:val="000000"/>
                <w:sz w:val="28"/>
                <w:szCs w:val="28"/>
                <w:lang w:val="en-US"/>
              </w:rPr>
              <w:t>Strategic, focusing on overall direction and alignment with organizational goals.</w:t>
            </w:r>
          </w:p>
        </w:tc>
        <w:tc>
          <w:tcPr>
            <w:tcW w:w="3119" w:type="dxa"/>
          </w:tcPr>
          <w:p w14:paraId="09CB0192" w14:textId="63B1CC4A" w:rsidR="00CE2251" w:rsidRPr="0074076A" w:rsidRDefault="00CE2251" w:rsidP="00D53B9C">
            <w:pPr>
              <w:jc w:val="both"/>
              <w:rPr>
                <w:rFonts w:ascii="Times New Roman" w:eastAsia="Times New Roman" w:hAnsi="Times New Roman" w:cs="Times New Roman"/>
                <w:sz w:val="28"/>
                <w:szCs w:val="28"/>
                <w:lang w:val="en-US"/>
              </w:rPr>
            </w:pPr>
            <w:r w:rsidRPr="0074076A">
              <w:rPr>
                <w:rFonts w:ascii="Times New Roman" w:hAnsi="Times New Roman" w:cs="Times New Roman"/>
                <w:color w:val="000000"/>
                <w:sz w:val="28"/>
                <w:szCs w:val="28"/>
                <w:lang w:val="en-US"/>
              </w:rPr>
              <w:t>Tactical, focusing on day-to-day oversight of innovation projects.</w:t>
            </w:r>
          </w:p>
        </w:tc>
      </w:tr>
      <w:tr w:rsidR="00CE2251" w:rsidRPr="000E0481" w14:paraId="1529F570" w14:textId="77777777" w:rsidTr="00C04E9D">
        <w:trPr>
          <w:trHeight w:val="1421"/>
        </w:trPr>
        <w:tc>
          <w:tcPr>
            <w:tcW w:w="1418" w:type="dxa"/>
          </w:tcPr>
          <w:p w14:paraId="693ED5CF" w14:textId="7486AD35" w:rsidR="00CE2251" w:rsidRPr="0074076A" w:rsidRDefault="00B775A3" w:rsidP="00D53B9C">
            <w:pPr>
              <w:jc w:val="both"/>
              <w:rPr>
                <w:rFonts w:ascii="Times New Roman" w:eastAsia="Times New Roman" w:hAnsi="Times New Roman" w:cs="Times New Roman"/>
                <w:sz w:val="28"/>
                <w:szCs w:val="28"/>
                <w:lang w:val="en-US"/>
              </w:rPr>
            </w:pPr>
            <w:r w:rsidRPr="0074076A">
              <w:rPr>
                <w:rFonts w:ascii="Times New Roman" w:eastAsia="Times New Roman" w:hAnsi="Times New Roman" w:cs="Times New Roman"/>
                <w:sz w:val="28"/>
                <w:szCs w:val="28"/>
                <w:lang w:val="en-US"/>
              </w:rPr>
              <w:t>Processes</w:t>
            </w:r>
          </w:p>
        </w:tc>
        <w:tc>
          <w:tcPr>
            <w:tcW w:w="3543" w:type="dxa"/>
          </w:tcPr>
          <w:p w14:paraId="2A9D674D" w14:textId="40CC4E91" w:rsidR="00CE2251" w:rsidRPr="0074076A" w:rsidRDefault="00CE2251" w:rsidP="00D53B9C">
            <w:pPr>
              <w:jc w:val="both"/>
              <w:rPr>
                <w:rFonts w:ascii="Times New Roman" w:eastAsia="Times New Roman" w:hAnsi="Times New Roman" w:cs="Times New Roman"/>
                <w:sz w:val="28"/>
                <w:szCs w:val="28"/>
                <w:lang w:val="en-US"/>
              </w:rPr>
            </w:pPr>
            <w:r w:rsidRPr="0074076A">
              <w:rPr>
                <w:rFonts w:ascii="Times New Roman" w:hAnsi="Times New Roman" w:cs="Times New Roman"/>
                <w:color w:val="000000"/>
                <w:sz w:val="28"/>
                <w:szCs w:val="28"/>
                <w:lang w:val="en-US"/>
              </w:rPr>
              <w:t>Includes idea generation, research and development, marketing, and organizational change.</w:t>
            </w:r>
          </w:p>
        </w:tc>
        <w:tc>
          <w:tcPr>
            <w:tcW w:w="3119" w:type="dxa"/>
          </w:tcPr>
          <w:p w14:paraId="7390CD89" w14:textId="78EEE292" w:rsidR="00CE2251" w:rsidRPr="0074076A" w:rsidRDefault="00CE2251" w:rsidP="00D53B9C">
            <w:pPr>
              <w:jc w:val="both"/>
              <w:rPr>
                <w:rFonts w:ascii="Times New Roman" w:eastAsia="Times New Roman" w:hAnsi="Times New Roman" w:cs="Times New Roman"/>
                <w:sz w:val="28"/>
                <w:szCs w:val="28"/>
                <w:lang w:val="en-US"/>
              </w:rPr>
            </w:pPr>
            <w:r w:rsidRPr="0074076A">
              <w:rPr>
                <w:rFonts w:ascii="Times New Roman" w:hAnsi="Times New Roman" w:cs="Times New Roman"/>
                <w:color w:val="000000"/>
                <w:sz w:val="28"/>
                <w:szCs w:val="28"/>
                <w:lang w:val="en-US"/>
              </w:rPr>
              <w:t>Involves project management, resource allocation, and risk assessment.</w:t>
            </w:r>
          </w:p>
        </w:tc>
      </w:tr>
      <w:tr w:rsidR="00CE2251" w:rsidRPr="000E0481" w14:paraId="482E0A5C" w14:textId="77777777" w:rsidTr="00C04E9D">
        <w:trPr>
          <w:trHeight w:val="1412"/>
        </w:trPr>
        <w:tc>
          <w:tcPr>
            <w:tcW w:w="1418" w:type="dxa"/>
          </w:tcPr>
          <w:p w14:paraId="05B97620" w14:textId="061BD53B" w:rsidR="00CE2251" w:rsidRPr="0074076A" w:rsidRDefault="00B775A3" w:rsidP="00D53B9C">
            <w:pPr>
              <w:jc w:val="both"/>
              <w:rPr>
                <w:rFonts w:ascii="Times New Roman" w:eastAsia="Times New Roman" w:hAnsi="Times New Roman" w:cs="Times New Roman"/>
                <w:sz w:val="28"/>
                <w:szCs w:val="28"/>
                <w:lang w:val="en-US"/>
              </w:rPr>
            </w:pPr>
            <w:r w:rsidRPr="0074076A">
              <w:rPr>
                <w:rFonts w:ascii="Times New Roman" w:eastAsia="Times New Roman" w:hAnsi="Times New Roman" w:cs="Times New Roman"/>
                <w:sz w:val="28"/>
                <w:szCs w:val="28"/>
                <w:lang w:val="en-US"/>
              </w:rPr>
              <w:t>Outcomes</w:t>
            </w:r>
          </w:p>
        </w:tc>
        <w:tc>
          <w:tcPr>
            <w:tcW w:w="3543" w:type="dxa"/>
          </w:tcPr>
          <w:p w14:paraId="36F55216" w14:textId="0FE24A1C" w:rsidR="00CE2251" w:rsidRPr="0074076A" w:rsidRDefault="00CE2251" w:rsidP="00D53B9C">
            <w:pPr>
              <w:jc w:val="both"/>
              <w:rPr>
                <w:rFonts w:ascii="Times New Roman" w:eastAsia="Times New Roman" w:hAnsi="Times New Roman" w:cs="Times New Roman"/>
                <w:sz w:val="28"/>
                <w:szCs w:val="28"/>
                <w:lang w:val="en-US"/>
              </w:rPr>
            </w:pPr>
            <w:r w:rsidRPr="0074076A">
              <w:rPr>
                <w:rFonts w:ascii="Times New Roman" w:hAnsi="Times New Roman" w:cs="Times New Roman"/>
                <w:color w:val="000000"/>
                <w:sz w:val="28"/>
                <w:szCs w:val="28"/>
                <w:lang w:val="en-US"/>
              </w:rPr>
              <w:t>Long-term and strategic, such as new products, services, or business models.</w:t>
            </w:r>
          </w:p>
        </w:tc>
        <w:tc>
          <w:tcPr>
            <w:tcW w:w="3119" w:type="dxa"/>
          </w:tcPr>
          <w:p w14:paraId="7C5AF320" w14:textId="7741BAC2" w:rsidR="00CE2251" w:rsidRPr="0074076A" w:rsidRDefault="00CE2251" w:rsidP="00D53B9C">
            <w:pPr>
              <w:jc w:val="both"/>
              <w:rPr>
                <w:rFonts w:ascii="Times New Roman" w:eastAsia="Times New Roman" w:hAnsi="Times New Roman" w:cs="Times New Roman"/>
                <w:sz w:val="28"/>
                <w:szCs w:val="28"/>
                <w:lang w:val="en-US"/>
              </w:rPr>
            </w:pPr>
            <w:r w:rsidRPr="0074076A">
              <w:rPr>
                <w:rFonts w:ascii="Times New Roman" w:hAnsi="Times New Roman" w:cs="Times New Roman"/>
                <w:color w:val="000000"/>
                <w:sz w:val="28"/>
                <w:szCs w:val="28"/>
                <w:lang w:val="en-US"/>
              </w:rPr>
              <w:t>Immediate and operational, such as successful project completion and objective achievement.</w:t>
            </w:r>
          </w:p>
        </w:tc>
      </w:tr>
      <w:tr w:rsidR="00CE2251" w:rsidRPr="000E0481" w14:paraId="559E897C" w14:textId="77777777" w:rsidTr="00C04E9D">
        <w:trPr>
          <w:trHeight w:val="1104"/>
        </w:trPr>
        <w:tc>
          <w:tcPr>
            <w:tcW w:w="1418" w:type="dxa"/>
          </w:tcPr>
          <w:p w14:paraId="29504F74" w14:textId="6CC81FFC" w:rsidR="00CE2251" w:rsidRPr="0074076A" w:rsidRDefault="00B775A3" w:rsidP="00D53B9C">
            <w:pPr>
              <w:jc w:val="both"/>
              <w:rPr>
                <w:rFonts w:ascii="Times New Roman" w:eastAsia="Times New Roman" w:hAnsi="Times New Roman" w:cs="Times New Roman"/>
                <w:sz w:val="28"/>
                <w:szCs w:val="28"/>
                <w:lang w:val="en-US"/>
              </w:rPr>
            </w:pPr>
            <w:proofErr w:type="spellStart"/>
            <w:r w:rsidRPr="0074076A">
              <w:rPr>
                <w:rFonts w:ascii="Times New Roman" w:eastAsia="Times New Roman" w:hAnsi="Times New Roman" w:cs="Times New Roman"/>
                <w:sz w:val="28"/>
                <w:szCs w:val="28"/>
                <w:lang w:val="en-US"/>
              </w:rPr>
              <w:t>Universtiy</w:t>
            </w:r>
            <w:proofErr w:type="spellEnd"/>
            <w:r w:rsidRPr="0074076A">
              <w:rPr>
                <w:rFonts w:ascii="Times New Roman" w:eastAsia="Times New Roman" w:hAnsi="Times New Roman" w:cs="Times New Roman"/>
                <w:sz w:val="28"/>
                <w:szCs w:val="28"/>
                <w:lang w:val="en-US"/>
              </w:rPr>
              <w:t xml:space="preserve"> context</w:t>
            </w:r>
          </w:p>
        </w:tc>
        <w:tc>
          <w:tcPr>
            <w:tcW w:w="3543" w:type="dxa"/>
          </w:tcPr>
          <w:p w14:paraId="0904DB6D" w14:textId="246AB72B" w:rsidR="00CE2251" w:rsidRPr="0074076A" w:rsidRDefault="00CE2251" w:rsidP="00D53B9C">
            <w:pPr>
              <w:jc w:val="both"/>
              <w:rPr>
                <w:rFonts w:ascii="Times New Roman" w:eastAsia="Times New Roman" w:hAnsi="Times New Roman" w:cs="Times New Roman"/>
                <w:sz w:val="28"/>
                <w:szCs w:val="28"/>
                <w:lang w:val="en-US"/>
              </w:rPr>
            </w:pPr>
            <w:r w:rsidRPr="0074076A">
              <w:rPr>
                <w:rFonts w:ascii="Times New Roman" w:hAnsi="Times New Roman" w:cs="Times New Roman"/>
                <w:color w:val="000000"/>
                <w:sz w:val="28"/>
                <w:szCs w:val="28"/>
                <w:lang w:val="en-US"/>
              </w:rPr>
              <w:t>Creation of an environment that supports innovation and entrepreneurship.</w:t>
            </w:r>
          </w:p>
        </w:tc>
        <w:tc>
          <w:tcPr>
            <w:tcW w:w="3119" w:type="dxa"/>
          </w:tcPr>
          <w:p w14:paraId="1A62A69D" w14:textId="2D01AEB6" w:rsidR="00CE2251" w:rsidRPr="0074076A" w:rsidRDefault="00CE2251" w:rsidP="00D53B9C">
            <w:pPr>
              <w:jc w:val="both"/>
              <w:rPr>
                <w:rFonts w:ascii="Times New Roman" w:eastAsia="Times New Roman" w:hAnsi="Times New Roman" w:cs="Times New Roman"/>
                <w:sz w:val="28"/>
                <w:szCs w:val="28"/>
                <w:lang w:val="en-US"/>
              </w:rPr>
            </w:pPr>
            <w:r w:rsidRPr="0074076A">
              <w:rPr>
                <w:rFonts w:ascii="Times New Roman" w:hAnsi="Times New Roman" w:cs="Times New Roman"/>
                <w:color w:val="000000"/>
                <w:sz w:val="28"/>
                <w:szCs w:val="28"/>
                <w:lang w:val="en-US"/>
              </w:rPr>
              <w:t>Oversight and direction of innovation projects to ensure alignment with goals.</w:t>
            </w:r>
          </w:p>
        </w:tc>
      </w:tr>
      <w:tr w:rsidR="00643A03" w:rsidRPr="000E0481" w14:paraId="649EC99A" w14:textId="77777777" w:rsidTr="00C04E9D">
        <w:trPr>
          <w:trHeight w:val="238"/>
        </w:trPr>
        <w:tc>
          <w:tcPr>
            <w:tcW w:w="8080" w:type="dxa"/>
            <w:gridSpan w:val="3"/>
          </w:tcPr>
          <w:p w14:paraId="6709235E" w14:textId="36A743FF" w:rsidR="00110BB7" w:rsidRPr="004013D8" w:rsidRDefault="004013D8" w:rsidP="004013D8">
            <w:pPr>
              <w:rPr>
                <w:rFonts w:ascii="Times New Roman" w:hAnsi="Times New Roman" w:cs="Times New Roman"/>
                <w:color w:val="000000"/>
                <w:sz w:val="24"/>
                <w:szCs w:val="24"/>
                <w:lang w:val="en-US" w:eastAsia="ru-RU"/>
              </w:rPr>
            </w:pPr>
            <w:r w:rsidRPr="004013D8">
              <w:rPr>
                <w:rFonts w:ascii="Times New Roman" w:hAnsi="Times New Roman" w:cs="Times New Roman"/>
                <w:color w:val="000000"/>
                <w:sz w:val="24"/>
                <w:szCs w:val="24"/>
                <w:lang w:val="en-US"/>
              </w:rPr>
              <w:t xml:space="preserve">          </w:t>
            </w:r>
            <w:r w:rsidR="00643A03" w:rsidRPr="004013D8">
              <w:rPr>
                <w:rFonts w:ascii="Times New Roman" w:hAnsi="Times New Roman" w:cs="Times New Roman"/>
                <w:color w:val="000000"/>
                <w:sz w:val="24"/>
                <w:szCs w:val="24"/>
                <w:lang w:val="en-US"/>
              </w:rPr>
              <w:t>Note</w:t>
            </w:r>
            <w:r w:rsidR="00CC645E" w:rsidRPr="004013D8">
              <w:rPr>
                <w:rFonts w:ascii="Times New Roman" w:hAnsi="Times New Roman" w:cs="Times New Roman"/>
                <w:color w:val="000000"/>
                <w:sz w:val="24"/>
                <w:szCs w:val="24"/>
                <w:lang w:val="en-US"/>
              </w:rPr>
              <w:t xml:space="preserve"> </w:t>
            </w:r>
            <w:r w:rsidR="00643A03" w:rsidRPr="004013D8">
              <w:rPr>
                <w:rFonts w:ascii="Times New Roman" w:hAnsi="Times New Roman" w:cs="Times New Roman"/>
                <w:color w:val="000000"/>
                <w:sz w:val="24"/>
                <w:szCs w:val="24"/>
                <w:lang w:val="en-US"/>
              </w:rPr>
              <w:t>- compiled by the author based on sources [14-27]</w:t>
            </w:r>
          </w:p>
        </w:tc>
      </w:tr>
    </w:tbl>
    <w:p w14:paraId="1361A72D" w14:textId="77777777" w:rsidR="003D3E24" w:rsidRPr="00110BB7" w:rsidRDefault="003D3E24" w:rsidP="00D53B9C">
      <w:pPr>
        <w:spacing w:after="0" w:line="240" w:lineRule="auto"/>
        <w:jc w:val="both"/>
        <w:rPr>
          <w:rFonts w:ascii="Times New Roman" w:eastAsia="Times New Roman" w:hAnsi="Times New Roman" w:cs="Times New Roman"/>
          <w:sz w:val="28"/>
          <w:szCs w:val="28"/>
          <w:lang w:val="en-US"/>
        </w:rPr>
      </w:pPr>
    </w:p>
    <w:p w14:paraId="1868E627" w14:textId="77777777" w:rsidR="00BF073E" w:rsidRDefault="00305735" w:rsidP="00760920">
      <w:pPr>
        <w:spacing w:after="0" w:line="240" w:lineRule="auto"/>
        <w:ind w:firstLine="720"/>
        <w:jc w:val="both"/>
        <w:rPr>
          <w:rFonts w:ascii="Times New Roman" w:eastAsia="Times New Roman" w:hAnsi="Times New Roman" w:cs="Times New Roman"/>
          <w:sz w:val="28"/>
          <w:szCs w:val="28"/>
          <w:lang w:val="en-US"/>
        </w:rPr>
      </w:pPr>
      <w:r w:rsidRPr="00D53B9C">
        <w:rPr>
          <w:rFonts w:ascii="Times New Roman" w:eastAsia="Times New Roman" w:hAnsi="Times New Roman" w:cs="Times New Roman"/>
          <w:sz w:val="28"/>
          <w:szCs w:val="28"/>
          <w:lang w:val="en-US"/>
        </w:rPr>
        <w:lastRenderedPageBreak/>
        <w:t>Higher education institutions (HEIs) have become essential drivers of innovation and socioeconomic transformation in a rapidly evolving knowledge-based economy.   The pressure on universities to upgrade their missions and match labor market demands has increased the strategic importance of innovation management.</w:t>
      </w:r>
      <w:r w:rsidR="00B4623F">
        <w:rPr>
          <w:rFonts w:ascii="Times New Roman" w:eastAsia="Times New Roman" w:hAnsi="Times New Roman" w:cs="Times New Roman"/>
          <w:sz w:val="28"/>
          <w:szCs w:val="28"/>
          <w:lang w:val="en-US"/>
        </w:rPr>
        <w:t xml:space="preserve"> </w:t>
      </w:r>
    </w:p>
    <w:p w14:paraId="2F5DBB61" w14:textId="0AE543DB" w:rsidR="00305735" w:rsidRPr="00D53B9C" w:rsidRDefault="00B4623F" w:rsidP="00760920">
      <w:pPr>
        <w:spacing w:after="0" w:line="240" w:lineRule="auto"/>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w:t>
      </w:r>
      <w:r w:rsidR="00305735" w:rsidRPr="00D53B9C">
        <w:rPr>
          <w:rFonts w:ascii="Times New Roman" w:eastAsia="Times New Roman" w:hAnsi="Times New Roman" w:cs="Times New Roman"/>
          <w:sz w:val="28"/>
          <w:szCs w:val="28"/>
          <w:lang w:val="en-US"/>
        </w:rPr>
        <w:t>istorically regarded mainly as institutions for research and education, universities are increasingly anticipated to foster entrepreneurship, propel technological advancement, and improve graduate employability. These evolving expectations are amplified by macroeconomic trends such as digitization, globalization, demographic shifts, and demand for green and sustainable transitions</w:t>
      </w:r>
      <w:r w:rsidR="00760920">
        <w:rPr>
          <w:rFonts w:ascii="Times New Roman" w:eastAsia="Times New Roman" w:hAnsi="Times New Roman" w:cs="Times New Roman"/>
          <w:sz w:val="28"/>
          <w:szCs w:val="28"/>
          <w:lang w:val="en-US"/>
        </w:rPr>
        <w:t xml:space="preserve"> [28-29].</w:t>
      </w:r>
    </w:p>
    <w:p w14:paraId="39EA3AED" w14:textId="7E7E7F10" w:rsidR="00305735" w:rsidRPr="00D53B9C" w:rsidRDefault="00305735" w:rsidP="00760920">
      <w:pPr>
        <w:spacing w:after="0" w:line="240" w:lineRule="auto"/>
        <w:ind w:firstLine="720"/>
        <w:jc w:val="both"/>
        <w:rPr>
          <w:rFonts w:ascii="Times New Roman" w:eastAsia="Times New Roman" w:hAnsi="Times New Roman" w:cs="Times New Roman"/>
          <w:sz w:val="28"/>
          <w:szCs w:val="28"/>
          <w:lang w:val="en-US"/>
        </w:rPr>
      </w:pPr>
      <w:r w:rsidRPr="00D53B9C">
        <w:rPr>
          <w:rFonts w:ascii="Times New Roman" w:eastAsia="Times New Roman" w:hAnsi="Times New Roman" w:cs="Times New Roman"/>
          <w:sz w:val="28"/>
          <w:szCs w:val="28"/>
          <w:lang w:val="en-US"/>
        </w:rPr>
        <w:t>Innovation management in universities encompasses the strategies, structures, and cultures that support continuous improvement in academic programs, research agendas, institutional governance, and external collaboration. How innovation is fostered and managed within HEIs has direct implications for the types of competencies, mindsets, and experiences students acquire. Graduate employability, defined as the capacity to secure initial employment and navigate lifelong career pathways, is increasingly seen as both a product and an indicator of institutional innovation</w:t>
      </w:r>
      <w:r w:rsidR="00760920">
        <w:rPr>
          <w:rFonts w:ascii="Times New Roman" w:eastAsia="Times New Roman" w:hAnsi="Times New Roman" w:cs="Times New Roman"/>
          <w:sz w:val="28"/>
          <w:szCs w:val="28"/>
          <w:lang w:val="en-US"/>
        </w:rPr>
        <w:t xml:space="preserve"> [30-31]. </w:t>
      </w:r>
    </w:p>
    <w:p w14:paraId="3ECB4760" w14:textId="6D6B5F01" w:rsidR="003D3E24" w:rsidRPr="00D53B9C" w:rsidRDefault="00305735" w:rsidP="00760920">
      <w:pPr>
        <w:spacing w:after="0" w:line="240" w:lineRule="auto"/>
        <w:ind w:firstLine="720"/>
        <w:jc w:val="both"/>
        <w:rPr>
          <w:rFonts w:ascii="Times New Roman" w:eastAsia="Times New Roman" w:hAnsi="Times New Roman" w:cs="Times New Roman"/>
          <w:sz w:val="28"/>
          <w:szCs w:val="28"/>
          <w:lang w:val="en-US"/>
        </w:rPr>
      </w:pPr>
      <w:r w:rsidRPr="00D53B9C">
        <w:rPr>
          <w:rFonts w:ascii="Times New Roman" w:eastAsia="Times New Roman" w:hAnsi="Times New Roman" w:cs="Times New Roman"/>
          <w:sz w:val="28"/>
          <w:szCs w:val="28"/>
          <w:lang w:val="en-US"/>
        </w:rPr>
        <w:t>This theoretical exposition draws on contemporary academic literature to demonstrate the interconnectedness between innovation management and graduate employability. Drawing from frameworks such as the Triple Helix model, Mode 2 knowledge production, and the entrepreneurial university, the paper presents a conceptual basis for empirically exploring how institutional innovations shape graduate outcomes.</w:t>
      </w:r>
    </w:p>
    <w:p w14:paraId="1F450C2F" w14:textId="77777777" w:rsidR="00BA51BA" w:rsidRDefault="009C2E08" w:rsidP="00760920">
      <w:pPr>
        <w:spacing w:after="0" w:line="240" w:lineRule="auto"/>
        <w:ind w:firstLine="720"/>
        <w:jc w:val="both"/>
        <w:rPr>
          <w:rFonts w:ascii="Times New Roman" w:eastAsia="Times New Roman" w:hAnsi="Times New Roman" w:cs="Times New Roman"/>
          <w:color w:val="0E101A"/>
          <w:sz w:val="28"/>
          <w:szCs w:val="28"/>
          <w:lang w:val="en-US"/>
        </w:rPr>
      </w:pPr>
      <w:r w:rsidRPr="009C2E08">
        <w:rPr>
          <w:rFonts w:ascii="Times New Roman" w:eastAsia="Times New Roman" w:hAnsi="Times New Roman" w:cs="Times New Roman"/>
          <w:color w:val="0E101A"/>
          <w:sz w:val="28"/>
          <w:szCs w:val="28"/>
          <w:lang w:val="en-US"/>
        </w:rPr>
        <w:t>The main theoretical foundations focus on transitioning from Traditional Universities to Innovation-Driven Ecosystems.</w:t>
      </w:r>
      <w:r>
        <w:rPr>
          <w:rFonts w:ascii="Times New Roman" w:eastAsia="Times New Roman" w:hAnsi="Times New Roman" w:cs="Times New Roman"/>
          <w:color w:val="0E101A"/>
          <w:sz w:val="28"/>
          <w:szCs w:val="28"/>
          <w:lang w:val="en-US"/>
        </w:rPr>
        <w:t xml:space="preserve"> </w:t>
      </w:r>
    </w:p>
    <w:p w14:paraId="5E2101FC" w14:textId="204DCA34" w:rsidR="00ED7522" w:rsidRPr="00ED7522" w:rsidRDefault="00ED7522" w:rsidP="00760920">
      <w:pPr>
        <w:spacing w:after="0" w:line="240" w:lineRule="auto"/>
        <w:ind w:firstLine="720"/>
        <w:jc w:val="both"/>
        <w:rPr>
          <w:rFonts w:ascii="Times New Roman" w:eastAsia="Times New Roman" w:hAnsi="Times New Roman" w:cs="Times New Roman"/>
          <w:color w:val="0E101A"/>
          <w:sz w:val="28"/>
          <w:szCs w:val="28"/>
          <w:lang w:val="en-US"/>
        </w:rPr>
      </w:pPr>
      <w:r w:rsidRPr="00ED7522">
        <w:rPr>
          <w:rFonts w:ascii="Times New Roman" w:eastAsia="Times New Roman" w:hAnsi="Times New Roman" w:cs="Times New Roman"/>
          <w:color w:val="0E101A"/>
          <w:sz w:val="28"/>
          <w:szCs w:val="28"/>
          <w:lang w:val="en-US"/>
        </w:rPr>
        <w:t>The Triple Helix model captures the university's evolution as an innovation.</w:t>
      </w:r>
      <w:r w:rsidR="00526949">
        <w:rPr>
          <w:rFonts w:ascii="Times New Roman" w:eastAsia="Times New Roman" w:hAnsi="Times New Roman" w:cs="Times New Roman"/>
          <w:color w:val="0E101A"/>
          <w:sz w:val="28"/>
          <w:szCs w:val="28"/>
          <w:lang w:val="en-US"/>
        </w:rPr>
        <w:t xml:space="preserve"> </w:t>
      </w:r>
      <w:r w:rsidRPr="00ED7522">
        <w:rPr>
          <w:rFonts w:ascii="Times New Roman" w:eastAsia="Times New Roman" w:hAnsi="Times New Roman" w:cs="Times New Roman"/>
          <w:color w:val="0E101A"/>
          <w:sz w:val="28"/>
          <w:szCs w:val="28"/>
          <w:lang w:val="en-US"/>
        </w:rPr>
        <w:t>These synergetic interactions occur among universities, industry, and government</w:t>
      </w:r>
      <w:r w:rsidR="00760920">
        <w:rPr>
          <w:rFonts w:ascii="Times New Roman" w:eastAsia="Times New Roman" w:hAnsi="Times New Roman" w:cs="Times New Roman"/>
          <w:color w:val="0E101A"/>
          <w:sz w:val="28"/>
          <w:szCs w:val="28"/>
          <w:lang w:val="en-US"/>
        </w:rPr>
        <w:t xml:space="preserve"> [28]. </w:t>
      </w:r>
      <w:r w:rsidRPr="00ED7522">
        <w:rPr>
          <w:rFonts w:ascii="Times New Roman" w:eastAsia="Times New Roman" w:hAnsi="Times New Roman" w:cs="Times New Roman"/>
          <w:color w:val="0E101A"/>
          <w:sz w:val="28"/>
          <w:szCs w:val="28"/>
          <w:lang w:val="en-US"/>
        </w:rPr>
        <w:t xml:space="preserve">This paradigm obscures the conventional distinctions among the three institutional domains, enabling universities to engage in economic development, technology transfer, and collaborative knowledge creation alongside novel governance mechanisms, accountability, and strategic alignment. </w:t>
      </w:r>
    </w:p>
    <w:p w14:paraId="335605B3" w14:textId="6B37D037" w:rsidR="00ED7522" w:rsidRPr="0022239F" w:rsidRDefault="00ED7522" w:rsidP="00760920">
      <w:pPr>
        <w:spacing w:after="0" w:line="240" w:lineRule="auto"/>
        <w:ind w:firstLine="720"/>
        <w:jc w:val="both"/>
        <w:rPr>
          <w:rFonts w:ascii="Times New Roman" w:eastAsia="Times New Roman" w:hAnsi="Times New Roman" w:cs="Times New Roman"/>
          <w:color w:val="0E101A"/>
          <w:sz w:val="28"/>
          <w:szCs w:val="28"/>
          <w:lang w:val="kk-KZ"/>
        </w:rPr>
      </w:pPr>
      <w:r w:rsidRPr="00ED7522">
        <w:rPr>
          <w:rFonts w:ascii="Times New Roman" w:eastAsia="Times New Roman" w:hAnsi="Times New Roman" w:cs="Times New Roman"/>
          <w:color w:val="0E101A"/>
          <w:sz w:val="28"/>
          <w:szCs w:val="28"/>
          <w:lang w:val="en-US"/>
        </w:rPr>
        <w:t>The advent of Mode 2 knowledge creation</w:t>
      </w:r>
      <w:r w:rsidR="00526B08">
        <w:rPr>
          <w:rFonts w:ascii="Times New Roman" w:eastAsia="Times New Roman" w:hAnsi="Times New Roman" w:cs="Times New Roman"/>
          <w:color w:val="0E101A"/>
          <w:sz w:val="28"/>
          <w:szCs w:val="28"/>
          <w:lang w:val="en-US"/>
        </w:rPr>
        <w:t xml:space="preserve"> </w:t>
      </w:r>
      <w:r w:rsidRPr="00ED7522">
        <w:rPr>
          <w:rFonts w:ascii="Times New Roman" w:eastAsia="Times New Roman" w:hAnsi="Times New Roman" w:cs="Times New Roman"/>
          <w:color w:val="0E101A"/>
          <w:sz w:val="28"/>
          <w:szCs w:val="28"/>
          <w:lang w:val="en-US"/>
        </w:rPr>
        <w:t>provides an additional dimension of comprehension</w:t>
      </w:r>
      <w:r w:rsidR="00526B08">
        <w:rPr>
          <w:rFonts w:ascii="Times New Roman" w:eastAsia="Times New Roman" w:hAnsi="Times New Roman" w:cs="Times New Roman"/>
          <w:color w:val="0E101A"/>
          <w:sz w:val="28"/>
          <w:szCs w:val="28"/>
          <w:lang w:val="en-US"/>
        </w:rPr>
        <w:t xml:space="preserve"> [32]</w:t>
      </w:r>
      <w:r w:rsidRPr="00ED7522">
        <w:rPr>
          <w:rFonts w:ascii="Times New Roman" w:eastAsia="Times New Roman" w:hAnsi="Times New Roman" w:cs="Times New Roman"/>
          <w:color w:val="0E101A"/>
          <w:sz w:val="28"/>
          <w:szCs w:val="28"/>
          <w:lang w:val="en-US"/>
        </w:rPr>
        <w:t xml:space="preserve">. In contrast to Mode 1, defined by disciplinary, investigator-led, and academically constrained research, Mode 2 is transdisciplinary, problem-oriented, and socially integrated. Innovation in higher education is, therefore, context-dependent and market-responsive, as universities participate in knowledge creation that is both academically rigorous and socially pertinent. </w:t>
      </w:r>
      <w:r w:rsidR="002E6CAE">
        <w:rPr>
          <w:rFonts w:ascii="Times New Roman" w:eastAsia="Times New Roman" w:hAnsi="Times New Roman" w:cs="Times New Roman"/>
          <w:color w:val="0E101A"/>
          <w:sz w:val="28"/>
          <w:szCs w:val="28"/>
          <w:lang w:val="en-US"/>
        </w:rPr>
        <w:t xml:space="preserve"> </w:t>
      </w:r>
    </w:p>
    <w:p w14:paraId="0625861D" w14:textId="66635B2F" w:rsidR="00ED7522" w:rsidRPr="00ED7522" w:rsidRDefault="00ED7522" w:rsidP="002E6CAE">
      <w:pPr>
        <w:spacing w:after="0" w:line="240" w:lineRule="auto"/>
        <w:ind w:firstLine="720"/>
        <w:jc w:val="both"/>
        <w:rPr>
          <w:rFonts w:ascii="Times New Roman" w:eastAsia="Times New Roman" w:hAnsi="Times New Roman" w:cs="Times New Roman"/>
          <w:color w:val="0E101A"/>
          <w:sz w:val="28"/>
          <w:szCs w:val="28"/>
          <w:lang w:val="en-US"/>
        </w:rPr>
      </w:pPr>
      <w:r w:rsidRPr="00ED7522">
        <w:rPr>
          <w:rFonts w:ascii="Times New Roman" w:eastAsia="Times New Roman" w:hAnsi="Times New Roman" w:cs="Times New Roman"/>
          <w:color w:val="0E101A"/>
          <w:sz w:val="28"/>
          <w:szCs w:val="28"/>
          <w:lang w:val="en-US"/>
        </w:rPr>
        <w:t xml:space="preserve">These theoretical models underpin the evolution of the entrepreneurial university, a concept advanced </w:t>
      </w:r>
      <w:r w:rsidRPr="0022239F">
        <w:rPr>
          <w:rFonts w:ascii="Times New Roman" w:eastAsia="Times New Roman" w:hAnsi="Times New Roman" w:cs="Times New Roman"/>
          <w:color w:val="0E101A"/>
          <w:sz w:val="28"/>
          <w:szCs w:val="28"/>
          <w:lang w:val="en-US"/>
        </w:rPr>
        <w:t>by Clark</w:t>
      </w:r>
      <w:r w:rsidR="00526B08">
        <w:rPr>
          <w:rFonts w:ascii="Times New Roman" w:eastAsia="Times New Roman" w:hAnsi="Times New Roman" w:cs="Times New Roman"/>
          <w:color w:val="0E101A"/>
          <w:sz w:val="28"/>
          <w:szCs w:val="28"/>
          <w:lang w:val="en-US"/>
        </w:rPr>
        <w:t xml:space="preserve"> </w:t>
      </w:r>
      <w:r w:rsidRPr="00ED7522">
        <w:rPr>
          <w:rFonts w:ascii="Times New Roman" w:eastAsia="Times New Roman" w:hAnsi="Times New Roman" w:cs="Times New Roman"/>
          <w:color w:val="0E101A"/>
          <w:sz w:val="28"/>
          <w:szCs w:val="28"/>
          <w:lang w:val="en-US"/>
        </w:rPr>
        <w:t xml:space="preserve">and elaborated through empirical studies </w:t>
      </w:r>
      <w:r w:rsidRPr="0022239F">
        <w:rPr>
          <w:rFonts w:ascii="Times New Roman" w:eastAsia="Times New Roman" w:hAnsi="Times New Roman" w:cs="Times New Roman"/>
          <w:color w:val="0E101A"/>
          <w:sz w:val="28"/>
          <w:szCs w:val="28"/>
          <w:lang w:val="en-US"/>
        </w:rPr>
        <w:t>by Yokoyama</w:t>
      </w:r>
      <w:r w:rsidR="0022239F">
        <w:rPr>
          <w:rFonts w:ascii="Times New Roman" w:eastAsia="Times New Roman" w:hAnsi="Times New Roman" w:cs="Times New Roman"/>
          <w:color w:val="0E101A"/>
          <w:sz w:val="28"/>
          <w:szCs w:val="28"/>
          <w:lang w:val="en-US"/>
        </w:rPr>
        <w:t xml:space="preserve"> [</w:t>
      </w:r>
      <w:r w:rsidR="00526B08">
        <w:rPr>
          <w:rFonts w:ascii="Times New Roman" w:eastAsia="Times New Roman" w:hAnsi="Times New Roman" w:cs="Times New Roman"/>
          <w:color w:val="0E101A"/>
          <w:sz w:val="28"/>
          <w:szCs w:val="28"/>
          <w:lang w:val="en-US"/>
        </w:rPr>
        <w:t>33-</w:t>
      </w:r>
      <w:r w:rsidR="0022239F">
        <w:rPr>
          <w:rFonts w:ascii="Times New Roman" w:eastAsia="Times New Roman" w:hAnsi="Times New Roman" w:cs="Times New Roman"/>
          <w:color w:val="0E101A"/>
          <w:sz w:val="28"/>
          <w:szCs w:val="28"/>
          <w:lang w:val="en-US"/>
        </w:rPr>
        <w:t>34]</w:t>
      </w:r>
      <w:r w:rsidRPr="0022239F">
        <w:rPr>
          <w:rFonts w:ascii="Times New Roman" w:eastAsia="Times New Roman" w:hAnsi="Times New Roman" w:cs="Times New Roman"/>
          <w:color w:val="0E101A"/>
          <w:sz w:val="28"/>
          <w:szCs w:val="28"/>
          <w:lang w:val="en-US"/>
        </w:rPr>
        <w:t>. Entrepreneurial</w:t>
      </w:r>
      <w:r w:rsidRPr="00ED7522">
        <w:rPr>
          <w:rFonts w:ascii="Times New Roman" w:eastAsia="Times New Roman" w:hAnsi="Times New Roman" w:cs="Times New Roman"/>
          <w:color w:val="0E101A"/>
          <w:sz w:val="28"/>
          <w:szCs w:val="28"/>
          <w:lang w:val="en-US"/>
        </w:rPr>
        <w:t xml:space="preserve"> universities are defined by strong leadership, institutional autonomy, diversified funding, industry engagement, and a culture incentivizing creativity and risk-taking. Innovation is institutionalized and linked </w:t>
      </w:r>
      <w:r w:rsidRPr="00ED7522">
        <w:rPr>
          <w:rFonts w:ascii="Times New Roman" w:eastAsia="Times New Roman" w:hAnsi="Times New Roman" w:cs="Times New Roman"/>
          <w:color w:val="0E101A"/>
          <w:sz w:val="28"/>
          <w:szCs w:val="28"/>
          <w:lang w:val="en-US"/>
        </w:rPr>
        <w:lastRenderedPageBreak/>
        <w:t>directly to outcomes such as graduate entrepreneurship, employability, and lifelong learning in such institutions.</w:t>
      </w:r>
    </w:p>
    <w:p w14:paraId="6896B118" w14:textId="77777777" w:rsidR="00ED7522" w:rsidRPr="00ED7522" w:rsidRDefault="00ED7522" w:rsidP="00F8343B">
      <w:pPr>
        <w:spacing w:after="0" w:line="240" w:lineRule="auto"/>
        <w:ind w:firstLine="720"/>
        <w:jc w:val="both"/>
        <w:rPr>
          <w:rFonts w:ascii="Times New Roman" w:eastAsia="Times New Roman" w:hAnsi="Times New Roman" w:cs="Times New Roman"/>
          <w:i/>
          <w:iCs/>
          <w:color w:val="0E101A"/>
          <w:sz w:val="28"/>
          <w:szCs w:val="28"/>
          <w:lang w:val="en-US"/>
        </w:rPr>
      </w:pPr>
      <w:r w:rsidRPr="00ED7522">
        <w:rPr>
          <w:rFonts w:ascii="Times New Roman" w:eastAsia="Times New Roman" w:hAnsi="Times New Roman" w:cs="Times New Roman"/>
          <w:i/>
          <w:iCs/>
          <w:color w:val="0E101A"/>
          <w:sz w:val="28"/>
          <w:szCs w:val="28"/>
          <w:lang w:val="en-US"/>
        </w:rPr>
        <w:t>Innovation Management Structures and Organizational Capacity</w:t>
      </w:r>
    </w:p>
    <w:p w14:paraId="7814C626" w14:textId="74DFDB6C" w:rsidR="00ED7522" w:rsidRPr="00ED7522" w:rsidRDefault="00ED7522" w:rsidP="00D53B9C">
      <w:pPr>
        <w:spacing w:after="0" w:line="240" w:lineRule="auto"/>
        <w:jc w:val="both"/>
        <w:rPr>
          <w:rFonts w:ascii="Times New Roman" w:eastAsia="Times New Roman" w:hAnsi="Times New Roman" w:cs="Times New Roman"/>
          <w:color w:val="0E101A"/>
          <w:sz w:val="28"/>
          <w:szCs w:val="28"/>
          <w:lang w:val="en-US"/>
        </w:rPr>
      </w:pPr>
      <w:r w:rsidRPr="00ED7522">
        <w:rPr>
          <w:rFonts w:ascii="Times New Roman" w:eastAsia="Times New Roman" w:hAnsi="Times New Roman" w:cs="Times New Roman"/>
          <w:color w:val="0E101A"/>
          <w:sz w:val="28"/>
          <w:szCs w:val="28"/>
          <w:lang w:val="en-US"/>
        </w:rPr>
        <w:t xml:space="preserve">Innovation management in universities involves the intentional creation and execution of frameworks and procedures that foster creativity, experimentation, and interdisciplinary collaboration. These structures are integrated into strategic planning, institutional governance, faculty development, and student services. </w:t>
      </w:r>
      <w:r w:rsidRPr="000F4805">
        <w:rPr>
          <w:rFonts w:ascii="Times New Roman" w:eastAsia="Times New Roman" w:hAnsi="Times New Roman" w:cs="Times New Roman"/>
          <w:color w:val="0E101A"/>
          <w:sz w:val="28"/>
          <w:szCs w:val="28"/>
          <w:lang w:val="en-US"/>
        </w:rPr>
        <w:t>Durst et al.</w:t>
      </w:r>
      <w:r w:rsidR="000F4805">
        <w:rPr>
          <w:rFonts w:ascii="Times New Roman" w:eastAsia="Times New Roman" w:hAnsi="Times New Roman" w:cs="Times New Roman"/>
          <w:color w:val="0E101A"/>
          <w:sz w:val="28"/>
          <w:szCs w:val="28"/>
          <w:lang w:val="en-US"/>
        </w:rPr>
        <w:t xml:space="preserve"> </w:t>
      </w:r>
      <w:r w:rsidRPr="00ED7522">
        <w:rPr>
          <w:rFonts w:ascii="Times New Roman" w:eastAsia="Times New Roman" w:hAnsi="Times New Roman" w:cs="Times New Roman"/>
          <w:color w:val="0E101A"/>
          <w:sz w:val="28"/>
          <w:szCs w:val="28"/>
          <w:lang w:val="en-US"/>
        </w:rPr>
        <w:t>assert that knowledge management systems, such as digital repositories, internal communication platforms, and performance dashboards, are essential instruments that promote institutional learning and innovation</w:t>
      </w:r>
      <w:r w:rsidR="000F4805">
        <w:rPr>
          <w:rFonts w:ascii="Times New Roman" w:eastAsia="Times New Roman" w:hAnsi="Times New Roman" w:cs="Times New Roman"/>
          <w:color w:val="0E101A"/>
          <w:sz w:val="28"/>
          <w:szCs w:val="28"/>
          <w:lang w:val="en-US"/>
        </w:rPr>
        <w:t xml:space="preserve"> [35]</w:t>
      </w:r>
      <w:r w:rsidRPr="00ED7522">
        <w:rPr>
          <w:rFonts w:ascii="Times New Roman" w:eastAsia="Times New Roman" w:hAnsi="Times New Roman" w:cs="Times New Roman"/>
          <w:color w:val="0E101A"/>
          <w:sz w:val="28"/>
          <w:szCs w:val="28"/>
          <w:lang w:val="en-US"/>
        </w:rPr>
        <w:t>.</w:t>
      </w:r>
    </w:p>
    <w:p w14:paraId="5002973D" w14:textId="00843D63" w:rsidR="00ED7522" w:rsidRPr="00ED7522" w:rsidRDefault="00ED7522" w:rsidP="00F8343B">
      <w:pPr>
        <w:spacing w:after="0" w:line="240" w:lineRule="auto"/>
        <w:ind w:firstLine="720"/>
        <w:jc w:val="both"/>
        <w:rPr>
          <w:rFonts w:ascii="Times New Roman" w:eastAsia="Times New Roman" w:hAnsi="Times New Roman" w:cs="Times New Roman"/>
          <w:color w:val="0E101A"/>
          <w:sz w:val="28"/>
          <w:szCs w:val="28"/>
          <w:lang w:val="en-US"/>
        </w:rPr>
      </w:pPr>
      <w:r w:rsidRPr="00ED7522">
        <w:rPr>
          <w:rFonts w:ascii="Times New Roman" w:eastAsia="Times New Roman" w:hAnsi="Times New Roman" w:cs="Times New Roman"/>
          <w:color w:val="0E101A"/>
          <w:sz w:val="28"/>
          <w:szCs w:val="28"/>
          <w:lang w:val="en-US"/>
        </w:rPr>
        <w:t xml:space="preserve">The capacity for innovation within HEIs depends on leadership commitment, organizational culture, and the availability of enabling resources. Entrepreneurial universities often establish dedicated innovation offices, </w:t>
      </w:r>
      <w:proofErr w:type="spellStart"/>
      <w:r w:rsidRPr="00ED7522">
        <w:rPr>
          <w:rFonts w:ascii="Times New Roman" w:eastAsia="Times New Roman" w:hAnsi="Times New Roman" w:cs="Times New Roman"/>
          <w:color w:val="0E101A"/>
          <w:sz w:val="28"/>
          <w:szCs w:val="28"/>
          <w:lang w:val="en-US"/>
        </w:rPr>
        <w:t>centres</w:t>
      </w:r>
      <w:proofErr w:type="spellEnd"/>
      <w:r w:rsidRPr="00ED7522">
        <w:rPr>
          <w:rFonts w:ascii="Times New Roman" w:eastAsia="Times New Roman" w:hAnsi="Times New Roman" w:cs="Times New Roman"/>
          <w:color w:val="0E101A"/>
          <w:sz w:val="28"/>
          <w:szCs w:val="28"/>
          <w:lang w:val="en-US"/>
        </w:rPr>
        <w:t xml:space="preserve"> for teaching and learning, and technology transfer units. These institutional mechanisms enable the identification of opportunities, the development of pilot programs, and the scaling of successful innovations across faculties. Such infrastructure supports the cross-pollination of ideas and ensures alignment between academic goals and employability-focused outcomes</w:t>
      </w:r>
      <w:r w:rsidR="000F4805">
        <w:rPr>
          <w:rFonts w:ascii="Times New Roman" w:eastAsia="Times New Roman" w:hAnsi="Times New Roman" w:cs="Times New Roman"/>
          <w:color w:val="0E101A"/>
          <w:sz w:val="28"/>
          <w:szCs w:val="28"/>
          <w:lang w:val="en-US"/>
        </w:rPr>
        <w:t xml:space="preserve"> [29]</w:t>
      </w:r>
      <w:r w:rsidRPr="000F4805">
        <w:rPr>
          <w:rFonts w:ascii="Times New Roman" w:eastAsia="Times New Roman" w:hAnsi="Times New Roman" w:cs="Times New Roman"/>
          <w:color w:val="0E101A"/>
          <w:sz w:val="28"/>
          <w:szCs w:val="28"/>
          <w:lang w:val="en-US"/>
        </w:rPr>
        <w:t>.</w:t>
      </w:r>
    </w:p>
    <w:p w14:paraId="0E70EDAF" w14:textId="6B25CF15" w:rsidR="00ED7522" w:rsidRPr="00ED7522" w:rsidRDefault="00ED7522" w:rsidP="00F8343B">
      <w:pPr>
        <w:spacing w:after="0" w:line="240" w:lineRule="auto"/>
        <w:ind w:firstLine="720"/>
        <w:jc w:val="both"/>
        <w:rPr>
          <w:rFonts w:ascii="Times New Roman" w:eastAsia="Times New Roman" w:hAnsi="Times New Roman" w:cs="Times New Roman"/>
          <w:color w:val="0E101A"/>
          <w:sz w:val="28"/>
          <w:szCs w:val="28"/>
          <w:lang w:val="en-US"/>
        </w:rPr>
      </w:pPr>
      <w:r w:rsidRPr="00ED7522">
        <w:rPr>
          <w:rFonts w:ascii="Times New Roman" w:eastAsia="Times New Roman" w:hAnsi="Times New Roman" w:cs="Times New Roman"/>
          <w:color w:val="0E101A"/>
          <w:sz w:val="28"/>
          <w:szCs w:val="28"/>
          <w:lang w:val="en-US"/>
        </w:rPr>
        <w:t>Universities also rely on external partnerships with industry, government agencies, and civil society organizations to expand their innovation ecosystems. Strategic collaborations facilitate access to money, practical problems, mentorship networks, and student employment opportunities. The efficacy of these collaborations depends on mutual objectives, trust, and the joint generation of value</w:t>
      </w:r>
      <w:r w:rsidR="000F4805">
        <w:rPr>
          <w:rFonts w:ascii="Times New Roman" w:eastAsia="Times New Roman" w:hAnsi="Times New Roman" w:cs="Times New Roman"/>
          <w:color w:val="0E101A"/>
          <w:sz w:val="28"/>
          <w:szCs w:val="28"/>
          <w:lang w:val="en-US"/>
        </w:rPr>
        <w:t xml:space="preserve"> [36].</w:t>
      </w:r>
      <w:r w:rsidRPr="00ED7522">
        <w:rPr>
          <w:rFonts w:ascii="Times New Roman" w:eastAsia="Times New Roman" w:hAnsi="Times New Roman" w:cs="Times New Roman"/>
          <w:color w:val="0E101A"/>
          <w:sz w:val="28"/>
          <w:szCs w:val="28"/>
          <w:lang w:val="en-US"/>
        </w:rPr>
        <w:t xml:space="preserve"> Consequently, innovation management extends beyond internal change and is fundamentally relational and externally oriented.</w:t>
      </w:r>
    </w:p>
    <w:p w14:paraId="4EA4C208" w14:textId="77777777" w:rsidR="00ED7522" w:rsidRPr="00ED7522" w:rsidRDefault="00ED7522" w:rsidP="000F4805">
      <w:pPr>
        <w:spacing w:after="0" w:line="240" w:lineRule="auto"/>
        <w:ind w:firstLine="720"/>
        <w:jc w:val="both"/>
        <w:rPr>
          <w:rFonts w:ascii="Times New Roman" w:eastAsia="Times New Roman" w:hAnsi="Times New Roman" w:cs="Times New Roman"/>
          <w:i/>
          <w:iCs/>
          <w:color w:val="0E101A"/>
          <w:sz w:val="28"/>
          <w:szCs w:val="28"/>
          <w:lang w:val="en-US"/>
        </w:rPr>
      </w:pPr>
      <w:r w:rsidRPr="00ED7522">
        <w:rPr>
          <w:rFonts w:ascii="Times New Roman" w:eastAsia="Times New Roman" w:hAnsi="Times New Roman" w:cs="Times New Roman"/>
          <w:i/>
          <w:iCs/>
          <w:color w:val="0E101A"/>
          <w:sz w:val="28"/>
          <w:szCs w:val="28"/>
          <w:lang w:val="en-US"/>
        </w:rPr>
        <w:t>Pedagogical Innovation, Digital Transformation, and Skills Development</w:t>
      </w:r>
    </w:p>
    <w:p w14:paraId="21B4876C" w14:textId="1E89B4A6" w:rsidR="00ED7522" w:rsidRPr="00ED7522" w:rsidRDefault="00ED7522" w:rsidP="000F4805">
      <w:pPr>
        <w:spacing w:after="0" w:line="240" w:lineRule="auto"/>
        <w:ind w:firstLine="720"/>
        <w:jc w:val="both"/>
        <w:rPr>
          <w:rFonts w:ascii="Times New Roman" w:eastAsia="Times New Roman" w:hAnsi="Times New Roman" w:cs="Times New Roman"/>
          <w:color w:val="0E101A"/>
          <w:sz w:val="28"/>
          <w:szCs w:val="28"/>
          <w:lang w:val="en-US"/>
        </w:rPr>
      </w:pPr>
      <w:r w:rsidRPr="00ED7522">
        <w:rPr>
          <w:rFonts w:ascii="Times New Roman" w:eastAsia="Times New Roman" w:hAnsi="Times New Roman" w:cs="Times New Roman"/>
          <w:color w:val="0E101A"/>
          <w:sz w:val="28"/>
          <w:szCs w:val="28"/>
          <w:lang w:val="en-US"/>
        </w:rPr>
        <w:t xml:space="preserve">Innovation directly impacts employability through educational reform. Conventional instructional methods are progressively supplanting active learning techniques, including problem-based learning (PBL), design thinking, flipped classrooms, and experiential education. These methodologies transition the educational framework from content dissemination to developing skills and mindsets </w:t>
      </w:r>
      <w:r w:rsidR="001D0158">
        <w:rPr>
          <w:rFonts w:ascii="Times New Roman" w:eastAsia="Times New Roman" w:hAnsi="Times New Roman" w:cs="Times New Roman"/>
          <w:color w:val="0E101A"/>
          <w:sz w:val="28"/>
          <w:szCs w:val="28"/>
          <w:lang w:val="en-US"/>
        </w:rPr>
        <w:t xml:space="preserve">[37]. </w:t>
      </w:r>
    </w:p>
    <w:p w14:paraId="25BBFDE6" w14:textId="7BC973F1" w:rsidR="00ED7522" w:rsidRPr="00ED7522" w:rsidRDefault="00ED7522" w:rsidP="000F4805">
      <w:pPr>
        <w:spacing w:after="0" w:line="240" w:lineRule="auto"/>
        <w:ind w:firstLine="720"/>
        <w:jc w:val="both"/>
        <w:rPr>
          <w:rFonts w:ascii="Times New Roman" w:eastAsia="Times New Roman" w:hAnsi="Times New Roman" w:cs="Times New Roman"/>
          <w:color w:val="0E101A"/>
          <w:sz w:val="28"/>
          <w:szCs w:val="28"/>
          <w:lang w:val="en-US"/>
        </w:rPr>
      </w:pPr>
      <w:r w:rsidRPr="00ED7522">
        <w:rPr>
          <w:rFonts w:ascii="Times New Roman" w:eastAsia="Times New Roman" w:hAnsi="Times New Roman" w:cs="Times New Roman"/>
          <w:color w:val="0E101A"/>
          <w:sz w:val="28"/>
          <w:szCs w:val="28"/>
          <w:lang w:val="en-US"/>
        </w:rPr>
        <w:t>Digital technology further enhances this change. Adaptive learning systems, AI-driven tutoring platforms, and immersive simulations facilitate customized and adaptable educational experiences.</w:t>
      </w:r>
      <w:r w:rsidR="001D0158">
        <w:rPr>
          <w:rFonts w:ascii="Times New Roman" w:eastAsia="Times New Roman" w:hAnsi="Times New Roman" w:cs="Times New Roman"/>
          <w:color w:val="0E101A"/>
          <w:sz w:val="28"/>
          <w:szCs w:val="28"/>
          <w:lang w:val="en-US"/>
        </w:rPr>
        <w:t xml:space="preserve"> </w:t>
      </w:r>
      <w:r w:rsidR="006B7D3B" w:rsidRPr="001D0158">
        <w:rPr>
          <w:rFonts w:ascii="Times New Roman" w:eastAsia="Times New Roman" w:hAnsi="Times New Roman" w:cs="Times New Roman"/>
          <w:color w:val="0E101A"/>
          <w:sz w:val="28"/>
          <w:szCs w:val="28"/>
          <w:lang w:val="en-US"/>
        </w:rPr>
        <w:t>Miao</w:t>
      </w:r>
      <w:r w:rsidR="001D0158">
        <w:rPr>
          <w:rFonts w:ascii="Times New Roman" w:eastAsia="Times New Roman" w:hAnsi="Times New Roman" w:cs="Times New Roman"/>
          <w:color w:val="0E101A"/>
          <w:sz w:val="28"/>
          <w:szCs w:val="28"/>
          <w:lang w:val="en-US"/>
        </w:rPr>
        <w:t xml:space="preserve"> </w:t>
      </w:r>
      <w:r w:rsidRPr="00ED7522">
        <w:rPr>
          <w:rFonts w:ascii="Times New Roman" w:eastAsia="Times New Roman" w:hAnsi="Times New Roman" w:cs="Times New Roman"/>
          <w:color w:val="0E101A"/>
          <w:sz w:val="28"/>
          <w:szCs w:val="28"/>
          <w:lang w:val="en-US"/>
        </w:rPr>
        <w:t>assert that these digital breakthroughs augment students' self-directed learning, critical thinking, and innovative abilities</w:t>
      </w:r>
      <w:r w:rsidR="00B4623F">
        <w:rPr>
          <w:rFonts w:ascii="Times New Roman" w:eastAsia="Times New Roman" w:hAnsi="Times New Roman" w:cs="Times New Roman"/>
          <w:color w:val="0E101A"/>
          <w:sz w:val="28"/>
          <w:szCs w:val="28"/>
          <w:lang w:val="en-US"/>
        </w:rPr>
        <w:t xml:space="preserve"> - </w:t>
      </w:r>
      <w:r w:rsidRPr="00ED7522">
        <w:rPr>
          <w:rFonts w:ascii="Times New Roman" w:eastAsia="Times New Roman" w:hAnsi="Times New Roman" w:cs="Times New Roman"/>
          <w:color w:val="0E101A"/>
          <w:sz w:val="28"/>
          <w:szCs w:val="28"/>
          <w:lang w:val="en-US"/>
        </w:rPr>
        <w:t>competencies that are highly esteemed in modern job markets</w:t>
      </w:r>
      <w:r w:rsidR="001D0158">
        <w:rPr>
          <w:rFonts w:ascii="Times New Roman" w:eastAsia="Times New Roman" w:hAnsi="Times New Roman" w:cs="Times New Roman"/>
          <w:color w:val="0E101A"/>
          <w:sz w:val="28"/>
          <w:szCs w:val="28"/>
          <w:lang w:val="en-US"/>
        </w:rPr>
        <w:t xml:space="preserve"> [38]</w:t>
      </w:r>
      <w:r w:rsidRPr="00ED7522">
        <w:rPr>
          <w:rFonts w:ascii="Times New Roman" w:eastAsia="Times New Roman" w:hAnsi="Times New Roman" w:cs="Times New Roman"/>
          <w:color w:val="0E101A"/>
          <w:sz w:val="28"/>
          <w:szCs w:val="28"/>
          <w:lang w:val="en-US"/>
        </w:rPr>
        <w:t>. These tools facilitate real-time feedback, iterative evaluation, and scalable mentorship opportunities.</w:t>
      </w:r>
    </w:p>
    <w:p w14:paraId="380814DB" w14:textId="77777777" w:rsidR="00ED7522" w:rsidRPr="00ED7522" w:rsidRDefault="00ED7522" w:rsidP="001D0158">
      <w:pPr>
        <w:spacing w:after="0" w:line="240" w:lineRule="auto"/>
        <w:ind w:firstLine="720"/>
        <w:jc w:val="both"/>
        <w:rPr>
          <w:rFonts w:ascii="Times New Roman" w:eastAsia="Times New Roman" w:hAnsi="Times New Roman" w:cs="Times New Roman"/>
          <w:color w:val="0E101A"/>
          <w:sz w:val="28"/>
          <w:szCs w:val="28"/>
          <w:lang w:val="en-US"/>
        </w:rPr>
      </w:pPr>
      <w:r w:rsidRPr="00ED7522">
        <w:rPr>
          <w:rFonts w:ascii="Times New Roman" w:eastAsia="Times New Roman" w:hAnsi="Times New Roman" w:cs="Times New Roman"/>
          <w:color w:val="0E101A"/>
          <w:sz w:val="28"/>
          <w:szCs w:val="28"/>
          <w:lang w:val="en-US"/>
        </w:rPr>
        <w:t>Moreover, HEIs are integrating digital and data literacy across curricula. The ability to interpret data, navigate digital environments, and engage ethically with information has become fundamental for graduate success. Innovation management in this context involves faculty training, infrastructure investment, and continuous evaluation of teaching effectiveness.</w:t>
      </w:r>
    </w:p>
    <w:p w14:paraId="2914E728" w14:textId="77777777" w:rsidR="00ED7522" w:rsidRPr="00ED7522" w:rsidRDefault="00ED7522" w:rsidP="001D0158">
      <w:pPr>
        <w:spacing w:after="0" w:line="240" w:lineRule="auto"/>
        <w:ind w:firstLine="720"/>
        <w:jc w:val="both"/>
        <w:rPr>
          <w:rFonts w:ascii="Times New Roman" w:eastAsia="Times New Roman" w:hAnsi="Times New Roman" w:cs="Times New Roman"/>
          <w:color w:val="0E101A"/>
          <w:sz w:val="28"/>
          <w:szCs w:val="28"/>
          <w:lang w:val="en-US"/>
        </w:rPr>
      </w:pPr>
      <w:r w:rsidRPr="00ED7522">
        <w:rPr>
          <w:rFonts w:ascii="Times New Roman" w:eastAsia="Times New Roman" w:hAnsi="Times New Roman" w:cs="Times New Roman"/>
          <w:color w:val="0E101A"/>
          <w:sz w:val="28"/>
          <w:szCs w:val="28"/>
          <w:lang w:val="en-US"/>
        </w:rPr>
        <w:lastRenderedPageBreak/>
        <w:t>HEIs that embrace pedagogical and digital innovation are more likely to produce adaptable, reflective graduates prepared to contribute meaningfully to complex, technology-rich work environments. These attributes, in turn, translate into higher levels of graduate employability and long-term career success.</w:t>
      </w:r>
    </w:p>
    <w:p w14:paraId="21F4BBF4" w14:textId="77777777" w:rsidR="00ED7522" w:rsidRPr="00ED7522" w:rsidRDefault="00ED7522" w:rsidP="00714DE7">
      <w:pPr>
        <w:spacing w:after="0" w:line="240" w:lineRule="auto"/>
        <w:ind w:firstLine="720"/>
        <w:jc w:val="both"/>
        <w:rPr>
          <w:rFonts w:ascii="Times New Roman" w:eastAsia="Times New Roman" w:hAnsi="Times New Roman" w:cs="Times New Roman"/>
          <w:i/>
          <w:iCs/>
          <w:color w:val="0E101A"/>
          <w:sz w:val="28"/>
          <w:szCs w:val="28"/>
          <w:lang w:val="en-US"/>
        </w:rPr>
      </w:pPr>
      <w:r w:rsidRPr="00ED7522">
        <w:rPr>
          <w:rFonts w:ascii="Times New Roman" w:eastAsia="Times New Roman" w:hAnsi="Times New Roman" w:cs="Times New Roman"/>
          <w:i/>
          <w:iCs/>
          <w:color w:val="0E101A"/>
          <w:sz w:val="28"/>
          <w:szCs w:val="28"/>
          <w:lang w:val="en-US"/>
        </w:rPr>
        <w:t>Human Capital Development, Social Adaptability, and Innovation Literacy</w:t>
      </w:r>
    </w:p>
    <w:p w14:paraId="44DB51FD" w14:textId="364038B9" w:rsidR="00ED7522" w:rsidRPr="00ED7522" w:rsidRDefault="00ED7522" w:rsidP="00714DE7">
      <w:pPr>
        <w:spacing w:after="0" w:line="240" w:lineRule="auto"/>
        <w:ind w:firstLine="720"/>
        <w:jc w:val="both"/>
        <w:rPr>
          <w:rFonts w:ascii="Times New Roman" w:eastAsia="Times New Roman" w:hAnsi="Times New Roman" w:cs="Times New Roman"/>
          <w:color w:val="0E101A"/>
          <w:sz w:val="28"/>
          <w:szCs w:val="28"/>
          <w:lang w:val="en-US"/>
        </w:rPr>
      </w:pPr>
      <w:r w:rsidRPr="00ED7522">
        <w:rPr>
          <w:rFonts w:ascii="Times New Roman" w:eastAsia="Times New Roman" w:hAnsi="Times New Roman" w:cs="Times New Roman"/>
          <w:color w:val="0E101A"/>
          <w:sz w:val="28"/>
          <w:szCs w:val="28"/>
          <w:lang w:val="en-US"/>
        </w:rPr>
        <w:t xml:space="preserve">Graduate employability cannot be divorced from the strategic management of human capital within the university context. Institutions that align curriculum development, faculty training, and student services with human capital theory tend to produce more work-ready graduates. Traditional models have emphasized the accumulation of knowledge and technical skill, but 21st-century </w:t>
      </w:r>
      <w:proofErr w:type="spellStart"/>
      <w:r w:rsidRPr="00ED7522">
        <w:rPr>
          <w:rFonts w:ascii="Times New Roman" w:eastAsia="Times New Roman" w:hAnsi="Times New Roman" w:cs="Times New Roman"/>
          <w:color w:val="0E101A"/>
          <w:sz w:val="28"/>
          <w:szCs w:val="28"/>
          <w:lang w:val="en-US"/>
        </w:rPr>
        <w:t>labour</w:t>
      </w:r>
      <w:proofErr w:type="spellEnd"/>
      <w:r w:rsidRPr="00ED7522">
        <w:rPr>
          <w:rFonts w:ascii="Times New Roman" w:eastAsia="Times New Roman" w:hAnsi="Times New Roman" w:cs="Times New Roman"/>
          <w:color w:val="0E101A"/>
          <w:sz w:val="28"/>
          <w:szCs w:val="28"/>
          <w:lang w:val="en-US"/>
        </w:rPr>
        <w:t xml:space="preserve"> markets demand a broader conception that includes creativity, innovation literacy, and socio-emotional resilience</w:t>
      </w:r>
      <w:r w:rsidR="001D0158">
        <w:rPr>
          <w:rFonts w:ascii="Times New Roman" w:eastAsia="Times New Roman" w:hAnsi="Times New Roman" w:cs="Times New Roman"/>
          <w:color w:val="0E101A"/>
          <w:sz w:val="28"/>
          <w:szCs w:val="28"/>
          <w:lang w:val="en-US"/>
        </w:rPr>
        <w:t xml:space="preserve"> [39].</w:t>
      </w:r>
    </w:p>
    <w:p w14:paraId="2CE5224A" w14:textId="46297F8A" w:rsidR="00ED7522" w:rsidRPr="00ED7522" w:rsidRDefault="00ED7522" w:rsidP="00714DE7">
      <w:pPr>
        <w:spacing w:after="0" w:line="240" w:lineRule="auto"/>
        <w:ind w:firstLine="720"/>
        <w:jc w:val="both"/>
        <w:rPr>
          <w:rFonts w:ascii="Times New Roman" w:eastAsia="Times New Roman" w:hAnsi="Times New Roman" w:cs="Times New Roman"/>
          <w:color w:val="0E101A"/>
          <w:sz w:val="28"/>
          <w:szCs w:val="28"/>
          <w:lang w:val="en-US"/>
        </w:rPr>
      </w:pPr>
      <w:r w:rsidRPr="00ED7522">
        <w:rPr>
          <w:rFonts w:ascii="Times New Roman" w:eastAsia="Times New Roman" w:hAnsi="Times New Roman" w:cs="Times New Roman"/>
          <w:color w:val="0E101A"/>
          <w:sz w:val="28"/>
          <w:szCs w:val="28"/>
          <w:lang w:val="en-US"/>
        </w:rPr>
        <w:t xml:space="preserve">Social adaptation, encompassing collaboration in diverse teams, conflict resolution, and functioning within varied cultural contexts, has emerged as a fundamental aspect of employability. </w:t>
      </w:r>
      <w:r w:rsidRPr="001D0158">
        <w:rPr>
          <w:rFonts w:ascii="Times New Roman" w:eastAsia="Times New Roman" w:hAnsi="Times New Roman" w:cs="Times New Roman"/>
          <w:color w:val="0E101A"/>
          <w:sz w:val="28"/>
          <w:szCs w:val="28"/>
          <w:lang w:val="en-US"/>
        </w:rPr>
        <w:t>Li et al.</w:t>
      </w:r>
      <w:r w:rsidR="001D0158">
        <w:rPr>
          <w:rFonts w:ascii="Times New Roman" w:eastAsia="Times New Roman" w:hAnsi="Times New Roman" w:cs="Times New Roman"/>
          <w:color w:val="0E101A"/>
          <w:sz w:val="28"/>
          <w:szCs w:val="28"/>
          <w:lang w:val="en-US"/>
        </w:rPr>
        <w:t xml:space="preserve"> </w:t>
      </w:r>
      <w:r w:rsidRPr="00ED7522">
        <w:rPr>
          <w:rFonts w:ascii="Times New Roman" w:eastAsia="Times New Roman" w:hAnsi="Times New Roman" w:cs="Times New Roman"/>
          <w:color w:val="0E101A"/>
          <w:sz w:val="28"/>
          <w:szCs w:val="28"/>
          <w:lang w:val="en-US"/>
        </w:rPr>
        <w:t>empirically establish that social adaptability and innovation aptitude collectively impact graduate results in dynamic labor markets</w:t>
      </w:r>
      <w:r w:rsidR="001D0158">
        <w:rPr>
          <w:rFonts w:ascii="Times New Roman" w:eastAsia="Times New Roman" w:hAnsi="Times New Roman" w:cs="Times New Roman"/>
          <w:color w:val="0E101A"/>
          <w:sz w:val="28"/>
          <w:szCs w:val="28"/>
          <w:lang w:val="en-US"/>
        </w:rPr>
        <w:t xml:space="preserve"> [40]</w:t>
      </w:r>
      <w:r w:rsidRPr="00ED7522">
        <w:rPr>
          <w:rFonts w:ascii="Times New Roman" w:eastAsia="Times New Roman" w:hAnsi="Times New Roman" w:cs="Times New Roman"/>
          <w:color w:val="0E101A"/>
          <w:sz w:val="28"/>
          <w:szCs w:val="28"/>
          <w:lang w:val="en-US"/>
        </w:rPr>
        <w:t>. Their findings emphasize the significance of comprehensive talent development programs integrating behavioral and attitudinal learning.</w:t>
      </w:r>
    </w:p>
    <w:p w14:paraId="6D614061" w14:textId="77777777" w:rsidR="00ED7522" w:rsidRPr="00ED7522" w:rsidRDefault="00ED7522" w:rsidP="00714DE7">
      <w:pPr>
        <w:spacing w:after="0" w:line="240" w:lineRule="auto"/>
        <w:ind w:firstLine="720"/>
        <w:jc w:val="both"/>
        <w:rPr>
          <w:rFonts w:ascii="Times New Roman" w:eastAsia="Times New Roman" w:hAnsi="Times New Roman" w:cs="Times New Roman"/>
          <w:color w:val="0E101A"/>
          <w:sz w:val="28"/>
          <w:szCs w:val="28"/>
          <w:lang w:val="en-US"/>
        </w:rPr>
      </w:pPr>
      <w:r w:rsidRPr="00ED7522">
        <w:rPr>
          <w:rFonts w:ascii="Times New Roman" w:eastAsia="Times New Roman" w:hAnsi="Times New Roman" w:cs="Times New Roman"/>
          <w:color w:val="0E101A"/>
          <w:sz w:val="28"/>
          <w:szCs w:val="28"/>
          <w:lang w:val="en-US"/>
        </w:rPr>
        <w:t>Innovation literacy denotes a graduate's ability to comprehend, engage in, and spearhead innovation processes within organizational contexts.  </w:t>
      </w:r>
    </w:p>
    <w:p w14:paraId="7674B837" w14:textId="77777777" w:rsidR="00ED7522" w:rsidRPr="00ED7522" w:rsidRDefault="00ED7522" w:rsidP="00714DE7">
      <w:pPr>
        <w:spacing w:after="0" w:line="240" w:lineRule="auto"/>
        <w:ind w:firstLine="720"/>
        <w:jc w:val="both"/>
        <w:rPr>
          <w:rFonts w:ascii="Times New Roman" w:eastAsia="Times New Roman" w:hAnsi="Times New Roman" w:cs="Times New Roman"/>
          <w:color w:val="0E101A"/>
          <w:sz w:val="28"/>
          <w:szCs w:val="28"/>
          <w:lang w:val="en-US"/>
        </w:rPr>
      </w:pPr>
      <w:r w:rsidRPr="00ED7522">
        <w:rPr>
          <w:rFonts w:ascii="Times New Roman" w:eastAsia="Times New Roman" w:hAnsi="Times New Roman" w:cs="Times New Roman"/>
          <w:color w:val="0E101A"/>
          <w:sz w:val="28"/>
          <w:szCs w:val="28"/>
          <w:lang w:val="en-US"/>
        </w:rPr>
        <w:t>Human capital development is also closely tied to faculty engagement. Instructors who model innovation through their pedagogy, research agendas, and community involvement are powerful role models. Institutions that invest in professional development for faculty—particularly in areas like digital pedagogy, design thinking, and industry partnership building—are more likely to foster a culture of innovation that permeates the student experience.</w:t>
      </w:r>
    </w:p>
    <w:p w14:paraId="76CBFD3B" w14:textId="77777777" w:rsidR="00ED7522" w:rsidRPr="00ED7522" w:rsidRDefault="00ED7522" w:rsidP="00714DE7">
      <w:pPr>
        <w:spacing w:after="0" w:line="240" w:lineRule="auto"/>
        <w:ind w:firstLine="720"/>
        <w:jc w:val="both"/>
        <w:rPr>
          <w:rFonts w:ascii="Times New Roman" w:eastAsia="Times New Roman" w:hAnsi="Times New Roman" w:cs="Times New Roman"/>
          <w:color w:val="0E101A"/>
          <w:sz w:val="28"/>
          <w:szCs w:val="28"/>
          <w:lang w:val="en-US"/>
        </w:rPr>
      </w:pPr>
      <w:r w:rsidRPr="00ED7522">
        <w:rPr>
          <w:rFonts w:ascii="Times New Roman" w:eastAsia="Times New Roman" w:hAnsi="Times New Roman" w:cs="Times New Roman"/>
          <w:color w:val="0E101A"/>
          <w:sz w:val="28"/>
          <w:szCs w:val="28"/>
          <w:lang w:val="en-US"/>
        </w:rPr>
        <w:t xml:space="preserve">HEIs must also rethink how they assess graduate readiness. Rather than focusing solely on academic performance, assessment models should include portfolios, innovation challenges, competency-based evaluations, and feedback from real-world stakeholders. These innovations in evaluation reflect a shift from content mastery to demonstrated impact, aligning educational outcomes more closely with </w:t>
      </w:r>
      <w:proofErr w:type="spellStart"/>
      <w:r w:rsidRPr="00ED7522">
        <w:rPr>
          <w:rFonts w:ascii="Times New Roman" w:eastAsia="Times New Roman" w:hAnsi="Times New Roman" w:cs="Times New Roman"/>
          <w:color w:val="0E101A"/>
          <w:sz w:val="28"/>
          <w:szCs w:val="28"/>
          <w:lang w:val="en-US"/>
        </w:rPr>
        <w:t>labour</w:t>
      </w:r>
      <w:proofErr w:type="spellEnd"/>
      <w:r w:rsidRPr="00ED7522">
        <w:rPr>
          <w:rFonts w:ascii="Times New Roman" w:eastAsia="Times New Roman" w:hAnsi="Times New Roman" w:cs="Times New Roman"/>
          <w:color w:val="0E101A"/>
          <w:sz w:val="28"/>
          <w:szCs w:val="28"/>
          <w:lang w:val="en-US"/>
        </w:rPr>
        <w:t xml:space="preserve"> market expectations.</w:t>
      </w:r>
    </w:p>
    <w:p w14:paraId="4D1C2644" w14:textId="77777777" w:rsidR="001F2973" w:rsidRPr="001F2973" w:rsidRDefault="001F2973" w:rsidP="00714DE7">
      <w:pPr>
        <w:spacing w:after="0" w:line="240" w:lineRule="auto"/>
        <w:ind w:firstLine="720"/>
        <w:jc w:val="both"/>
        <w:rPr>
          <w:rFonts w:ascii="Times New Roman" w:eastAsia="Times New Roman" w:hAnsi="Times New Roman" w:cs="Times New Roman"/>
          <w:i/>
          <w:iCs/>
          <w:color w:val="0E101A"/>
          <w:sz w:val="28"/>
          <w:szCs w:val="28"/>
          <w:lang w:val="en-US"/>
        </w:rPr>
      </w:pPr>
      <w:r w:rsidRPr="001F2973">
        <w:rPr>
          <w:rFonts w:ascii="Times New Roman" w:eastAsia="Times New Roman" w:hAnsi="Times New Roman" w:cs="Times New Roman"/>
          <w:i/>
          <w:iCs/>
          <w:color w:val="0E101A"/>
          <w:sz w:val="28"/>
          <w:szCs w:val="28"/>
          <w:lang w:val="en-US"/>
        </w:rPr>
        <w:t>Graduate Identity, Mentoring, and Career Success</w:t>
      </w:r>
    </w:p>
    <w:p w14:paraId="4BF4E25B" w14:textId="1760CE4A" w:rsidR="001F2973" w:rsidRPr="001F2973" w:rsidRDefault="001F2973" w:rsidP="00714DE7">
      <w:pPr>
        <w:spacing w:after="0" w:line="240" w:lineRule="auto"/>
        <w:ind w:firstLine="720"/>
        <w:jc w:val="both"/>
        <w:rPr>
          <w:rFonts w:ascii="Times New Roman" w:eastAsia="Times New Roman" w:hAnsi="Times New Roman" w:cs="Times New Roman"/>
          <w:color w:val="0E101A"/>
          <w:sz w:val="28"/>
          <w:szCs w:val="28"/>
          <w:lang w:val="en-US"/>
        </w:rPr>
      </w:pPr>
      <w:r w:rsidRPr="001F2973">
        <w:rPr>
          <w:rFonts w:ascii="Times New Roman" w:eastAsia="Times New Roman" w:hAnsi="Times New Roman" w:cs="Times New Roman"/>
          <w:color w:val="0E101A"/>
          <w:sz w:val="28"/>
          <w:szCs w:val="28"/>
          <w:lang w:val="en-US"/>
        </w:rPr>
        <w:t xml:space="preserve">Developing specific abilities and how students view their professional identities affect graduate employability. Identity development is absorbing ideals, considering social and personal responsibilities, and projecting a long-term contribution to a field or community. According to </w:t>
      </w:r>
      <w:r w:rsidRPr="00714DE7">
        <w:rPr>
          <w:rFonts w:ascii="Times New Roman" w:eastAsia="Times New Roman" w:hAnsi="Times New Roman" w:cs="Times New Roman"/>
          <w:color w:val="0E101A"/>
          <w:sz w:val="28"/>
          <w:szCs w:val="28"/>
          <w:lang w:val="en-US"/>
        </w:rPr>
        <w:t>Hinchliffe and Jolly,</w:t>
      </w:r>
      <w:r w:rsidRPr="001F2973">
        <w:rPr>
          <w:rFonts w:ascii="Times New Roman" w:eastAsia="Times New Roman" w:hAnsi="Times New Roman" w:cs="Times New Roman"/>
          <w:color w:val="0E101A"/>
          <w:sz w:val="28"/>
          <w:szCs w:val="28"/>
          <w:lang w:val="en-US"/>
        </w:rPr>
        <w:t xml:space="preserve"> graduate identity comprises four interrelated dimensions: value, intelligence, social engagement, and performance</w:t>
      </w:r>
      <w:r w:rsidR="00714DE7">
        <w:rPr>
          <w:rFonts w:ascii="Times New Roman" w:eastAsia="Times New Roman" w:hAnsi="Times New Roman" w:cs="Times New Roman"/>
          <w:color w:val="0E101A"/>
          <w:sz w:val="28"/>
          <w:szCs w:val="28"/>
          <w:lang w:val="en-US"/>
        </w:rPr>
        <w:t xml:space="preserve"> [30]</w:t>
      </w:r>
      <w:r w:rsidRPr="001F2973">
        <w:rPr>
          <w:rFonts w:ascii="Times New Roman" w:eastAsia="Times New Roman" w:hAnsi="Times New Roman" w:cs="Times New Roman"/>
          <w:color w:val="0E101A"/>
          <w:sz w:val="28"/>
          <w:szCs w:val="28"/>
          <w:lang w:val="en-US"/>
        </w:rPr>
        <w:t>. This approach emphasizes the meaning-making and social purpose as fundamental elements of employability, therefore situating graduate outcomes within a complete humanistic and developmental context.</w:t>
      </w:r>
    </w:p>
    <w:p w14:paraId="0C9CAD3B" w14:textId="0FC81296" w:rsidR="001F2973" w:rsidRPr="001F2973" w:rsidRDefault="001F2973" w:rsidP="00714DE7">
      <w:pPr>
        <w:spacing w:after="0" w:line="240" w:lineRule="auto"/>
        <w:ind w:firstLine="720"/>
        <w:jc w:val="both"/>
        <w:rPr>
          <w:rFonts w:ascii="Times New Roman" w:eastAsia="Times New Roman" w:hAnsi="Times New Roman" w:cs="Times New Roman"/>
          <w:color w:val="0E101A"/>
          <w:sz w:val="28"/>
          <w:szCs w:val="28"/>
          <w:lang w:val="en-US"/>
        </w:rPr>
      </w:pPr>
      <w:r w:rsidRPr="001F2973">
        <w:rPr>
          <w:rFonts w:ascii="Times New Roman" w:eastAsia="Times New Roman" w:hAnsi="Times New Roman" w:cs="Times New Roman"/>
          <w:color w:val="0E101A"/>
          <w:sz w:val="28"/>
          <w:szCs w:val="28"/>
          <w:lang w:val="en-US"/>
        </w:rPr>
        <w:t xml:space="preserve">Mentoring is a critical mechanism for facilitating graduate identity for action. </w:t>
      </w:r>
      <w:proofErr w:type="spellStart"/>
      <w:r w:rsidRPr="00714DE7">
        <w:rPr>
          <w:rFonts w:ascii="Times New Roman" w:eastAsia="Times New Roman" w:hAnsi="Times New Roman" w:cs="Times New Roman"/>
          <w:color w:val="0E101A"/>
          <w:sz w:val="28"/>
          <w:szCs w:val="28"/>
          <w:lang w:val="en-US"/>
        </w:rPr>
        <w:t>Bozionelos</w:t>
      </w:r>
      <w:proofErr w:type="spellEnd"/>
      <w:r w:rsidRPr="00714DE7">
        <w:rPr>
          <w:rFonts w:ascii="Times New Roman" w:eastAsia="Times New Roman" w:hAnsi="Times New Roman" w:cs="Times New Roman"/>
          <w:color w:val="0E101A"/>
          <w:sz w:val="28"/>
          <w:szCs w:val="28"/>
          <w:lang w:val="en-US"/>
        </w:rPr>
        <w:t xml:space="preserve"> et al.</w:t>
      </w:r>
      <w:r w:rsidR="00714DE7">
        <w:rPr>
          <w:rFonts w:ascii="Times New Roman" w:eastAsia="Times New Roman" w:hAnsi="Times New Roman" w:cs="Times New Roman"/>
          <w:color w:val="0E101A"/>
          <w:sz w:val="28"/>
          <w:szCs w:val="28"/>
          <w:lang w:val="en-US"/>
        </w:rPr>
        <w:t xml:space="preserve"> </w:t>
      </w:r>
      <w:r w:rsidRPr="001F2973">
        <w:rPr>
          <w:rFonts w:ascii="Times New Roman" w:eastAsia="Times New Roman" w:hAnsi="Times New Roman" w:cs="Times New Roman"/>
          <w:color w:val="0E101A"/>
          <w:sz w:val="28"/>
          <w:szCs w:val="28"/>
          <w:lang w:val="en-US"/>
        </w:rPr>
        <w:t xml:space="preserve">demonstrate that structured mentoring programs positively influence career outcomes by enhancing self-confidence, providing professional </w:t>
      </w:r>
      <w:r w:rsidRPr="001F2973">
        <w:rPr>
          <w:rFonts w:ascii="Times New Roman" w:eastAsia="Times New Roman" w:hAnsi="Times New Roman" w:cs="Times New Roman"/>
          <w:color w:val="0E101A"/>
          <w:sz w:val="28"/>
          <w:szCs w:val="28"/>
          <w:lang w:val="en-US"/>
        </w:rPr>
        <w:lastRenderedPageBreak/>
        <w:t>insight, and facilitating access to social capital</w:t>
      </w:r>
      <w:r w:rsidR="00714DE7">
        <w:rPr>
          <w:rFonts w:ascii="Times New Roman" w:eastAsia="Times New Roman" w:hAnsi="Times New Roman" w:cs="Times New Roman"/>
          <w:color w:val="0E101A"/>
          <w:sz w:val="28"/>
          <w:szCs w:val="28"/>
          <w:lang w:val="en-US"/>
        </w:rPr>
        <w:t xml:space="preserve"> [39]</w:t>
      </w:r>
      <w:r w:rsidRPr="001F2973">
        <w:rPr>
          <w:rFonts w:ascii="Times New Roman" w:eastAsia="Times New Roman" w:hAnsi="Times New Roman" w:cs="Times New Roman"/>
          <w:color w:val="0E101A"/>
          <w:sz w:val="28"/>
          <w:szCs w:val="28"/>
          <w:lang w:val="en-US"/>
        </w:rPr>
        <w:t>. In innovation-driven HEIs, mentoring extends beyond academic advising to include industry partnerships, research supervision, entrepreneurial coaching, and alumni engagement. These relationships contribute to developing transferable skills and foster a deeper understanding of career pathways.</w:t>
      </w:r>
    </w:p>
    <w:p w14:paraId="71AE60AF" w14:textId="77777777" w:rsidR="001F2973" w:rsidRPr="001F2973" w:rsidRDefault="001F2973" w:rsidP="00714DE7">
      <w:pPr>
        <w:spacing w:after="0" w:line="240" w:lineRule="auto"/>
        <w:ind w:firstLine="720"/>
        <w:jc w:val="both"/>
        <w:rPr>
          <w:rFonts w:ascii="Times New Roman" w:eastAsia="Times New Roman" w:hAnsi="Times New Roman" w:cs="Times New Roman"/>
          <w:color w:val="0E101A"/>
          <w:sz w:val="28"/>
          <w:szCs w:val="28"/>
          <w:lang w:val="en-US"/>
        </w:rPr>
      </w:pPr>
      <w:r w:rsidRPr="001F2973">
        <w:rPr>
          <w:rFonts w:ascii="Times New Roman" w:eastAsia="Times New Roman" w:hAnsi="Times New Roman" w:cs="Times New Roman"/>
          <w:color w:val="0E101A"/>
          <w:sz w:val="28"/>
          <w:szCs w:val="28"/>
          <w:lang w:val="en-US"/>
        </w:rPr>
        <w:t>Mentoring is also associated with increased motivation and goal clarity among students. As mentees engage in reflective dialogue with experienced professionals, they develop stronger self-efficacy and better navigate institutional resources and career decisions. Notably, mentoring bridges institutional innovation efforts and individual employability outcomes, translating systemic reforms into personalized development trajectories.</w:t>
      </w:r>
    </w:p>
    <w:p w14:paraId="49C018E1" w14:textId="77777777" w:rsidR="001F2973" w:rsidRPr="001F2973" w:rsidRDefault="001F2973" w:rsidP="00714DE7">
      <w:pPr>
        <w:spacing w:after="0" w:line="240" w:lineRule="auto"/>
        <w:ind w:firstLine="720"/>
        <w:jc w:val="both"/>
        <w:rPr>
          <w:rFonts w:ascii="Times New Roman" w:eastAsia="Times New Roman" w:hAnsi="Times New Roman" w:cs="Times New Roman"/>
          <w:color w:val="0E101A"/>
          <w:sz w:val="28"/>
          <w:szCs w:val="28"/>
          <w:lang w:val="en-US"/>
        </w:rPr>
      </w:pPr>
      <w:r w:rsidRPr="001F2973">
        <w:rPr>
          <w:rFonts w:ascii="Times New Roman" w:eastAsia="Times New Roman" w:hAnsi="Times New Roman" w:cs="Times New Roman"/>
          <w:color w:val="0E101A"/>
          <w:sz w:val="28"/>
          <w:szCs w:val="28"/>
          <w:lang w:val="en-US"/>
        </w:rPr>
        <w:t>Experiential learning opportunities that immerse students in real-world scenarios further solidify the graduate identity. Internships, consultancy projects, and civic engagement activities enable students to practice their professional duties and synthesize theoretical knowledge with practical application. These experiences enhance identity formation and facilitate professional clarity, networking, and adaptation in the job market.</w:t>
      </w:r>
    </w:p>
    <w:p w14:paraId="69873A97" w14:textId="77777777" w:rsidR="001F2973" w:rsidRPr="001F2973" w:rsidRDefault="001F2973" w:rsidP="00714DE7">
      <w:pPr>
        <w:spacing w:after="0" w:line="240" w:lineRule="auto"/>
        <w:ind w:firstLine="720"/>
        <w:jc w:val="both"/>
        <w:rPr>
          <w:rFonts w:ascii="Times New Roman" w:eastAsia="Times New Roman" w:hAnsi="Times New Roman" w:cs="Times New Roman"/>
          <w:color w:val="0E101A"/>
          <w:sz w:val="28"/>
          <w:szCs w:val="28"/>
          <w:lang w:val="en-US"/>
        </w:rPr>
      </w:pPr>
      <w:r w:rsidRPr="001F2973">
        <w:rPr>
          <w:rFonts w:ascii="Times New Roman" w:eastAsia="Times New Roman" w:hAnsi="Times New Roman" w:cs="Times New Roman"/>
          <w:color w:val="0E101A"/>
          <w:sz w:val="28"/>
          <w:szCs w:val="28"/>
          <w:lang w:val="en-US"/>
        </w:rPr>
        <w:t>Universities committed to employability outcomes must, therefore, invest in institutional structures that support mentoring and identity building. This includes training for mentors, structured reflection opportunities for students, and incentives for faculty and alumni participation. By aligning innovation management with human development goals, HEIs create environments that equip students with marketable skills and empower them to pursue meaningful, values-driven careers.</w:t>
      </w:r>
    </w:p>
    <w:p w14:paraId="03DF9E4E" w14:textId="77777777" w:rsidR="001F2973" w:rsidRPr="001F2973" w:rsidRDefault="001F2973" w:rsidP="00714DE7">
      <w:pPr>
        <w:spacing w:after="0" w:line="240" w:lineRule="auto"/>
        <w:ind w:firstLine="720"/>
        <w:jc w:val="both"/>
        <w:rPr>
          <w:rFonts w:ascii="Times New Roman" w:eastAsia="Times New Roman" w:hAnsi="Times New Roman" w:cs="Times New Roman"/>
          <w:i/>
          <w:iCs/>
          <w:color w:val="0E101A"/>
          <w:sz w:val="28"/>
          <w:szCs w:val="28"/>
          <w:lang w:val="en-US"/>
        </w:rPr>
      </w:pPr>
      <w:r w:rsidRPr="001F2973">
        <w:rPr>
          <w:rFonts w:ascii="Times New Roman" w:eastAsia="Times New Roman" w:hAnsi="Times New Roman" w:cs="Times New Roman"/>
          <w:i/>
          <w:iCs/>
          <w:color w:val="0E101A"/>
          <w:sz w:val="28"/>
          <w:szCs w:val="28"/>
          <w:lang w:val="en-US"/>
        </w:rPr>
        <w:t>Inclusive Innovation and the Employability of Disadvantaged Groups</w:t>
      </w:r>
    </w:p>
    <w:p w14:paraId="34C8DBF2" w14:textId="71EACB99" w:rsidR="001F2973" w:rsidRPr="001F2973" w:rsidRDefault="001F2973" w:rsidP="00714DE7">
      <w:pPr>
        <w:spacing w:after="0" w:line="240" w:lineRule="auto"/>
        <w:ind w:firstLine="720"/>
        <w:jc w:val="both"/>
        <w:rPr>
          <w:rFonts w:ascii="Times New Roman" w:eastAsia="Times New Roman" w:hAnsi="Times New Roman" w:cs="Times New Roman"/>
          <w:color w:val="0E101A"/>
          <w:sz w:val="28"/>
          <w:szCs w:val="28"/>
          <w:lang w:val="en-US"/>
        </w:rPr>
      </w:pPr>
      <w:r w:rsidRPr="001F2973">
        <w:rPr>
          <w:rFonts w:ascii="Times New Roman" w:eastAsia="Times New Roman" w:hAnsi="Times New Roman" w:cs="Times New Roman"/>
          <w:color w:val="0E101A"/>
          <w:sz w:val="28"/>
          <w:szCs w:val="28"/>
          <w:lang w:val="en-US"/>
        </w:rPr>
        <w:t>Innovation in higher education must be inclusive of fulfilling its promise of broad-based socio-economic development. Disadvantaged groups—including students from low-income backgrounds, ethnic minorities, first-generation university attendees, students with disabilities, and marginalized regional populations—often face systemic barriers to accessing the full benefits of university innovation ecosystems. To support equitable employability outcomes, universities must design innovation strategies that are explicitly inclusive in both intent and impact</w:t>
      </w:r>
      <w:r w:rsidR="00714DE7">
        <w:rPr>
          <w:rFonts w:ascii="Times New Roman" w:eastAsia="Times New Roman" w:hAnsi="Times New Roman" w:cs="Times New Roman"/>
          <w:color w:val="0E101A"/>
          <w:sz w:val="28"/>
          <w:szCs w:val="28"/>
          <w:lang w:val="en-US"/>
        </w:rPr>
        <w:t xml:space="preserve"> [41]. </w:t>
      </w:r>
    </w:p>
    <w:p w14:paraId="18AAA2F1" w14:textId="77777777" w:rsidR="001F2973" w:rsidRPr="001F2973" w:rsidRDefault="001F2973" w:rsidP="00714DE7">
      <w:pPr>
        <w:spacing w:after="0" w:line="240" w:lineRule="auto"/>
        <w:ind w:firstLine="720"/>
        <w:jc w:val="both"/>
        <w:rPr>
          <w:rFonts w:ascii="Times New Roman" w:eastAsia="Times New Roman" w:hAnsi="Times New Roman" w:cs="Times New Roman"/>
          <w:color w:val="0E101A"/>
          <w:sz w:val="28"/>
          <w:szCs w:val="28"/>
          <w:lang w:val="en-US"/>
        </w:rPr>
      </w:pPr>
      <w:r w:rsidRPr="001F2973">
        <w:rPr>
          <w:rFonts w:ascii="Times New Roman" w:eastAsia="Times New Roman" w:hAnsi="Times New Roman" w:cs="Times New Roman"/>
          <w:color w:val="0E101A"/>
          <w:sz w:val="28"/>
          <w:szCs w:val="28"/>
          <w:lang w:val="en-US"/>
        </w:rPr>
        <w:t>Inclusive innovation refers to widening access and adapting institutional practices to all students' diverse needs, aspirations, and lived experiences. It covers providing inclusive courses, focused support services, customized career counseling, and flexible learning environments. Programs including peer mentoring, language help, bridging courses, and community-engaged learning can lessen many students' institutional and social disadvantages.</w:t>
      </w:r>
    </w:p>
    <w:p w14:paraId="6539AABA" w14:textId="77777777" w:rsidR="001F2973" w:rsidRPr="001F2973" w:rsidRDefault="001F2973" w:rsidP="00714DE7">
      <w:pPr>
        <w:spacing w:after="0" w:line="240" w:lineRule="auto"/>
        <w:ind w:firstLine="720"/>
        <w:jc w:val="both"/>
        <w:rPr>
          <w:rFonts w:ascii="Times New Roman" w:eastAsia="Times New Roman" w:hAnsi="Times New Roman" w:cs="Times New Roman"/>
          <w:color w:val="0E101A"/>
          <w:sz w:val="28"/>
          <w:szCs w:val="28"/>
          <w:lang w:val="en-US"/>
        </w:rPr>
      </w:pPr>
      <w:r w:rsidRPr="001F2973">
        <w:rPr>
          <w:rFonts w:ascii="Times New Roman" w:eastAsia="Times New Roman" w:hAnsi="Times New Roman" w:cs="Times New Roman"/>
          <w:color w:val="0E101A"/>
          <w:sz w:val="28"/>
          <w:szCs w:val="28"/>
          <w:lang w:val="en-US"/>
        </w:rPr>
        <w:t>Furthermore, policy support is important. Particularly in EU and OECD nations, national and regional governments have developed systems encouraging universities to foster inclusion through performance-based funding, access targets, and social mobility programs. The European Higher Education Area (EHEA) has embedded inclusion and employability in its Bologna reforms, encouraging member states to monitor equity outcomes as part of quality assurance processes.</w:t>
      </w:r>
    </w:p>
    <w:p w14:paraId="70577DBB" w14:textId="4F8F5C66" w:rsidR="001F2973" w:rsidRPr="001F2973" w:rsidRDefault="001F2973" w:rsidP="00714DE7">
      <w:pPr>
        <w:spacing w:after="0" w:line="240" w:lineRule="auto"/>
        <w:ind w:firstLine="720"/>
        <w:jc w:val="both"/>
        <w:rPr>
          <w:rFonts w:ascii="Times New Roman" w:eastAsia="Times New Roman" w:hAnsi="Times New Roman" w:cs="Times New Roman"/>
          <w:color w:val="0E101A"/>
          <w:sz w:val="28"/>
          <w:szCs w:val="28"/>
          <w:lang w:val="en-US"/>
        </w:rPr>
      </w:pPr>
      <w:proofErr w:type="spellStart"/>
      <w:r w:rsidRPr="00714DE7">
        <w:rPr>
          <w:rFonts w:ascii="Times New Roman" w:eastAsia="Times New Roman" w:hAnsi="Times New Roman" w:cs="Times New Roman"/>
          <w:color w:val="0E101A"/>
          <w:sz w:val="28"/>
          <w:szCs w:val="28"/>
          <w:lang w:val="en-US"/>
        </w:rPr>
        <w:lastRenderedPageBreak/>
        <w:t>Çetin</w:t>
      </w:r>
      <w:proofErr w:type="spellEnd"/>
      <w:r w:rsidRPr="00714DE7">
        <w:rPr>
          <w:rFonts w:ascii="Times New Roman" w:eastAsia="Times New Roman" w:hAnsi="Times New Roman" w:cs="Times New Roman"/>
          <w:color w:val="0E101A"/>
          <w:sz w:val="28"/>
          <w:szCs w:val="28"/>
          <w:lang w:val="en-US"/>
        </w:rPr>
        <w:t xml:space="preserve"> and </w:t>
      </w:r>
      <w:proofErr w:type="spellStart"/>
      <w:r w:rsidRPr="00714DE7">
        <w:rPr>
          <w:rFonts w:ascii="Times New Roman" w:eastAsia="Times New Roman" w:hAnsi="Times New Roman" w:cs="Times New Roman"/>
          <w:color w:val="0E101A"/>
          <w:sz w:val="28"/>
          <w:szCs w:val="28"/>
          <w:lang w:val="en-US"/>
        </w:rPr>
        <w:t>Çiçek</w:t>
      </w:r>
      <w:proofErr w:type="spellEnd"/>
      <w:r w:rsidRPr="001F2973">
        <w:rPr>
          <w:rFonts w:ascii="Times New Roman" w:eastAsia="Times New Roman" w:hAnsi="Times New Roman" w:cs="Times New Roman"/>
          <w:color w:val="0E101A"/>
          <w:sz w:val="28"/>
          <w:szCs w:val="28"/>
          <w:lang w:val="en-US"/>
        </w:rPr>
        <w:t xml:space="preserve"> present a comparative analysis between </w:t>
      </w:r>
      <w:proofErr w:type="spellStart"/>
      <w:r w:rsidRPr="001F2973">
        <w:rPr>
          <w:rFonts w:ascii="Times New Roman" w:eastAsia="Times New Roman" w:hAnsi="Times New Roman" w:cs="Times New Roman"/>
          <w:color w:val="0E101A"/>
          <w:sz w:val="28"/>
          <w:szCs w:val="28"/>
          <w:lang w:val="en-US"/>
        </w:rPr>
        <w:t>Türkiye</w:t>
      </w:r>
      <w:proofErr w:type="spellEnd"/>
      <w:r w:rsidRPr="001F2973">
        <w:rPr>
          <w:rFonts w:ascii="Times New Roman" w:eastAsia="Times New Roman" w:hAnsi="Times New Roman" w:cs="Times New Roman"/>
          <w:color w:val="0E101A"/>
          <w:sz w:val="28"/>
          <w:szCs w:val="28"/>
          <w:lang w:val="en-US"/>
        </w:rPr>
        <w:t xml:space="preserve"> and several EU </w:t>
      </w:r>
      <w:proofErr w:type="gramStart"/>
      <w:r w:rsidRPr="001F2973">
        <w:rPr>
          <w:rFonts w:ascii="Times New Roman" w:eastAsia="Times New Roman" w:hAnsi="Times New Roman" w:cs="Times New Roman"/>
          <w:color w:val="0E101A"/>
          <w:sz w:val="28"/>
          <w:szCs w:val="28"/>
          <w:lang w:val="en-US"/>
        </w:rPr>
        <w:t>member</w:t>
      </w:r>
      <w:proofErr w:type="gramEnd"/>
      <w:r w:rsidR="00C56400">
        <w:rPr>
          <w:rFonts w:ascii="Times New Roman" w:eastAsia="Times New Roman" w:hAnsi="Times New Roman" w:cs="Times New Roman"/>
          <w:color w:val="0E101A"/>
          <w:sz w:val="28"/>
          <w:szCs w:val="28"/>
          <w:lang w:val="kk-KZ"/>
        </w:rPr>
        <w:t xml:space="preserve"> </w:t>
      </w:r>
      <w:r w:rsidRPr="001F2973">
        <w:rPr>
          <w:rFonts w:ascii="Times New Roman" w:eastAsia="Times New Roman" w:hAnsi="Times New Roman" w:cs="Times New Roman"/>
          <w:color w:val="0E101A"/>
          <w:sz w:val="28"/>
          <w:szCs w:val="28"/>
          <w:lang w:val="en-US"/>
        </w:rPr>
        <w:t>states, finding that institutional initiatives such as inclusive entrepreneurship training and employer-linked placement schemes significantly improve employability for disadvantaged graduates</w:t>
      </w:r>
      <w:r w:rsidR="00714DE7">
        <w:rPr>
          <w:rFonts w:ascii="Times New Roman" w:eastAsia="Times New Roman" w:hAnsi="Times New Roman" w:cs="Times New Roman"/>
          <w:color w:val="0E101A"/>
          <w:sz w:val="28"/>
          <w:szCs w:val="28"/>
          <w:lang w:val="en-US"/>
        </w:rPr>
        <w:t xml:space="preserve"> [41]</w:t>
      </w:r>
      <w:r w:rsidRPr="001F2973">
        <w:rPr>
          <w:rFonts w:ascii="Times New Roman" w:eastAsia="Times New Roman" w:hAnsi="Times New Roman" w:cs="Times New Roman"/>
          <w:color w:val="0E101A"/>
          <w:sz w:val="28"/>
          <w:szCs w:val="28"/>
          <w:lang w:val="en-US"/>
        </w:rPr>
        <w:t>. The authors advocate for universities to adopt a capabilities-based approach, focusing on enabling all students to achieve the freedom to pursue lives they value.</w:t>
      </w:r>
    </w:p>
    <w:p w14:paraId="677F58CE" w14:textId="77777777" w:rsidR="001F2973" w:rsidRPr="001F2973" w:rsidRDefault="001F2973" w:rsidP="004F674F">
      <w:pPr>
        <w:spacing w:after="0" w:line="240" w:lineRule="auto"/>
        <w:ind w:firstLine="720"/>
        <w:jc w:val="both"/>
        <w:rPr>
          <w:rFonts w:ascii="Times New Roman" w:eastAsia="Times New Roman" w:hAnsi="Times New Roman" w:cs="Times New Roman"/>
          <w:color w:val="0E101A"/>
          <w:sz w:val="28"/>
          <w:szCs w:val="28"/>
          <w:lang w:val="en-US"/>
        </w:rPr>
      </w:pPr>
      <w:r w:rsidRPr="001F2973">
        <w:rPr>
          <w:rFonts w:ascii="Times New Roman" w:eastAsia="Times New Roman" w:hAnsi="Times New Roman" w:cs="Times New Roman"/>
          <w:color w:val="0E101A"/>
          <w:sz w:val="28"/>
          <w:szCs w:val="28"/>
          <w:lang w:val="en-US"/>
        </w:rPr>
        <w:t>Universities that integrate inclusive innovation practices across their governance, pedagogy, and partnership strategies fulfil social justice goals and enrich the learning environment for all students. Diversity cultivates creativity, intercultural proficiency, and problem-solving—essential elements of action. Institutions that prioritize and invest in diversity are more likely to succeed in competitive, knowledge-based global economies.</w:t>
      </w:r>
    </w:p>
    <w:p w14:paraId="766CB0C8" w14:textId="77777777" w:rsidR="001F2973" w:rsidRPr="001F2973" w:rsidRDefault="001F2973" w:rsidP="004F674F">
      <w:pPr>
        <w:spacing w:after="0" w:line="240" w:lineRule="auto"/>
        <w:ind w:firstLine="720"/>
        <w:jc w:val="both"/>
        <w:rPr>
          <w:rFonts w:ascii="Times New Roman" w:eastAsia="Times New Roman" w:hAnsi="Times New Roman" w:cs="Times New Roman"/>
          <w:i/>
          <w:iCs/>
          <w:color w:val="0E101A"/>
          <w:sz w:val="28"/>
          <w:szCs w:val="28"/>
          <w:lang w:val="en-US"/>
        </w:rPr>
      </w:pPr>
      <w:r w:rsidRPr="001F2973">
        <w:rPr>
          <w:rFonts w:ascii="Times New Roman" w:eastAsia="Times New Roman" w:hAnsi="Times New Roman" w:cs="Times New Roman"/>
          <w:i/>
          <w:iCs/>
          <w:color w:val="0E101A"/>
          <w:sz w:val="28"/>
          <w:szCs w:val="28"/>
          <w:lang w:val="en-US"/>
        </w:rPr>
        <w:t>Lifelong Employability, Innovation Ecosystems, and Long-Term Impact</w:t>
      </w:r>
    </w:p>
    <w:p w14:paraId="42C6EB85" w14:textId="77777777" w:rsidR="001F2973" w:rsidRPr="001F2973" w:rsidRDefault="001F2973" w:rsidP="004F674F">
      <w:pPr>
        <w:spacing w:after="0" w:line="240" w:lineRule="auto"/>
        <w:ind w:firstLine="720"/>
        <w:jc w:val="both"/>
        <w:rPr>
          <w:rFonts w:ascii="Times New Roman" w:eastAsia="Times New Roman" w:hAnsi="Times New Roman" w:cs="Times New Roman"/>
          <w:color w:val="0E101A"/>
          <w:sz w:val="28"/>
          <w:szCs w:val="28"/>
          <w:lang w:val="en-US"/>
        </w:rPr>
      </w:pPr>
      <w:r w:rsidRPr="001F2973">
        <w:rPr>
          <w:rFonts w:ascii="Times New Roman" w:eastAsia="Times New Roman" w:hAnsi="Times New Roman" w:cs="Times New Roman"/>
          <w:color w:val="0E101A"/>
          <w:sz w:val="28"/>
          <w:szCs w:val="28"/>
          <w:lang w:val="en-US"/>
        </w:rPr>
        <w:t>The growing complexity of global labor markets, technological change, and demographic transitions demand a redefinition of employability beyond initial job placement. Lifelong employability refers to an individual’s sustained ability to gain, maintain, and transition between jobs throughout their work. For higher education institutions, supporting lifelong employability requires embedding innovation across curricular, extracurricular, and post-graduation support systems.</w:t>
      </w:r>
    </w:p>
    <w:p w14:paraId="64461D1D" w14:textId="6EA32CFB" w:rsidR="001F2973" w:rsidRPr="001F2973" w:rsidRDefault="001F2973" w:rsidP="004F674F">
      <w:pPr>
        <w:spacing w:after="0" w:line="240" w:lineRule="auto"/>
        <w:ind w:firstLine="720"/>
        <w:jc w:val="both"/>
        <w:rPr>
          <w:rFonts w:ascii="Times New Roman" w:eastAsia="Times New Roman" w:hAnsi="Times New Roman" w:cs="Times New Roman"/>
          <w:color w:val="0E101A"/>
          <w:sz w:val="28"/>
          <w:szCs w:val="28"/>
          <w:lang w:val="en-US"/>
        </w:rPr>
      </w:pPr>
      <w:proofErr w:type="spellStart"/>
      <w:r w:rsidRPr="004F674F">
        <w:rPr>
          <w:rFonts w:ascii="Times New Roman" w:eastAsia="Times New Roman" w:hAnsi="Times New Roman" w:cs="Times New Roman"/>
          <w:color w:val="0E101A"/>
          <w:sz w:val="28"/>
          <w:szCs w:val="28"/>
          <w:lang w:val="en-US"/>
        </w:rPr>
        <w:t>Römgens</w:t>
      </w:r>
      <w:proofErr w:type="spellEnd"/>
      <w:r w:rsidRPr="004F674F">
        <w:rPr>
          <w:rFonts w:ascii="Times New Roman" w:eastAsia="Times New Roman" w:hAnsi="Times New Roman" w:cs="Times New Roman"/>
          <w:color w:val="0E101A"/>
          <w:sz w:val="28"/>
          <w:szCs w:val="28"/>
          <w:lang w:val="en-US"/>
        </w:rPr>
        <w:t xml:space="preserve"> et al.</w:t>
      </w:r>
      <w:r w:rsidR="004F674F">
        <w:rPr>
          <w:rFonts w:ascii="Times New Roman" w:eastAsia="Times New Roman" w:hAnsi="Times New Roman" w:cs="Times New Roman"/>
          <w:color w:val="0E101A"/>
          <w:sz w:val="28"/>
          <w:szCs w:val="28"/>
          <w:lang w:val="en-US"/>
        </w:rPr>
        <w:t xml:space="preserve"> </w:t>
      </w:r>
      <w:r w:rsidRPr="001F2973">
        <w:rPr>
          <w:rFonts w:ascii="Times New Roman" w:eastAsia="Times New Roman" w:hAnsi="Times New Roman" w:cs="Times New Roman"/>
          <w:color w:val="0E101A"/>
          <w:sz w:val="28"/>
          <w:szCs w:val="28"/>
          <w:lang w:val="en-US"/>
        </w:rPr>
        <w:t>suggest that employability must be understood as a dynamic, lifelong process involving identity development, competency acquisition, and reflective adaptability</w:t>
      </w:r>
      <w:r w:rsidR="004F674F">
        <w:rPr>
          <w:rFonts w:ascii="Times New Roman" w:eastAsia="Times New Roman" w:hAnsi="Times New Roman" w:cs="Times New Roman"/>
          <w:color w:val="0E101A"/>
          <w:sz w:val="28"/>
          <w:szCs w:val="28"/>
          <w:lang w:val="en-US"/>
        </w:rPr>
        <w:t xml:space="preserve"> [31]</w:t>
      </w:r>
      <w:r w:rsidRPr="001F2973">
        <w:rPr>
          <w:rFonts w:ascii="Times New Roman" w:eastAsia="Times New Roman" w:hAnsi="Times New Roman" w:cs="Times New Roman"/>
          <w:color w:val="0E101A"/>
          <w:sz w:val="28"/>
          <w:szCs w:val="28"/>
          <w:lang w:val="en-US"/>
        </w:rPr>
        <w:t>. Innovation ecosystems in universities—comprised of partnerships, infrastructures, digital tools, and communities of practice—enable graduates to continuously upskill and reorient themselves within shifting labor markets.</w:t>
      </w:r>
    </w:p>
    <w:p w14:paraId="70D7CC88" w14:textId="77777777" w:rsidR="001F2973" w:rsidRPr="001F2973" w:rsidRDefault="001F2973" w:rsidP="00675869">
      <w:pPr>
        <w:spacing w:after="0" w:line="240" w:lineRule="auto"/>
        <w:ind w:firstLine="720"/>
        <w:jc w:val="both"/>
        <w:rPr>
          <w:rFonts w:ascii="Times New Roman" w:eastAsia="Times New Roman" w:hAnsi="Times New Roman" w:cs="Times New Roman"/>
          <w:color w:val="0E101A"/>
          <w:sz w:val="28"/>
          <w:szCs w:val="28"/>
          <w:lang w:val="en-US"/>
        </w:rPr>
      </w:pPr>
      <w:r w:rsidRPr="001F2973">
        <w:rPr>
          <w:rFonts w:ascii="Times New Roman" w:eastAsia="Times New Roman" w:hAnsi="Times New Roman" w:cs="Times New Roman"/>
          <w:color w:val="0E101A"/>
          <w:sz w:val="28"/>
          <w:szCs w:val="28"/>
          <w:lang w:val="en-US"/>
        </w:rPr>
        <w:t>Universities contribute to long-term employability by offering continuing education and alumni learning services. Short courses, micro-credentials, and online modules allow graduates to refresh or expand their skills in response to emerging market demands. These offerings are most effective when integrated into the institution’s innovation strategy and aligned with industry needs.</w:t>
      </w:r>
    </w:p>
    <w:p w14:paraId="21CE65EF" w14:textId="5A378E00" w:rsidR="001F2973" w:rsidRPr="001F2973" w:rsidRDefault="001F2973" w:rsidP="00675869">
      <w:pPr>
        <w:spacing w:after="0" w:line="240" w:lineRule="auto"/>
        <w:ind w:firstLine="720"/>
        <w:jc w:val="both"/>
        <w:rPr>
          <w:rFonts w:ascii="Times New Roman" w:eastAsia="Times New Roman" w:hAnsi="Times New Roman" w:cs="Times New Roman"/>
          <w:color w:val="0E101A"/>
          <w:sz w:val="28"/>
          <w:szCs w:val="28"/>
          <w:lang w:val="en-US"/>
        </w:rPr>
      </w:pPr>
      <w:r w:rsidRPr="001F2973">
        <w:rPr>
          <w:rFonts w:ascii="Times New Roman" w:eastAsia="Times New Roman" w:hAnsi="Times New Roman" w:cs="Times New Roman"/>
          <w:color w:val="0E101A"/>
          <w:sz w:val="28"/>
          <w:szCs w:val="28"/>
          <w:lang w:val="en-US"/>
        </w:rPr>
        <w:t xml:space="preserve">Mentorship networks, alumni communities, and professional associations foster long-term engagement between graduates and their alma mater, enhancing social capital and professional resilience. Innovation-driven institutions often facilitate career tracking systems, personalized coaching, and digital platforms that allow alumni to access support throughout their careers. </w:t>
      </w:r>
      <w:proofErr w:type="spellStart"/>
      <w:r w:rsidRPr="001A2A99">
        <w:rPr>
          <w:rFonts w:ascii="Times New Roman" w:eastAsia="Times New Roman" w:hAnsi="Times New Roman" w:cs="Times New Roman"/>
          <w:color w:val="0E101A"/>
          <w:sz w:val="28"/>
          <w:szCs w:val="28"/>
          <w:lang w:val="en-US"/>
        </w:rPr>
        <w:t>Bozionelos</w:t>
      </w:r>
      <w:proofErr w:type="spellEnd"/>
      <w:r w:rsidRPr="001A2A99">
        <w:rPr>
          <w:rFonts w:ascii="Times New Roman" w:eastAsia="Times New Roman" w:hAnsi="Times New Roman" w:cs="Times New Roman"/>
          <w:color w:val="0E101A"/>
          <w:sz w:val="28"/>
          <w:szCs w:val="28"/>
          <w:lang w:val="en-US"/>
        </w:rPr>
        <w:t xml:space="preserve"> et al.</w:t>
      </w:r>
      <w:r w:rsidR="001A2A99">
        <w:rPr>
          <w:rFonts w:ascii="Times New Roman" w:eastAsia="Times New Roman" w:hAnsi="Times New Roman" w:cs="Times New Roman"/>
          <w:color w:val="0E101A"/>
          <w:sz w:val="28"/>
          <w:szCs w:val="28"/>
          <w:lang w:val="en-US"/>
        </w:rPr>
        <w:t xml:space="preserve"> </w:t>
      </w:r>
      <w:r w:rsidRPr="001F2973">
        <w:rPr>
          <w:rFonts w:ascii="Times New Roman" w:eastAsia="Times New Roman" w:hAnsi="Times New Roman" w:cs="Times New Roman"/>
          <w:color w:val="0E101A"/>
          <w:sz w:val="28"/>
          <w:szCs w:val="28"/>
          <w:lang w:val="en-US"/>
        </w:rPr>
        <w:t>highlight that such extended mentoring relationships enhance career satisfaction, adaptability, and promotion likelihood</w:t>
      </w:r>
      <w:r w:rsidR="001A2A99">
        <w:rPr>
          <w:rFonts w:ascii="Times New Roman" w:eastAsia="Times New Roman" w:hAnsi="Times New Roman" w:cs="Times New Roman"/>
          <w:color w:val="0E101A"/>
          <w:sz w:val="28"/>
          <w:szCs w:val="28"/>
          <w:lang w:val="en-US"/>
        </w:rPr>
        <w:t xml:space="preserve"> [39]</w:t>
      </w:r>
      <w:r w:rsidRPr="001F2973">
        <w:rPr>
          <w:rFonts w:ascii="Times New Roman" w:eastAsia="Times New Roman" w:hAnsi="Times New Roman" w:cs="Times New Roman"/>
          <w:color w:val="0E101A"/>
          <w:sz w:val="28"/>
          <w:szCs w:val="28"/>
          <w:lang w:val="en-US"/>
        </w:rPr>
        <w:t>.</w:t>
      </w:r>
    </w:p>
    <w:p w14:paraId="0629444A" w14:textId="77777777" w:rsidR="001F2973" w:rsidRPr="001F2973" w:rsidRDefault="001F2973" w:rsidP="00675869">
      <w:pPr>
        <w:spacing w:after="0" w:line="240" w:lineRule="auto"/>
        <w:ind w:firstLine="720"/>
        <w:jc w:val="both"/>
        <w:rPr>
          <w:rFonts w:ascii="Times New Roman" w:eastAsia="Times New Roman" w:hAnsi="Times New Roman" w:cs="Times New Roman"/>
          <w:color w:val="0E101A"/>
          <w:sz w:val="28"/>
          <w:szCs w:val="28"/>
          <w:lang w:val="en-US"/>
        </w:rPr>
      </w:pPr>
      <w:r w:rsidRPr="001F2973">
        <w:rPr>
          <w:rFonts w:ascii="Times New Roman" w:eastAsia="Times New Roman" w:hAnsi="Times New Roman" w:cs="Times New Roman"/>
          <w:color w:val="0E101A"/>
          <w:sz w:val="28"/>
          <w:szCs w:val="28"/>
          <w:lang w:val="en-US"/>
        </w:rPr>
        <w:t>Furthermore, the long-term impact of innovation in higher education extends beyond individual careers. By producing graduates who are creative, socially responsible, and entrepreneurial, universities contribute to regional development, innovation diffusion, and social transformation. This collective impact reinforces the relevance of universities as key institutions in innovation ecosystems and justifies public investment in higher education to build national competitiveness.</w:t>
      </w:r>
    </w:p>
    <w:p w14:paraId="782D82C7" w14:textId="77777777" w:rsidR="001F2973" w:rsidRPr="001F2973" w:rsidRDefault="001F2973" w:rsidP="00675869">
      <w:pPr>
        <w:spacing w:after="0" w:line="240" w:lineRule="auto"/>
        <w:ind w:firstLine="720"/>
        <w:jc w:val="both"/>
        <w:rPr>
          <w:rFonts w:ascii="Times New Roman" w:eastAsia="Times New Roman" w:hAnsi="Times New Roman" w:cs="Times New Roman"/>
          <w:color w:val="0E101A"/>
          <w:sz w:val="28"/>
          <w:szCs w:val="28"/>
          <w:lang w:val="en-US"/>
        </w:rPr>
      </w:pPr>
      <w:r w:rsidRPr="001F2973">
        <w:rPr>
          <w:rFonts w:ascii="Times New Roman" w:eastAsia="Times New Roman" w:hAnsi="Times New Roman" w:cs="Times New Roman"/>
          <w:color w:val="0E101A"/>
          <w:sz w:val="28"/>
          <w:szCs w:val="28"/>
          <w:lang w:val="en-US"/>
        </w:rPr>
        <w:lastRenderedPageBreak/>
        <w:t>A systems-thinking perspective reveals that the sustainability of employability outcomes depends on institutional strategies and broader policy alignment, stakeholder collaboration, and cultural change within and beyond academia. Universities that successfully align their innovation agendas with economic development strategies, SDGs, and inclusive growth frameworks are better positioned to produce graduates who thrive in complexity and contribute to a more equitable and innovative society.</w:t>
      </w:r>
    </w:p>
    <w:p w14:paraId="44B516BB" w14:textId="2E349F78" w:rsidR="001F2973" w:rsidRPr="001F2973" w:rsidRDefault="001F2973" w:rsidP="00C72C7F">
      <w:pPr>
        <w:spacing w:after="0" w:line="240" w:lineRule="auto"/>
        <w:ind w:firstLine="720"/>
        <w:jc w:val="both"/>
        <w:rPr>
          <w:rFonts w:ascii="Times New Roman" w:eastAsia="Times New Roman" w:hAnsi="Times New Roman" w:cs="Times New Roman"/>
          <w:color w:val="0E101A"/>
          <w:sz w:val="28"/>
          <w:szCs w:val="28"/>
          <w:lang w:val="en-US"/>
        </w:rPr>
      </w:pPr>
      <w:r w:rsidRPr="001F2973">
        <w:rPr>
          <w:rFonts w:ascii="Times New Roman" w:eastAsia="Times New Roman" w:hAnsi="Times New Roman" w:cs="Times New Roman"/>
          <w:color w:val="0E101A"/>
          <w:sz w:val="28"/>
          <w:szCs w:val="28"/>
          <w:lang w:val="en-US"/>
        </w:rPr>
        <w:t>Conclusion</w:t>
      </w:r>
      <w:r w:rsidR="00C72C7F" w:rsidRPr="00C72C7F">
        <w:rPr>
          <w:rFonts w:ascii="Times New Roman" w:eastAsia="Times New Roman" w:hAnsi="Times New Roman" w:cs="Times New Roman"/>
          <w:color w:val="0E101A"/>
          <w:sz w:val="28"/>
          <w:szCs w:val="28"/>
          <w:lang w:val="en-US"/>
        </w:rPr>
        <w:t xml:space="preserve">. </w:t>
      </w:r>
      <w:r w:rsidRPr="001F2973">
        <w:rPr>
          <w:rFonts w:ascii="Times New Roman" w:eastAsia="Times New Roman" w:hAnsi="Times New Roman" w:cs="Times New Roman"/>
          <w:color w:val="0E101A"/>
          <w:sz w:val="28"/>
          <w:szCs w:val="28"/>
          <w:lang w:val="en-US"/>
        </w:rPr>
        <w:t>Innovation management in higher education is no longer an ancillary concern but a central pillar of institutional strategy. As universities redefine their roles within knowledge economies, they must simultaneously embrace the complex, evolving challenges of preparing graduates for an unpredictable future. This theoretical justification demonstrates that innovation and employability are deeply intertwined.</w:t>
      </w:r>
    </w:p>
    <w:p w14:paraId="7235EF3A" w14:textId="19D8E3ED" w:rsidR="001F2973" w:rsidRPr="001F2973" w:rsidRDefault="001F2973" w:rsidP="001B5231">
      <w:pPr>
        <w:spacing w:after="0" w:line="240" w:lineRule="auto"/>
        <w:ind w:firstLine="720"/>
        <w:jc w:val="both"/>
        <w:rPr>
          <w:rFonts w:ascii="Times New Roman" w:eastAsia="Times New Roman" w:hAnsi="Times New Roman" w:cs="Times New Roman"/>
          <w:color w:val="0E101A"/>
          <w:sz w:val="28"/>
          <w:szCs w:val="28"/>
          <w:lang w:val="en-US"/>
        </w:rPr>
      </w:pPr>
      <w:r w:rsidRPr="001F2973">
        <w:rPr>
          <w:rFonts w:ascii="Times New Roman" w:eastAsia="Times New Roman" w:hAnsi="Times New Roman" w:cs="Times New Roman"/>
          <w:color w:val="0E101A"/>
          <w:sz w:val="28"/>
          <w:szCs w:val="28"/>
          <w:lang w:val="en-US"/>
        </w:rPr>
        <w:t xml:space="preserve">Conceptual frameworks such as the Triple Helix model, </w:t>
      </w:r>
      <w:r w:rsidRPr="001B5231">
        <w:rPr>
          <w:rFonts w:ascii="Times New Roman" w:eastAsia="Times New Roman" w:hAnsi="Times New Roman" w:cs="Times New Roman"/>
          <w:color w:val="0E101A"/>
          <w:sz w:val="28"/>
          <w:szCs w:val="28"/>
          <w:lang w:val="en-US"/>
        </w:rPr>
        <w:t>Mode 2 knowledge production</w:t>
      </w:r>
      <w:r w:rsidRPr="001F2973">
        <w:rPr>
          <w:rFonts w:ascii="Times New Roman" w:eastAsia="Times New Roman" w:hAnsi="Times New Roman" w:cs="Times New Roman"/>
          <w:color w:val="0E101A"/>
          <w:sz w:val="28"/>
          <w:szCs w:val="28"/>
          <w:lang w:val="en-US"/>
        </w:rPr>
        <w:t>, and the entrepreneurial university provide a foundational understanding of how HEIs can transform into dynamic innovation ecosystems</w:t>
      </w:r>
      <w:r w:rsidR="001B5231">
        <w:rPr>
          <w:rFonts w:ascii="Times New Roman" w:eastAsia="Times New Roman" w:hAnsi="Times New Roman" w:cs="Times New Roman"/>
          <w:color w:val="0E101A"/>
          <w:sz w:val="28"/>
          <w:szCs w:val="28"/>
          <w:lang w:val="en-US"/>
        </w:rPr>
        <w:t xml:space="preserve"> [28]</w:t>
      </w:r>
      <w:r w:rsidRPr="001F2973">
        <w:rPr>
          <w:rFonts w:ascii="Times New Roman" w:eastAsia="Times New Roman" w:hAnsi="Times New Roman" w:cs="Times New Roman"/>
          <w:color w:val="0E101A"/>
          <w:sz w:val="28"/>
          <w:szCs w:val="28"/>
          <w:lang w:val="en-US"/>
        </w:rPr>
        <w:t>. These frameworks emphasize collaboration, context-driven learning, and institutional responsiveness—all of which contribute to employability in a broader sense: identity formation, career resilience, and the capacity to innovate and adapt continuously.</w:t>
      </w:r>
    </w:p>
    <w:p w14:paraId="40C9DB26" w14:textId="77777777" w:rsidR="00BF073E" w:rsidRDefault="001F2973" w:rsidP="00BF073E">
      <w:pPr>
        <w:spacing w:after="0" w:line="240" w:lineRule="auto"/>
        <w:ind w:firstLine="720"/>
        <w:jc w:val="both"/>
        <w:rPr>
          <w:rFonts w:ascii="Times New Roman" w:eastAsia="Times New Roman" w:hAnsi="Times New Roman" w:cs="Times New Roman"/>
          <w:color w:val="0E101A"/>
          <w:sz w:val="28"/>
          <w:szCs w:val="28"/>
          <w:lang w:val="en-US"/>
        </w:rPr>
      </w:pPr>
      <w:r w:rsidRPr="001F2973">
        <w:rPr>
          <w:rFonts w:ascii="Times New Roman" w:eastAsia="Times New Roman" w:hAnsi="Times New Roman" w:cs="Times New Roman"/>
          <w:color w:val="0E101A"/>
          <w:sz w:val="28"/>
          <w:szCs w:val="28"/>
          <w:lang w:val="en-US"/>
        </w:rPr>
        <w:t>Universities that invest in innovation structures—pedagogical reform, digital platforms, inclusive strategies, lifelong learning initiatives, and stakeholder collaboration—are far better equipped to produce professionally competitive and socially conscious graduates. The move from content delivery to transformative learning, from credentialing to capability-building, and from institutional autonomy to system-level alignment defines the future trajectory of higher education.</w:t>
      </w:r>
    </w:p>
    <w:p w14:paraId="79AB3BEE" w14:textId="6974CC2D" w:rsidR="001F2973" w:rsidRPr="001F2973" w:rsidRDefault="001F2973" w:rsidP="00BF073E">
      <w:pPr>
        <w:spacing w:after="0" w:line="240" w:lineRule="auto"/>
        <w:ind w:firstLine="720"/>
        <w:jc w:val="both"/>
        <w:rPr>
          <w:rFonts w:ascii="Times New Roman" w:eastAsia="Times New Roman" w:hAnsi="Times New Roman" w:cs="Times New Roman"/>
          <w:color w:val="0E101A"/>
          <w:sz w:val="28"/>
          <w:szCs w:val="28"/>
          <w:lang w:val="en-US"/>
        </w:rPr>
      </w:pPr>
      <w:r w:rsidRPr="001F2973">
        <w:rPr>
          <w:rFonts w:ascii="Times New Roman" w:eastAsia="Times New Roman" w:hAnsi="Times New Roman" w:cs="Times New Roman"/>
          <w:color w:val="0E101A"/>
          <w:sz w:val="28"/>
          <w:szCs w:val="28"/>
          <w:lang w:val="en-US"/>
        </w:rPr>
        <w:t xml:space="preserve">This literature-grounded perspective provides a robust justification for empirical investigations into how institutional innovations impact graduate employability. By critically engaging with innovation at every level—policy, strategy, pedagogy, partnership—universities fulfil their mission as </w:t>
      </w:r>
      <w:proofErr w:type="spellStart"/>
      <w:r w:rsidRPr="001F2973">
        <w:rPr>
          <w:rFonts w:ascii="Times New Roman" w:eastAsia="Times New Roman" w:hAnsi="Times New Roman" w:cs="Times New Roman"/>
          <w:color w:val="0E101A"/>
          <w:sz w:val="28"/>
          <w:szCs w:val="28"/>
          <w:lang w:val="en-US"/>
        </w:rPr>
        <w:t>centres</w:t>
      </w:r>
      <w:proofErr w:type="spellEnd"/>
      <w:r w:rsidRPr="001F2973">
        <w:rPr>
          <w:rFonts w:ascii="Times New Roman" w:eastAsia="Times New Roman" w:hAnsi="Times New Roman" w:cs="Times New Roman"/>
          <w:color w:val="0E101A"/>
          <w:sz w:val="28"/>
          <w:szCs w:val="28"/>
          <w:lang w:val="en-US"/>
        </w:rPr>
        <w:t xml:space="preserve"> of knowledge and as engines of inclusive and sustainable development.</w:t>
      </w:r>
    </w:p>
    <w:p w14:paraId="15729F0A" w14:textId="77777777" w:rsidR="00F229B0" w:rsidRDefault="00F229B0" w:rsidP="00D53B9C">
      <w:pPr>
        <w:spacing w:after="0" w:line="240" w:lineRule="auto"/>
        <w:jc w:val="both"/>
        <w:rPr>
          <w:rFonts w:ascii="Times New Roman" w:eastAsia="Times New Roman" w:hAnsi="Times New Roman" w:cs="Times New Roman"/>
          <w:sz w:val="28"/>
          <w:szCs w:val="28"/>
          <w:lang w:val="en-US"/>
        </w:rPr>
      </w:pPr>
    </w:p>
    <w:p w14:paraId="46727C3C" w14:textId="5750C0F4" w:rsidR="00C72C7F" w:rsidRDefault="00F229B0" w:rsidP="003708CF">
      <w:pPr>
        <w:pStyle w:val="ad"/>
        <w:numPr>
          <w:ilvl w:val="1"/>
          <w:numId w:val="37"/>
        </w:numPr>
        <w:spacing w:after="0" w:line="240" w:lineRule="auto"/>
        <w:ind w:left="0" w:firstLine="709"/>
        <w:jc w:val="both"/>
        <w:rPr>
          <w:rFonts w:ascii="Times New Roman" w:eastAsia="Times New Roman" w:hAnsi="Times New Roman" w:cs="Times New Roman"/>
          <w:b/>
          <w:bCs/>
          <w:sz w:val="28"/>
          <w:szCs w:val="28"/>
          <w:lang w:val="en-US" w:eastAsia="ru-RU"/>
        </w:rPr>
      </w:pPr>
      <w:r w:rsidRPr="00F229B0">
        <w:rPr>
          <w:rFonts w:ascii="Times New Roman" w:eastAsia="Times New Roman" w:hAnsi="Times New Roman" w:cs="Times New Roman"/>
          <w:b/>
          <w:bCs/>
          <w:sz w:val="28"/>
          <w:szCs w:val="28"/>
          <w:lang w:val="en-US" w:eastAsia="ru-RU"/>
        </w:rPr>
        <w:t>The Triple Helix Model: University-Industry-Government Interaction and Entrepreneurial Intentions</w:t>
      </w:r>
    </w:p>
    <w:p w14:paraId="50073FAF" w14:textId="77777777" w:rsidR="003708CF" w:rsidRPr="003708CF" w:rsidRDefault="003708CF" w:rsidP="003708CF">
      <w:pPr>
        <w:spacing w:after="0" w:line="240" w:lineRule="auto"/>
        <w:jc w:val="both"/>
        <w:rPr>
          <w:rFonts w:ascii="Times New Roman" w:eastAsia="Times New Roman" w:hAnsi="Times New Roman" w:cs="Times New Roman"/>
          <w:b/>
          <w:bCs/>
          <w:sz w:val="28"/>
          <w:szCs w:val="28"/>
          <w:lang w:val="en-US" w:eastAsia="ru-RU"/>
        </w:rPr>
      </w:pPr>
    </w:p>
    <w:p w14:paraId="28EE055C" w14:textId="77777777" w:rsidR="00BF073E" w:rsidRDefault="00A97E55" w:rsidP="001838B1">
      <w:pPr>
        <w:pStyle w:val="a4"/>
        <w:spacing w:before="0" w:beforeAutospacing="0" w:after="0" w:afterAutospacing="0"/>
        <w:ind w:firstLine="720"/>
        <w:contextualSpacing/>
        <w:jc w:val="both"/>
        <w:rPr>
          <w:sz w:val="28"/>
          <w:szCs w:val="28"/>
          <w:lang w:val="en-US"/>
        </w:rPr>
      </w:pPr>
      <w:r w:rsidRPr="008C4E0C">
        <w:rPr>
          <w:sz w:val="28"/>
          <w:szCs w:val="28"/>
          <w:lang w:val="en-US"/>
        </w:rPr>
        <w:t xml:space="preserve">In modern knowledge-driven economies, the university's function has expanded beyond education and research to contain active involvement in economic and technical innovation. This transition is optimally understood via the Triple Helix model, which delineates innovation as a product of dynamic interactions among academia, industry, and government </w:t>
      </w:r>
      <w:r w:rsidR="001B5231">
        <w:rPr>
          <w:sz w:val="28"/>
          <w:szCs w:val="28"/>
          <w:lang w:val="en-US"/>
        </w:rPr>
        <w:t>[28].</w:t>
      </w:r>
      <w:r w:rsidR="00BF073E">
        <w:rPr>
          <w:sz w:val="28"/>
          <w:szCs w:val="28"/>
          <w:lang w:val="en-US"/>
        </w:rPr>
        <w:t xml:space="preserve"> </w:t>
      </w:r>
      <w:r w:rsidRPr="008C4E0C">
        <w:rPr>
          <w:sz w:val="28"/>
          <w:szCs w:val="28"/>
          <w:lang w:val="en-US"/>
        </w:rPr>
        <w:t xml:space="preserve">The method redefines traditional institutional limits and emphasizes hybrid roles and cooperative activities across several sectors. Unlike linear innovation models that see knowledge generation and application as separate domains, the THM holds that innovation emerges via recursive, overlapping contributions, enabling each agent to inherit the roles of the others. </w:t>
      </w:r>
    </w:p>
    <w:p w14:paraId="5B96470E" w14:textId="4102F140" w:rsidR="00A97E55" w:rsidRPr="008C4E0C" w:rsidRDefault="00A97E55" w:rsidP="001838B1">
      <w:pPr>
        <w:pStyle w:val="a4"/>
        <w:spacing w:before="0" w:beforeAutospacing="0" w:after="0" w:afterAutospacing="0"/>
        <w:ind w:firstLine="720"/>
        <w:contextualSpacing/>
        <w:jc w:val="both"/>
        <w:rPr>
          <w:sz w:val="28"/>
          <w:szCs w:val="28"/>
          <w:lang w:val="en-US"/>
        </w:rPr>
      </w:pPr>
      <w:r w:rsidRPr="008C4E0C">
        <w:rPr>
          <w:sz w:val="28"/>
          <w:szCs w:val="28"/>
          <w:lang w:val="en-US"/>
        </w:rPr>
        <w:lastRenderedPageBreak/>
        <w:t>This conceptual shift renders the university a knowledge producer, facilitator, and direct agent of economic development through entrepreneurial activity, research commercialization, and institutional reform.</w:t>
      </w:r>
    </w:p>
    <w:p w14:paraId="2F30D6A7" w14:textId="3EC2248E" w:rsidR="00A97E55" w:rsidRDefault="00A97E55" w:rsidP="001838B1">
      <w:pPr>
        <w:pStyle w:val="a4"/>
        <w:spacing w:before="0" w:beforeAutospacing="0" w:after="0" w:afterAutospacing="0"/>
        <w:ind w:firstLine="720"/>
        <w:contextualSpacing/>
        <w:jc w:val="both"/>
        <w:rPr>
          <w:sz w:val="28"/>
          <w:szCs w:val="28"/>
          <w:lang w:val="en-US"/>
        </w:rPr>
      </w:pPr>
      <w:r w:rsidRPr="008C4E0C">
        <w:rPr>
          <w:sz w:val="28"/>
          <w:szCs w:val="28"/>
          <w:lang w:val="en-US"/>
        </w:rPr>
        <w:t>The prominence of universities as central actors in innovation ecosystems has catalyzed the rise of the entrepreneurial university—a construct whereby institutions strategically align their missions with regional development, innovation, and enterprise creation. Entrepreneurial universities extend beyond the traditional binary of research and teaching to include active commercialization, technology transfer, and venture development</w:t>
      </w:r>
      <w:r w:rsidR="001B5231">
        <w:rPr>
          <w:sz w:val="28"/>
          <w:szCs w:val="28"/>
          <w:lang w:val="en-US"/>
        </w:rPr>
        <w:t xml:space="preserve"> [4</w:t>
      </w:r>
      <w:r w:rsidR="00A073CA">
        <w:rPr>
          <w:sz w:val="28"/>
          <w:szCs w:val="28"/>
          <w:lang w:val="en-US"/>
        </w:rPr>
        <w:t>3</w:t>
      </w:r>
      <w:r w:rsidR="001B5231">
        <w:rPr>
          <w:sz w:val="28"/>
          <w:szCs w:val="28"/>
          <w:lang w:val="en-US"/>
        </w:rPr>
        <w:t>]</w:t>
      </w:r>
      <w:r w:rsidR="00A073CA">
        <w:rPr>
          <w:sz w:val="28"/>
          <w:szCs w:val="28"/>
          <w:lang w:val="en-US"/>
        </w:rPr>
        <w:t xml:space="preserve">. </w:t>
      </w:r>
      <w:r w:rsidRPr="008C4E0C">
        <w:rPr>
          <w:sz w:val="28"/>
          <w:szCs w:val="28"/>
          <w:lang w:val="en-US"/>
        </w:rPr>
        <w:t>These institutions serve as hubs within innovation ecosystems by building internal capacities for entrepreneurship while also maintaining open channels of collaboration with government and industry. Their development is deeply embedded in the theoretical core of the Triple Helix, which views such institutions not as isolated ivory towers but as agents integrated within a co-evolutionary system of knowledge production and application</w:t>
      </w:r>
      <w:r w:rsidR="00A073CA">
        <w:rPr>
          <w:sz w:val="28"/>
          <w:szCs w:val="28"/>
          <w:lang w:val="en-US"/>
        </w:rPr>
        <w:t xml:space="preserve"> [44].</w:t>
      </w:r>
    </w:p>
    <w:p w14:paraId="7FA79417" w14:textId="4C01E9D1" w:rsidR="00A97E55" w:rsidRPr="008C4E0C" w:rsidRDefault="00A97E55" w:rsidP="001838B1">
      <w:pPr>
        <w:pStyle w:val="a4"/>
        <w:spacing w:before="0" w:beforeAutospacing="0" w:after="0" w:afterAutospacing="0"/>
        <w:ind w:firstLine="720"/>
        <w:contextualSpacing/>
        <w:jc w:val="both"/>
        <w:rPr>
          <w:sz w:val="28"/>
          <w:szCs w:val="28"/>
          <w:lang w:val="en-US"/>
        </w:rPr>
      </w:pPr>
      <w:r w:rsidRPr="008C4E0C">
        <w:rPr>
          <w:sz w:val="28"/>
          <w:szCs w:val="28"/>
          <w:lang w:val="en-US"/>
        </w:rPr>
        <w:t xml:space="preserve">Empirical literature highlights how universities, in their entrepreneurial transformation, develop new structural forms such as technology licensing offices, innovation </w:t>
      </w:r>
      <w:proofErr w:type="spellStart"/>
      <w:r w:rsidRPr="008C4E0C">
        <w:rPr>
          <w:sz w:val="28"/>
          <w:szCs w:val="28"/>
          <w:lang w:val="en-US"/>
        </w:rPr>
        <w:t>centres</w:t>
      </w:r>
      <w:proofErr w:type="spellEnd"/>
      <w:r w:rsidRPr="008C4E0C">
        <w:rPr>
          <w:sz w:val="28"/>
          <w:szCs w:val="28"/>
          <w:lang w:val="en-US"/>
        </w:rPr>
        <w:t>, and university-affiliated incubators</w:t>
      </w:r>
      <w:r w:rsidR="00A073CA">
        <w:rPr>
          <w:sz w:val="28"/>
          <w:szCs w:val="28"/>
          <w:lang w:val="en-US"/>
        </w:rPr>
        <w:t xml:space="preserve"> [45]. </w:t>
      </w:r>
      <w:r w:rsidRPr="008C4E0C">
        <w:rPr>
          <w:sz w:val="28"/>
          <w:szCs w:val="28"/>
          <w:lang w:val="en-US"/>
        </w:rPr>
        <w:t>These systems reflect internalized capacities for innovative management, which helps colleges support institutional-level cooperation and individual-level entrepreneurship. Furthermore, these systems help formalize interactions with outside parties, matching government policy goals with scholarly research and industrial uses. In this manner, the university becomes a participant and a key orchestrator of innovation flows within a regional or national system</w:t>
      </w:r>
      <w:r w:rsidR="00A073CA">
        <w:rPr>
          <w:sz w:val="28"/>
          <w:szCs w:val="28"/>
          <w:lang w:val="en-US"/>
        </w:rPr>
        <w:t xml:space="preserve"> [46].</w:t>
      </w:r>
    </w:p>
    <w:p w14:paraId="5AE924E0" w14:textId="743AE38F" w:rsidR="00A97E55" w:rsidRDefault="00A97E55" w:rsidP="001838B1">
      <w:pPr>
        <w:pStyle w:val="a4"/>
        <w:spacing w:before="0" w:beforeAutospacing="0" w:after="0" w:afterAutospacing="0"/>
        <w:ind w:firstLine="720"/>
        <w:contextualSpacing/>
        <w:jc w:val="both"/>
        <w:rPr>
          <w:sz w:val="28"/>
          <w:szCs w:val="28"/>
          <w:lang w:val="en-US"/>
        </w:rPr>
      </w:pPr>
      <w:r w:rsidRPr="008C4E0C">
        <w:rPr>
          <w:sz w:val="28"/>
          <w:szCs w:val="28"/>
          <w:lang w:val="en-US"/>
        </w:rPr>
        <w:t>This transformation also entails a cultural and organizational shift within universities. As entrepreneurial institutions mature, they embed entrepreneurial logic across departments and disciplines. Once confined to science and technology faculties, academic entrepreneurship now finds expression in interdisciplinary programs, cross-faculty innovation initiatives, and inclusive entrepreneurship education. In many systems, institutional strategies for entrepreneurship include both top-down reforms (such as revised governance structures and funding models) and bottom-up mobilization (such as faculty-led spin-offs and student-led startups)</w:t>
      </w:r>
      <w:r w:rsidR="00A073CA">
        <w:rPr>
          <w:sz w:val="28"/>
          <w:szCs w:val="28"/>
          <w:lang w:val="en-US"/>
        </w:rPr>
        <w:t xml:space="preserve"> [47]</w:t>
      </w:r>
      <w:r w:rsidRPr="008C4E0C">
        <w:rPr>
          <w:sz w:val="28"/>
          <w:szCs w:val="28"/>
          <w:lang w:val="en-US"/>
        </w:rPr>
        <w:t>. The confluence of these forces exemplifies how university environments when structured around Triple Helix principles, create a fertile ground for developing entrepreneurial intentions among students.</w:t>
      </w:r>
    </w:p>
    <w:p w14:paraId="3D387C38" w14:textId="538FFCE6" w:rsidR="00A97E55" w:rsidRPr="008C4E0C" w:rsidRDefault="00A97E55" w:rsidP="001838B1">
      <w:pPr>
        <w:pStyle w:val="a4"/>
        <w:spacing w:before="0" w:beforeAutospacing="0" w:after="0" w:afterAutospacing="0"/>
        <w:ind w:firstLine="720"/>
        <w:contextualSpacing/>
        <w:jc w:val="both"/>
        <w:rPr>
          <w:sz w:val="28"/>
          <w:szCs w:val="28"/>
          <w:lang w:val="en-US"/>
        </w:rPr>
      </w:pPr>
      <w:r w:rsidRPr="008C4E0C">
        <w:rPr>
          <w:sz w:val="28"/>
          <w:szCs w:val="28"/>
          <w:lang w:val="en-US"/>
        </w:rPr>
        <w:t xml:space="preserve">Within such environments, the university becomes a critical context in shaping entrepreneurial </w:t>
      </w:r>
      <w:proofErr w:type="spellStart"/>
      <w:r w:rsidRPr="008C4E0C">
        <w:rPr>
          <w:sz w:val="28"/>
          <w:szCs w:val="28"/>
          <w:lang w:val="en-US"/>
        </w:rPr>
        <w:t>behaviour</w:t>
      </w:r>
      <w:proofErr w:type="spellEnd"/>
      <w:r w:rsidRPr="008C4E0C">
        <w:rPr>
          <w:sz w:val="28"/>
          <w:szCs w:val="28"/>
          <w:lang w:val="en-US"/>
        </w:rPr>
        <w:t xml:space="preserve"> and the antecedent psychological dispositions that form entrepreneurial intention. As the intention is widely regarded as the best predictor of planned </w:t>
      </w:r>
      <w:proofErr w:type="spellStart"/>
      <w:r w:rsidRPr="008C4E0C">
        <w:rPr>
          <w:sz w:val="28"/>
          <w:szCs w:val="28"/>
          <w:lang w:val="en-US"/>
        </w:rPr>
        <w:t>behaviour</w:t>
      </w:r>
      <w:proofErr w:type="spellEnd"/>
      <w:r w:rsidRPr="008C4E0C">
        <w:rPr>
          <w:sz w:val="28"/>
          <w:szCs w:val="28"/>
          <w:lang w:val="en-US"/>
        </w:rPr>
        <w:t xml:space="preserve">, understanding its drivers within the university setting is essential. Claiming that intentions are shaped by attitudes toward the conduct, subjective norms, and perceived </w:t>
      </w:r>
      <w:proofErr w:type="spellStart"/>
      <w:r w:rsidRPr="008C4E0C">
        <w:rPr>
          <w:sz w:val="28"/>
          <w:szCs w:val="28"/>
          <w:lang w:val="en-US"/>
        </w:rPr>
        <w:t>behavioural</w:t>
      </w:r>
      <w:proofErr w:type="spellEnd"/>
      <w:r w:rsidRPr="008C4E0C">
        <w:rPr>
          <w:sz w:val="28"/>
          <w:szCs w:val="28"/>
          <w:lang w:val="en-US"/>
        </w:rPr>
        <w:t xml:space="preserve"> control, the Theory of Planned conduct is still the most often used theoretical framework in entrepreneurial intention studies</w:t>
      </w:r>
      <w:r w:rsidR="00A073CA">
        <w:rPr>
          <w:sz w:val="28"/>
          <w:szCs w:val="28"/>
          <w:lang w:val="en-US"/>
        </w:rPr>
        <w:t xml:space="preserve"> [48]</w:t>
      </w:r>
      <w:r w:rsidRPr="008C4E0C">
        <w:rPr>
          <w:sz w:val="28"/>
          <w:szCs w:val="28"/>
          <w:lang w:val="en-US"/>
        </w:rPr>
        <w:t xml:space="preserve">. Under this paradigm, perceived </w:t>
      </w:r>
      <w:proofErr w:type="spellStart"/>
      <w:r w:rsidRPr="008C4E0C">
        <w:rPr>
          <w:sz w:val="28"/>
          <w:szCs w:val="28"/>
          <w:lang w:val="en-US"/>
        </w:rPr>
        <w:t>behavioural</w:t>
      </w:r>
      <w:proofErr w:type="spellEnd"/>
      <w:r w:rsidRPr="008C4E0C">
        <w:rPr>
          <w:sz w:val="28"/>
          <w:szCs w:val="28"/>
          <w:lang w:val="en-US"/>
        </w:rPr>
        <w:t xml:space="preserve"> control fits conceptually with entrepreneurial self-efficacy—that is, an individual's confidence in their capacity to competently fulfil the duties associated with entrepreneurship.</w:t>
      </w:r>
    </w:p>
    <w:p w14:paraId="3B0237D3" w14:textId="4AC33A11" w:rsidR="00A97E55" w:rsidRDefault="00A97E55" w:rsidP="001838B1">
      <w:pPr>
        <w:pStyle w:val="a4"/>
        <w:spacing w:before="0" w:beforeAutospacing="0" w:after="0" w:afterAutospacing="0"/>
        <w:ind w:firstLine="720"/>
        <w:contextualSpacing/>
        <w:jc w:val="both"/>
        <w:rPr>
          <w:sz w:val="28"/>
          <w:szCs w:val="28"/>
          <w:lang w:val="en-US"/>
        </w:rPr>
      </w:pPr>
      <w:r w:rsidRPr="008C4E0C">
        <w:rPr>
          <w:sz w:val="28"/>
          <w:szCs w:val="28"/>
          <w:lang w:val="en-US"/>
        </w:rPr>
        <w:lastRenderedPageBreak/>
        <w:t xml:space="preserve">Entrepreneurial self-efficacy (ESE) is vital in linking the institutional environment to entrepreneurial intention. Universities that adopt innovation-driven strategies, consistent with Triple Helix logic, provide students with exposure to opportunity recognition, networking, resource acquisition, and venture planning. Through entrepreneurship instruction, incubator participation, contests, and contacts with role models, these exposures—all of which help students develop their ESE—occur frequently. As </w:t>
      </w:r>
      <w:r w:rsidRPr="009F6D98">
        <w:rPr>
          <w:sz w:val="28"/>
          <w:szCs w:val="28"/>
          <w:lang w:val="en-US"/>
        </w:rPr>
        <w:t>Chen et al.</w:t>
      </w:r>
      <w:r w:rsidRPr="008C4E0C">
        <w:rPr>
          <w:sz w:val="28"/>
          <w:szCs w:val="28"/>
          <w:lang w:val="en-US"/>
        </w:rPr>
        <w:t xml:space="preserve"> found, entrepreneurial self-efficacy increases the probability that people will not only think about but also seize entrepreneurial prospects</w:t>
      </w:r>
      <w:r w:rsidR="009F6D98">
        <w:rPr>
          <w:sz w:val="28"/>
          <w:szCs w:val="28"/>
          <w:lang w:val="en-US"/>
        </w:rPr>
        <w:t xml:space="preserve"> [49]</w:t>
      </w:r>
      <w:r w:rsidRPr="008C4E0C">
        <w:rPr>
          <w:sz w:val="28"/>
          <w:szCs w:val="28"/>
          <w:lang w:val="en-US"/>
        </w:rPr>
        <w:t xml:space="preserve">. Comparably, </w:t>
      </w:r>
      <w:proofErr w:type="spellStart"/>
      <w:r w:rsidRPr="009F6D98">
        <w:rPr>
          <w:sz w:val="28"/>
          <w:szCs w:val="28"/>
          <w:lang w:val="en-US"/>
        </w:rPr>
        <w:t>Jakopec</w:t>
      </w:r>
      <w:proofErr w:type="spellEnd"/>
      <w:r w:rsidRPr="009F6D98">
        <w:rPr>
          <w:sz w:val="28"/>
          <w:szCs w:val="28"/>
          <w:lang w:val="en-US"/>
        </w:rPr>
        <w:t xml:space="preserve"> et al.</w:t>
      </w:r>
      <w:r w:rsidR="009F6D98">
        <w:rPr>
          <w:sz w:val="28"/>
          <w:szCs w:val="28"/>
          <w:lang w:val="en-US"/>
        </w:rPr>
        <w:t xml:space="preserve"> </w:t>
      </w:r>
      <w:r w:rsidRPr="008C4E0C">
        <w:rPr>
          <w:sz w:val="28"/>
          <w:szCs w:val="28"/>
          <w:lang w:val="en-US"/>
        </w:rPr>
        <w:t>discovered that ESE is a significant predictor of EI among students; higher effectiveness beliefs correlate with stronger inclinations to establish a business</w:t>
      </w:r>
      <w:r w:rsidR="009F6D98">
        <w:rPr>
          <w:sz w:val="28"/>
          <w:szCs w:val="28"/>
          <w:lang w:val="en-US"/>
        </w:rPr>
        <w:t xml:space="preserve"> [50]</w:t>
      </w:r>
      <w:r w:rsidRPr="008C4E0C">
        <w:rPr>
          <w:sz w:val="28"/>
          <w:szCs w:val="28"/>
          <w:lang w:val="en-US"/>
        </w:rPr>
        <w:t>.</w:t>
      </w:r>
    </w:p>
    <w:p w14:paraId="5F247E6E" w14:textId="4DFB75CE" w:rsidR="00A97E55" w:rsidRPr="00637A18" w:rsidRDefault="00A97E55" w:rsidP="001838B1">
      <w:pPr>
        <w:pStyle w:val="a4"/>
        <w:spacing w:before="0" w:beforeAutospacing="0" w:after="0" w:afterAutospacing="0"/>
        <w:ind w:firstLine="720"/>
        <w:contextualSpacing/>
        <w:jc w:val="both"/>
        <w:rPr>
          <w:sz w:val="28"/>
          <w:szCs w:val="28"/>
          <w:lang w:val="en-US"/>
        </w:rPr>
      </w:pPr>
      <w:r w:rsidRPr="008C4E0C">
        <w:rPr>
          <w:sz w:val="28"/>
          <w:szCs w:val="28"/>
          <w:lang w:val="en-US"/>
        </w:rPr>
        <w:t xml:space="preserve"> </w:t>
      </w:r>
      <w:r w:rsidRPr="00637A18">
        <w:rPr>
          <w:sz w:val="28"/>
          <w:szCs w:val="28"/>
          <w:lang w:val="en-US"/>
        </w:rPr>
        <w:t>Beyond skill acquisition, the perception that one can influence outcomes is critical. This links closely to the construct of locus of control, another psychological trait frequently associated with entrepreneurial orientation. Individuals with an internal locus of control believe that outcomes are contingent on their own efforts, decisions, and actions, while those with an external locus attribute success or failure to fate, luck, or external forces. Multiple studies demonstrate that entrepreneurs are more likely to exhibit an internal locus of control, suggesting that perceived agency is a key driver of entrepreneurial behavior</w:t>
      </w:r>
      <w:r w:rsidR="009F6D98">
        <w:rPr>
          <w:sz w:val="28"/>
          <w:szCs w:val="28"/>
          <w:lang w:val="en-US"/>
        </w:rPr>
        <w:t xml:space="preserve"> [51]. </w:t>
      </w:r>
      <w:r w:rsidRPr="00637A18">
        <w:rPr>
          <w:sz w:val="28"/>
          <w:szCs w:val="28"/>
          <w:lang w:val="en-US"/>
        </w:rPr>
        <w:t>When students operate within an environment that signals autonomy, provides decision-making opportunities, and reinforces individual initiative—as many entrepreneurial universities do—their internal locus of control may be strengthened.</w:t>
      </w:r>
    </w:p>
    <w:p w14:paraId="16132791" w14:textId="26AB488B" w:rsidR="00A97E55" w:rsidRPr="00FB126F" w:rsidRDefault="00A97E55" w:rsidP="001838B1">
      <w:pPr>
        <w:pStyle w:val="a4"/>
        <w:spacing w:before="0" w:beforeAutospacing="0" w:after="0" w:afterAutospacing="0"/>
        <w:ind w:firstLine="720"/>
        <w:contextualSpacing/>
        <w:jc w:val="both"/>
        <w:rPr>
          <w:sz w:val="28"/>
          <w:szCs w:val="28"/>
          <w:lang w:val="en-US"/>
        </w:rPr>
      </w:pPr>
      <w:r w:rsidRPr="00FB126F">
        <w:rPr>
          <w:sz w:val="28"/>
          <w:szCs w:val="28"/>
          <w:lang w:val="en-US"/>
        </w:rPr>
        <w:t xml:space="preserve">One important realization from the research is that locus of control and ESE are not natural qualities but may be developed by surrounding circumstances. Therefore, the direction of a university toward innovation and entrepreneurship—shown by courses, mentoring, peer influence, and resource availability—can significantly affect these features. </w:t>
      </w:r>
      <w:r w:rsidRPr="009F6D98">
        <w:rPr>
          <w:sz w:val="28"/>
          <w:szCs w:val="28"/>
          <w:lang w:val="en-US"/>
        </w:rPr>
        <w:t>Mustafa et al.</w:t>
      </w:r>
      <w:r w:rsidR="009F6D98">
        <w:rPr>
          <w:sz w:val="28"/>
          <w:szCs w:val="28"/>
          <w:lang w:val="en-US"/>
        </w:rPr>
        <w:t xml:space="preserve"> </w:t>
      </w:r>
      <w:r w:rsidRPr="00FB126F">
        <w:rPr>
          <w:sz w:val="28"/>
          <w:szCs w:val="28"/>
          <w:lang w:val="en-US"/>
        </w:rPr>
        <w:t>suggest how students' entrepreneurial intents are raised by university support systems, especially those that enable idea creation and validation, increasing their perceived control and belief in human agency</w:t>
      </w:r>
      <w:r w:rsidR="009F6D98">
        <w:rPr>
          <w:sz w:val="28"/>
          <w:szCs w:val="28"/>
          <w:lang w:val="en-US"/>
        </w:rPr>
        <w:t xml:space="preserve"> [52]</w:t>
      </w:r>
      <w:r w:rsidRPr="00FB126F">
        <w:rPr>
          <w:sz w:val="28"/>
          <w:szCs w:val="28"/>
          <w:lang w:val="en-US"/>
        </w:rPr>
        <w:t>. It suggests that when the university acts as an educational provider and a co-entrepreneurial actor, it facilitates both the motivational and cognitive pathways to intention formation.</w:t>
      </w:r>
    </w:p>
    <w:p w14:paraId="77E1A4D6" w14:textId="1BA6ED7C" w:rsidR="00A97E55" w:rsidRPr="00FB126F" w:rsidRDefault="00A97E55" w:rsidP="001838B1">
      <w:pPr>
        <w:pStyle w:val="a4"/>
        <w:spacing w:before="0" w:beforeAutospacing="0" w:after="0" w:afterAutospacing="0"/>
        <w:ind w:firstLine="720"/>
        <w:contextualSpacing/>
        <w:jc w:val="both"/>
        <w:rPr>
          <w:sz w:val="28"/>
          <w:szCs w:val="28"/>
          <w:lang w:val="en-US"/>
        </w:rPr>
      </w:pPr>
      <w:r w:rsidRPr="00FB126F">
        <w:rPr>
          <w:sz w:val="28"/>
          <w:szCs w:val="28"/>
          <w:lang w:val="en-US"/>
        </w:rPr>
        <w:t xml:space="preserve">The Triple Helix framework underscores this idea by emphasizing that institutional convergence—whereby universities integrate the logic of the market and policy-making—creates a structure of expectations and opportunities for entrepreneurial </w:t>
      </w:r>
      <w:proofErr w:type="spellStart"/>
      <w:r w:rsidRPr="00FB126F">
        <w:rPr>
          <w:sz w:val="28"/>
          <w:szCs w:val="28"/>
          <w:lang w:val="en-US"/>
        </w:rPr>
        <w:t>behaviour</w:t>
      </w:r>
      <w:proofErr w:type="spellEnd"/>
      <w:r w:rsidRPr="00FB126F">
        <w:rPr>
          <w:sz w:val="28"/>
          <w:szCs w:val="28"/>
          <w:lang w:val="en-US"/>
        </w:rPr>
        <w:t xml:space="preserve">. It means that the university's participation in cooperative innovation systems results in internal institutional learning and transformation as well as an outward one. Students' professional attitudes are thus shaped by this metamorphosis, especially in settings where entrepreneurship is taught, </w:t>
      </w:r>
      <w:proofErr w:type="spellStart"/>
      <w:r w:rsidRPr="00FB126F">
        <w:rPr>
          <w:sz w:val="28"/>
          <w:szCs w:val="28"/>
          <w:lang w:val="en-US"/>
        </w:rPr>
        <w:t>practised</w:t>
      </w:r>
      <w:proofErr w:type="spellEnd"/>
      <w:r w:rsidRPr="00FB126F">
        <w:rPr>
          <w:sz w:val="28"/>
          <w:szCs w:val="28"/>
          <w:lang w:val="en-US"/>
        </w:rPr>
        <w:t xml:space="preserve">, and </w:t>
      </w:r>
      <w:proofErr w:type="spellStart"/>
      <w:r w:rsidRPr="00FB126F">
        <w:rPr>
          <w:sz w:val="28"/>
          <w:szCs w:val="28"/>
          <w:lang w:val="en-US"/>
        </w:rPr>
        <w:t>honoured</w:t>
      </w:r>
      <w:proofErr w:type="spellEnd"/>
      <w:r w:rsidRPr="00FB126F">
        <w:rPr>
          <w:sz w:val="28"/>
          <w:szCs w:val="28"/>
          <w:lang w:val="en-US"/>
        </w:rPr>
        <w:t xml:space="preserve">. Research by </w:t>
      </w:r>
      <w:r w:rsidRPr="009F6D98">
        <w:rPr>
          <w:sz w:val="28"/>
          <w:szCs w:val="28"/>
          <w:lang w:val="en-US"/>
        </w:rPr>
        <w:t>Israr and Saleem</w:t>
      </w:r>
      <w:r w:rsidRPr="00FB126F">
        <w:rPr>
          <w:sz w:val="28"/>
          <w:szCs w:val="28"/>
          <w:lang w:val="en-US"/>
        </w:rPr>
        <w:t xml:space="preserve"> shows that students' ambition to work for themselves increases in line with their entrepreneurial education when ingrained in a supportive academic environment</w:t>
      </w:r>
      <w:r w:rsidR="009F6D98">
        <w:rPr>
          <w:sz w:val="28"/>
          <w:szCs w:val="28"/>
          <w:lang w:val="en-US"/>
        </w:rPr>
        <w:t xml:space="preserve"> [53]</w:t>
      </w:r>
      <w:r w:rsidRPr="00FB126F">
        <w:rPr>
          <w:sz w:val="28"/>
          <w:szCs w:val="28"/>
          <w:lang w:val="en-US"/>
        </w:rPr>
        <w:t>.</w:t>
      </w:r>
    </w:p>
    <w:p w14:paraId="267DAAAB" w14:textId="0764D6FC" w:rsidR="00A97E55" w:rsidRPr="00FB126F" w:rsidRDefault="00A97E55" w:rsidP="001838B1">
      <w:pPr>
        <w:pStyle w:val="a4"/>
        <w:spacing w:before="0" w:beforeAutospacing="0" w:after="0" w:afterAutospacing="0"/>
        <w:ind w:firstLine="720"/>
        <w:contextualSpacing/>
        <w:jc w:val="both"/>
        <w:rPr>
          <w:sz w:val="28"/>
          <w:szCs w:val="28"/>
          <w:lang w:val="en-US"/>
        </w:rPr>
      </w:pPr>
      <w:r w:rsidRPr="00FB126F">
        <w:rPr>
          <w:sz w:val="28"/>
          <w:szCs w:val="28"/>
          <w:lang w:val="en-US"/>
        </w:rPr>
        <w:t xml:space="preserve"> Furthermore, the nature of the university's contacts with government and business influences students' inclination toward entrepreneurship. Industry alliances, </w:t>
      </w:r>
      <w:r w:rsidRPr="00FB126F">
        <w:rPr>
          <w:sz w:val="28"/>
          <w:szCs w:val="28"/>
          <w:lang w:val="en-US"/>
        </w:rPr>
        <w:lastRenderedPageBreak/>
        <w:t>for example, give role models and networking chances; government programs can provide financing, policy assistance, or acknowledge student entrepreneurship. The several touchpoints produce a "field of entrepreneurial stimuli", shaping students' view of desire and opportunity feasibility</w:t>
      </w:r>
      <w:r w:rsidR="009F6D98">
        <w:rPr>
          <w:sz w:val="28"/>
          <w:szCs w:val="28"/>
          <w:lang w:val="en-US"/>
        </w:rPr>
        <w:t xml:space="preserve"> [43]. </w:t>
      </w:r>
      <w:r w:rsidRPr="00FB126F">
        <w:rPr>
          <w:sz w:val="28"/>
          <w:szCs w:val="28"/>
          <w:lang w:val="en-US"/>
        </w:rPr>
        <w:t xml:space="preserve">Crucially, this </w:t>
      </w:r>
      <w:proofErr w:type="spellStart"/>
      <w:r w:rsidRPr="00FB126F">
        <w:rPr>
          <w:sz w:val="28"/>
          <w:szCs w:val="28"/>
          <w:lang w:val="en-US"/>
        </w:rPr>
        <w:t>ecosystemic</w:t>
      </w:r>
      <w:proofErr w:type="spellEnd"/>
      <w:r w:rsidRPr="00FB126F">
        <w:rPr>
          <w:sz w:val="28"/>
          <w:szCs w:val="28"/>
          <w:lang w:val="en-US"/>
        </w:rPr>
        <w:t xml:space="preserve"> perspective suggests that entrepreneurial intention results from the interaction of personal qualities and institutional affordances rather than from a single inclination. It fits very nicely with the Triple Helix model's enlarged interpretation in which institutional and personal agencies coexist inside an innovative environment.</w:t>
      </w:r>
    </w:p>
    <w:p w14:paraId="52348DB8" w14:textId="77777777" w:rsidR="00BF073E" w:rsidRDefault="00A97E55" w:rsidP="001838B1">
      <w:pPr>
        <w:pStyle w:val="a4"/>
        <w:spacing w:before="0" w:beforeAutospacing="0" w:after="0" w:afterAutospacing="0"/>
        <w:ind w:firstLine="720"/>
        <w:contextualSpacing/>
        <w:jc w:val="both"/>
        <w:rPr>
          <w:sz w:val="28"/>
          <w:szCs w:val="28"/>
          <w:lang w:val="en-US"/>
        </w:rPr>
      </w:pPr>
      <w:r w:rsidRPr="00FB126F">
        <w:rPr>
          <w:sz w:val="28"/>
          <w:szCs w:val="28"/>
          <w:lang w:val="en-US"/>
        </w:rPr>
        <w:t xml:space="preserve">Furthermore, institutions that adopt holistic approaches to entrepreneurship education—beyond business schools and across disciplinary lines—tend to create broader participation and more robust outcomes. Such approaches reflect what </w:t>
      </w:r>
      <w:r w:rsidRPr="009F6D98">
        <w:rPr>
          <w:sz w:val="28"/>
          <w:szCs w:val="28"/>
          <w:lang w:val="en-US"/>
        </w:rPr>
        <w:t>Schmitz et al.</w:t>
      </w:r>
      <w:r w:rsidR="009F6D98">
        <w:rPr>
          <w:sz w:val="28"/>
          <w:szCs w:val="28"/>
          <w:lang w:val="en-US"/>
        </w:rPr>
        <w:t xml:space="preserve"> </w:t>
      </w:r>
      <w:r w:rsidRPr="00FB126F">
        <w:rPr>
          <w:sz w:val="28"/>
          <w:szCs w:val="28"/>
          <w:lang w:val="en-US"/>
        </w:rPr>
        <w:t>call innovation management within academic settings: the strategic alignment of institutional resources, policy, and pedagogy toward fostering innovation and entrepreneurial outcomes</w:t>
      </w:r>
      <w:r w:rsidR="009F6D98">
        <w:rPr>
          <w:sz w:val="28"/>
          <w:szCs w:val="28"/>
          <w:lang w:val="en-US"/>
        </w:rPr>
        <w:t xml:space="preserve"> [54]</w:t>
      </w:r>
      <w:r w:rsidRPr="00FB126F">
        <w:rPr>
          <w:sz w:val="28"/>
          <w:szCs w:val="28"/>
          <w:lang w:val="en-US"/>
        </w:rPr>
        <w:t>.</w:t>
      </w:r>
    </w:p>
    <w:p w14:paraId="3E091E97" w14:textId="7C1F2753" w:rsidR="00A97E55" w:rsidRPr="00637A18" w:rsidRDefault="00A97E55" w:rsidP="001838B1">
      <w:pPr>
        <w:pStyle w:val="a4"/>
        <w:spacing w:before="0" w:beforeAutospacing="0" w:after="0" w:afterAutospacing="0"/>
        <w:ind w:firstLine="720"/>
        <w:contextualSpacing/>
        <w:jc w:val="both"/>
        <w:rPr>
          <w:sz w:val="28"/>
          <w:szCs w:val="28"/>
          <w:lang w:val="en-US"/>
        </w:rPr>
      </w:pPr>
      <w:r w:rsidRPr="00FB126F">
        <w:rPr>
          <w:sz w:val="28"/>
          <w:szCs w:val="28"/>
          <w:lang w:val="en-US"/>
        </w:rPr>
        <w:t xml:space="preserve">It includes integrating interdisciplinary research, problem-based learning, and collaborative projects that mirror real-world innovation processes. In this respect, the 4Ps of innovation management—product, process, position, and paradigm—proposed by </w:t>
      </w:r>
      <w:r w:rsidRPr="00F91828">
        <w:rPr>
          <w:sz w:val="28"/>
          <w:szCs w:val="28"/>
          <w:lang w:val="en-US"/>
        </w:rPr>
        <w:t>Francis and Bessant</w:t>
      </w:r>
      <w:r w:rsidR="00F91828">
        <w:rPr>
          <w:sz w:val="28"/>
          <w:szCs w:val="28"/>
          <w:lang w:val="en-US"/>
        </w:rPr>
        <w:t xml:space="preserve"> </w:t>
      </w:r>
      <w:r w:rsidRPr="00FB126F">
        <w:rPr>
          <w:sz w:val="28"/>
          <w:szCs w:val="28"/>
          <w:lang w:val="en-US"/>
        </w:rPr>
        <w:t>provide a valuable lens for understanding how universities operationalize innovation in support of entrepreneurship</w:t>
      </w:r>
      <w:r w:rsidR="00FC73E7">
        <w:rPr>
          <w:sz w:val="28"/>
          <w:szCs w:val="28"/>
          <w:lang w:val="en-US"/>
        </w:rPr>
        <w:t xml:space="preserve"> [24]</w:t>
      </w:r>
      <w:r w:rsidRPr="00FB126F">
        <w:rPr>
          <w:sz w:val="28"/>
          <w:szCs w:val="28"/>
          <w:lang w:val="en-US"/>
        </w:rPr>
        <w:t>. In HE, for instance, a paradigm innovation might entail a move toward more experiential and entrepreneurial pedagogies, redefining innovation as a shared responsibility among the academic community.</w:t>
      </w:r>
      <w:r>
        <w:rPr>
          <w:sz w:val="28"/>
          <w:szCs w:val="28"/>
          <w:lang w:val="en-US"/>
        </w:rPr>
        <w:t xml:space="preserve"> </w:t>
      </w:r>
      <w:r w:rsidRPr="00637A18">
        <w:rPr>
          <w:sz w:val="28"/>
          <w:szCs w:val="28"/>
          <w:lang w:val="en-US"/>
        </w:rPr>
        <w:t>Universities operating under Triple Helix logics are therefore uniquely positioned to contribute to both the formation and actualization of entrepreneurial intentions. Their innovation ecosystems, organizational structures, and engagement models interact with students’ evolving sense of agency, efficacy, and orientation toward self-directed career paths. By offering opportunities for experiential learning, peer collaboration, and industry engagement, they make the idea of entrepreneurship both visible and viable to students. The cumulative effect of such environments is to increase students’ belief in their entrepreneurial capacity and their conviction that success depends on their own initiative</w:t>
      </w:r>
      <w:r w:rsidR="00B4623F">
        <w:rPr>
          <w:sz w:val="28"/>
          <w:szCs w:val="28"/>
          <w:lang w:val="en-US"/>
        </w:rPr>
        <w:t xml:space="preserve"> - </w:t>
      </w:r>
      <w:r w:rsidRPr="00637A18">
        <w:rPr>
          <w:sz w:val="28"/>
          <w:szCs w:val="28"/>
          <w:lang w:val="en-US"/>
        </w:rPr>
        <w:t>a psychological readiness that precedes and predicts entrepreneurial behavior.</w:t>
      </w:r>
    </w:p>
    <w:p w14:paraId="7EE750BB" w14:textId="230B44EF" w:rsidR="00A97E55" w:rsidRPr="00603055" w:rsidRDefault="00A97E55" w:rsidP="001838B1">
      <w:pPr>
        <w:pStyle w:val="a4"/>
        <w:spacing w:before="0" w:beforeAutospacing="0" w:after="0" w:afterAutospacing="0"/>
        <w:ind w:firstLine="720"/>
        <w:contextualSpacing/>
        <w:jc w:val="both"/>
        <w:rPr>
          <w:sz w:val="28"/>
          <w:szCs w:val="28"/>
          <w:lang w:val="en-US"/>
        </w:rPr>
      </w:pPr>
      <w:r w:rsidRPr="00603055">
        <w:rPr>
          <w:sz w:val="28"/>
          <w:szCs w:val="28"/>
          <w:lang w:val="en-US"/>
        </w:rPr>
        <w:t>Empirical data collected from numerous innovation systems align with this changing academic environment in which the institution is reinterpreted as an entrepreneurial player. In Europe, for example, regional innovation policies matched with the Triple Helix theory have often impacted the entrepreneurial transformation of universities</w:t>
      </w:r>
      <w:r w:rsidR="00F91828">
        <w:rPr>
          <w:sz w:val="28"/>
          <w:szCs w:val="28"/>
          <w:lang w:val="en-US"/>
        </w:rPr>
        <w:t xml:space="preserve"> [44]. </w:t>
      </w:r>
      <w:r w:rsidRPr="00603055">
        <w:rPr>
          <w:sz w:val="28"/>
          <w:szCs w:val="28"/>
          <w:lang w:val="en-US"/>
        </w:rPr>
        <w:t>Universities are encouraged to actively participate in commercializing research, supporting start-ups, and building innovation clusters through public funding sources, performance-based awards, and regional development programs. Universities operate as institutional middlemen and information providers in this environment, converting scholarly capital into social influence. When these institutional roles are made visible to students—through innovation hubs, guest lectures, entrepreneurship labs, or even publicized success stories—they serve as structural supports and symbolic reinforcements of entrepreneurial identity formation.</w:t>
      </w:r>
    </w:p>
    <w:p w14:paraId="0B1119E3" w14:textId="77119F81" w:rsidR="00A97E55" w:rsidRPr="00603055" w:rsidRDefault="00A97E55" w:rsidP="001838B1">
      <w:pPr>
        <w:pStyle w:val="a4"/>
        <w:spacing w:before="0" w:beforeAutospacing="0" w:after="0" w:afterAutospacing="0"/>
        <w:ind w:firstLine="720"/>
        <w:contextualSpacing/>
        <w:jc w:val="both"/>
        <w:rPr>
          <w:sz w:val="28"/>
          <w:szCs w:val="28"/>
          <w:lang w:val="en-US"/>
        </w:rPr>
      </w:pPr>
      <w:r w:rsidRPr="00603055">
        <w:rPr>
          <w:sz w:val="28"/>
          <w:szCs w:val="28"/>
          <w:lang w:val="en-US"/>
        </w:rPr>
        <w:lastRenderedPageBreak/>
        <w:t xml:space="preserve">The psychological dimension of this transformation cannot be overstated. Entrepreneurial intention research demonstrates how cognition and context interact. According </w:t>
      </w:r>
      <w:r w:rsidRPr="00BF0226">
        <w:rPr>
          <w:sz w:val="28"/>
          <w:szCs w:val="28"/>
          <w:lang w:val="en-US"/>
        </w:rPr>
        <w:t xml:space="preserve">to </w:t>
      </w:r>
      <w:proofErr w:type="spellStart"/>
      <w:r w:rsidRPr="00BF0226">
        <w:rPr>
          <w:sz w:val="28"/>
          <w:szCs w:val="28"/>
          <w:lang w:val="en-US"/>
        </w:rPr>
        <w:t>Tehseen</w:t>
      </w:r>
      <w:proofErr w:type="spellEnd"/>
      <w:r w:rsidRPr="00BF0226">
        <w:rPr>
          <w:sz w:val="28"/>
          <w:szCs w:val="28"/>
          <w:lang w:val="en-US"/>
        </w:rPr>
        <w:t xml:space="preserve"> and Arslan,</w:t>
      </w:r>
      <w:r w:rsidRPr="00603055">
        <w:rPr>
          <w:sz w:val="28"/>
          <w:szCs w:val="28"/>
          <w:lang w:val="en-US"/>
        </w:rPr>
        <w:t xml:space="preserve"> students who observe institutional support and concurrently absorb ideas on their entrepreneurial competencies develop stronger intentions for entrepreneurship</w:t>
      </w:r>
      <w:r w:rsidR="00BF0226">
        <w:rPr>
          <w:sz w:val="28"/>
          <w:szCs w:val="28"/>
          <w:lang w:val="en-US"/>
        </w:rPr>
        <w:t xml:space="preserve"> [5</w:t>
      </w:r>
      <w:r w:rsidR="00B73CC6">
        <w:rPr>
          <w:sz w:val="28"/>
          <w:szCs w:val="28"/>
          <w:lang w:val="en-US"/>
        </w:rPr>
        <w:t>5</w:t>
      </w:r>
      <w:r w:rsidR="00BF0226">
        <w:rPr>
          <w:sz w:val="28"/>
          <w:szCs w:val="28"/>
          <w:lang w:val="en-US"/>
        </w:rPr>
        <w:t>]</w:t>
      </w:r>
      <w:r w:rsidRPr="00603055">
        <w:rPr>
          <w:sz w:val="28"/>
          <w:szCs w:val="28"/>
          <w:lang w:val="en-US"/>
        </w:rPr>
        <w:t xml:space="preserve">. Their study shows that under the effect of the view of educational quality and opportunity accessibility, entrepreneurial passion and self-efficacy together affect intentions. It emphasizes the dual character of influence: the surroundings offer cues and chances; the student's views and ideas help to control how these cues are perceived and used. Similarly, </w:t>
      </w:r>
      <w:proofErr w:type="spellStart"/>
      <w:r w:rsidRPr="00BF0226">
        <w:rPr>
          <w:sz w:val="28"/>
          <w:szCs w:val="28"/>
          <w:lang w:val="en-US"/>
        </w:rPr>
        <w:t>Dinis</w:t>
      </w:r>
      <w:proofErr w:type="spellEnd"/>
      <w:r w:rsidRPr="00BF0226">
        <w:rPr>
          <w:sz w:val="28"/>
          <w:szCs w:val="28"/>
          <w:lang w:val="en-US"/>
        </w:rPr>
        <w:t xml:space="preserve"> et al.</w:t>
      </w:r>
      <w:r w:rsidR="00BF0226">
        <w:rPr>
          <w:sz w:val="28"/>
          <w:szCs w:val="28"/>
          <w:lang w:val="en-US"/>
        </w:rPr>
        <w:t xml:space="preserve"> </w:t>
      </w:r>
      <w:r w:rsidRPr="00603055">
        <w:rPr>
          <w:sz w:val="28"/>
          <w:szCs w:val="28"/>
          <w:lang w:val="en-US"/>
        </w:rPr>
        <w:t>show that students with an internal locus of control and high self-efficacy are more inclined toward entrepreneurship, but only when their educational environment reinforces those traits and offers viable paths to act on them</w:t>
      </w:r>
      <w:r w:rsidR="00BF0226">
        <w:rPr>
          <w:sz w:val="28"/>
          <w:szCs w:val="28"/>
          <w:lang w:val="en-US"/>
        </w:rPr>
        <w:t xml:space="preserve"> [51]</w:t>
      </w:r>
      <w:r w:rsidRPr="00603055">
        <w:rPr>
          <w:sz w:val="28"/>
          <w:szCs w:val="28"/>
          <w:lang w:val="en-US"/>
        </w:rPr>
        <w:t>.</w:t>
      </w:r>
    </w:p>
    <w:p w14:paraId="2A1AC7FF" w14:textId="3828AED4" w:rsidR="00A97E55" w:rsidRDefault="00A97E55" w:rsidP="001838B1">
      <w:pPr>
        <w:pStyle w:val="a4"/>
        <w:spacing w:before="0" w:beforeAutospacing="0" w:after="0" w:afterAutospacing="0"/>
        <w:ind w:firstLine="720"/>
        <w:contextualSpacing/>
        <w:jc w:val="both"/>
        <w:rPr>
          <w:sz w:val="28"/>
          <w:szCs w:val="28"/>
          <w:lang w:val="en-US"/>
        </w:rPr>
      </w:pPr>
      <w:r w:rsidRPr="00603055">
        <w:rPr>
          <w:sz w:val="28"/>
          <w:szCs w:val="28"/>
          <w:lang w:val="en-US"/>
        </w:rPr>
        <w:t xml:space="preserve">These theoretical assertions mean entrepreneurship-oriented universities must go beyond offering standalone business courses. They must integrate entrepreneurship into the broader university experience so that students across disciplines—engineering, design or the social sciences—can access and participate in innovation activities. Such democratization of entrepreneurship reflects a paradigm shift from elite to inclusive innovation models, wherein the university becomes a space for elite scientific advancement and a platform for broad-based entrepreneurial capability development. This transformation aligns with the "Mode 3" knowledge production system proposed by </w:t>
      </w:r>
      <w:proofErr w:type="spellStart"/>
      <w:r w:rsidRPr="00BF0226">
        <w:rPr>
          <w:sz w:val="28"/>
          <w:szCs w:val="28"/>
          <w:lang w:val="en-US"/>
        </w:rPr>
        <w:t>Carayannis</w:t>
      </w:r>
      <w:proofErr w:type="spellEnd"/>
      <w:r w:rsidRPr="00BF0226">
        <w:rPr>
          <w:sz w:val="28"/>
          <w:szCs w:val="28"/>
          <w:lang w:val="en-US"/>
        </w:rPr>
        <w:t xml:space="preserve"> and Campbell,</w:t>
      </w:r>
      <w:r w:rsidRPr="00603055">
        <w:rPr>
          <w:sz w:val="28"/>
          <w:szCs w:val="28"/>
          <w:lang w:val="en-US"/>
        </w:rPr>
        <w:t xml:space="preserve"> which builds upon and extends the Triple Helix model by including civil society and culture in the innovation dynamic</w:t>
      </w:r>
      <w:r w:rsidR="00BF0226">
        <w:rPr>
          <w:sz w:val="28"/>
          <w:szCs w:val="28"/>
          <w:lang w:val="en-US"/>
        </w:rPr>
        <w:t xml:space="preserve"> [47]</w:t>
      </w:r>
      <w:r w:rsidRPr="00603055">
        <w:rPr>
          <w:sz w:val="28"/>
          <w:szCs w:val="28"/>
          <w:lang w:val="en-US"/>
        </w:rPr>
        <w:t>. In this view, the entrepreneurial university becomes a central node in a multi-actor, multidimensional knowledge ecosystem that enables varied forms of entrepreneurial engagement.</w:t>
      </w:r>
    </w:p>
    <w:p w14:paraId="607753C2" w14:textId="462475EC" w:rsidR="00A97E55" w:rsidRPr="00255C1A" w:rsidRDefault="00A97E55" w:rsidP="001838B1">
      <w:pPr>
        <w:pStyle w:val="a4"/>
        <w:spacing w:before="0" w:beforeAutospacing="0" w:after="0" w:afterAutospacing="0"/>
        <w:ind w:firstLine="720"/>
        <w:contextualSpacing/>
        <w:jc w:val="both"/>
        <w:rPr>
          <w:sz w:val="28"/>
          <w:szCs w:val="28"/>
          <w:lang w:val="en-US"/>
        </w:rPr>
      </w:pPr>
      <w:r w:rsidRPr="00255C1A">
        <w:rPr>
          <w:sz w:val="28"/>
          <w:szCs w:val="28"/>
          <w:lang w:val="en-US"/>
        </w:rPr>
        <w:t>The Global University Entrepreneurial Spirit Students' Survey (GUESSS), a longitudinal project focused on entrepreneurial intentions among university students worldwide, reinforces many of these insights. The GUESSS framework conceptualizes entrepreneurial intention not merely as an outcome of personality traits but as a product of environmental stimuli, educational experiences, and perceived entrepreneurial career viability. Central to the GUESSS model is the assumption that institutional context matters: Students are more likely to develop entrepreneurial intentions when embedded in university environments that signal, support, and normalize entrepreneurship</w:t>
      </w:r>
      <w:r w:rsidR="00526949">
        <w:rPr>
          <w:sz w:val="28"/>
          <w:szCs w:val="28"/>
          <w:lang w:val="en-US"/>
        </w:rPr>
        <w:t xml:space="preserve"> [12-13]</w:t>
      </w:r>
      <w:r w:rsidRPr="00255C1A">
        <w:rPr>
          <w:sz w:val="28"/>
          <w:szCs w:val="28"/>
          <w:lang w:val="en-US"/>
        </w:rPr>
        <w:t>. This perspective directly corresponds to the Triple Helix framework, where environmental stimuli stem from internal university resources and their embeddedness in broader government and industry innovation networks.</w:t>
      </w:r>
    </w:p>
    <w:p w14:paraId="5CD51650" w14:textId="7FBE0328" w:rsidR="00A97E55" w:rsidRPr="00255C1A" w:rsidRDefault="00A97E55" w:rsidP="001838B1">
      <w:pPr>
        <w:pStyle w:val="a4"/>
        <w:spacing w:before="0" w:beforeAutospacing="0" w:after="0" w:afterAutospacing="0"/>
        <w:ind w:firstLine="720"/>
        <w:contextualSpacing/>
        <w:jc w:val="both"/>
        <w:rPr>
          <w:sz w:val="28"/>
          <w:szCs w:val="28"/>
          <w:lang w:val="en-US"/>
        </w:rPr>
      </w:pPr>
      <w:r w:rsidRPr="00255C1A">
        <w:rPr>
          <w:sz w:val="28"/>
          <w:szCs w:val="28"/>
          <w:lang w:val="en-US"/>
        </w:rPr>
        <w:t>Moreover, the GUESSS model highlights the relevance of perceived behavioral control</w:t>
      </w:r>
      <w:r w:rsidR="00B4623F">
        <w:rPr>
          <w:sz w:val="28"/>
          <w:szCs w:val="28"/>
          <w:lang w:val="en-US"/>
        </w:rPr>
        <w:t xml:space="preserve"> – </w:t>
      </w:r>
      <w:r w:rsidRPr="00255C1A">
        <w:rPr>
          <w:sz w:val="28"/>
          <w:szCs w:val="28"/>
          <w:lang w:val="en-US"/>
        </w:rPr>
        <w:t>conceptually akin to entrepreneurial self-efficacy</w:t>
      </w:r>
      <w:r w:rsidR="00B4623F">
        <w:rPr>
          <w:sz w:val="28"/>
          <w:szCs w:val="28"/>
          <w:lang w:val="en-US"/>
        </w:rPr>
        <w:t xml:space="preserve"> – </w:t>
      </w:r>
      <w:r w:rsidRPr="00255C1A">
        <w:rPr>
          <w:sz w:val="28"/>
          <w:szCs w:val="28"/>
          <w:lang w:val="en-US"/>
        </w:rPr>
        <w:t>as a key antecedent of intention. Students' sense of efficacy increases when they feel they have access to entrepreneurial support systems</w:t>
      </w:r>
      <w:r w:rsidR="00B4623F">
        <w:rPr>
          <w:sz w:val="28"/>
          <w:szCs w:val="28"/>
          <w:lang w:val="en-US"/>
        </w:rPr>
        <w:t xml:space="preserve"> – </w:t>
      </w:r>
      <w:r w:rsidRPr="00255C1A">
        <w:rPr>
          <w:sz w:val="28"/>
          <w:szCs w:val="28"/>
          <w:lang w:val="en-US"/>
        </w:rPr>
        <w:t>mentors, capital, and networks</w:t>
      </w:r>
      <w:r w:rsidR="00B4623F">
        <w:rPr>
          <w:sz w:val="28"/>
          <w:szCs w:val="28"/>
          <w:lang w:val="en-US"/>
        </w:rPr>
        <w:t xml:space="preserve"> – </w:t>
      </w:r>
      <w:r w:rsidRPr="00255C1A">
        <w:rPr>
          <w:sz w:val="28"/>
          <w:szCs w:val="28"/>
          <w:lang w:val="en-US"/>
        </w:rPr>
        <w:t xml:space="preserve">which will translate into a more intense desire to start businesses. It is consistent with the theory that observable access to resources and possibilities shapes internal belief and, hence, perceived feasibility. University policies and initiatives thus act </w:t>
      </w:r>
      <w:r w:rsidRPr="00255C1A">
        <w:rPr>
          <w:sz w:val="28"/>
          <w:szCs w:val="28"/>
          <w:lang w:val="en-US"/>
        </w:rPr>
        <w:lastRenderedPageBreak/>
        <w:t>as outside enablers influencing internal cognitive assessments. Vicarious learning and role modelling help to highlight the connection between university support and internalized ideas even more.</w:t>
      </w:r>
      <w:r>
        <w:rPr>
          <w:sz w:val="28"/>
          <w:szCs w:val="28"/>
          <w:lang w:val="en-US"/>
        </w:rPr>
        <w:t xml:space="preserve"> </w:t>
      </w:r>
      <w:r w:rsidRPr="00255C1A">
        <w:rPr>
          <w:sz w:val="28"/>
          <w:szCs w:val="28"/>
          <w:lang w:val="en-US"/>
        </w:rPr>
        <w:t>Whether peer-led companies or faculty spin-offs, success stories expose students to "entrepreneurial proximity" that helps them to see establishing a firm as more realistic.</w:t>
      </w:r>
    </w:p>
    <w:p w14:paraId="75C5D6EC" w14:textId="56ED621D" w:rsidR="00A97E55" w:rsidRPr="00255C1A" w:rsidRDefault="00A97E55" w:rsidP="001838B1">
      <w:pPr>
        <w:pStyle w:val="a4"/>
        <w:spacing w:before="0" w:beforeAutospacing="0" w:after="0" w:afterAutospacing="0"/>
        <w:ind w:firstLine="720"/>
        <w:contextualSpacing/>
        <w:jc w:val="both"/>
        <w:rPr>
          <w:sz w:val="28"/>
          <w:szCs w:val="28"/>
          <w:lang w:val="en-US"/>
        </w:rPr>
      </w:pPr>
      <w:r w:rsidRPr="00255C1A">
        <w:rPr>
          <w:sz w:val="28"/>
          <w:szCs w:val="28"/>
          <w:lang w:val="en-US"/>
        </w:rPr>
        <w:t xml:space="preserve">Another dimension emphasized in recent literature is the importance of proactive personality and opportunity alertness, both influenced by institutional context. For instance, studies </w:t>
      </w:r>
      <w:r w:rsidRPr="00BF0226">
        <w:rPr>
          <w:sz w:val="28"/>
          <w:szCs w:val="28"/>
          <w:lang w:val="en-US"/>
        </w:rPr>
        <w:t>by Hernández et al.</w:t>
      </w:r>
      <w:r w:rsidR="00BF0226">
        <w:rPr>
          <w:sz w:val="28"/>
          <w:szCs w:val="28"/>
          <w:lang w:val="en-US"/>
        </w:rPr>
        <w:t xml:space="preserve"> </w:t>
      </w:r>
      <w:r w:rsidRPr="00255C1A">
        <w:rPr>
          <w:sz w:val="28"/>
          <w:szCs w:val="28"/>
          <w:lang w:val="en-US"/>
        </w:rPr>
        <w:t>reveal that proactive students are more likely to take advantage of institutional support for entrepreneurship and translate that support into specific business ideas</w:t>
      </w:r>
      <w:r w:rsidR="00BF0226">
        <w:rPr>
          <w:sz w:val="28"/>
          <w:szCs w:val="28"/>
          <w:lang w:val="en-US"/>
        </w:rPr>
        <w:t xml:space="preserve"> [5</w:t>
      </w:r>
      <w:r w:rsidR="00B47610">
        <w:rPr>
          <w:sz w:val="28"/>
          <w:szCs w:val="28"/>
          <w:lang w:val="en-US"/>
        </w:rPr>
        <w:t>2</w:t>
      </w:r>
      <w:r w:rsidR="00BF0226">
        <w:rPr>
          <w:sz w:val="28"/>
          <w:szCs w:val="28"/>
          <w:lang w:val="en-US"/>
        </w:rPr>
        <w:t>]</w:t>
      </w:r>
      <w:r w:rsidRPr="00255C1A">
        <w:rPr>
          <w:sz w:val="28"/>
          <w:szCs w:val="28"/>
          <w:lang w:val="en-US"/>
        </w:rPr>
        <w:t xml:space="preserve">. Significantly, students' impressions of the accessibility and responsiveness of university support systems moderate this effect. Students who live in environments where entrepreneurial activities are visible, supported, and institutionalized are more likely to turn personal qualities into action, highlighting the part the university plays in influencing </w:t>
      </w:r>
      <w:proofErr w:type="spellStart"/>
      <w:r w:rsidRPr="00255C1A">
        <w:rPr>
          <w:sz w:val="28"/>
          <w:szCs w:val="28"/>
          <w:lang w:val="en-US"/>
        </w:rPr>
        <w:t>behaviour</w:t>
      </w:r>
      <w:proofErr w:type="spellEnd"/>
      <w:r w:rsidRPr="00255C1A">
        <w:rPr>
          <w:sz w:val="28"/>
          <w:szCs w:val="28"/>
          <w:lang w:val="en-US"/>
        </w:rPr>
        <w:t>.</w:t>
      </w:r>
    </w:p>
    <w:p w14:paraId="41D31019" w14:textId="34F7064B" w:rsidR="00A97E55" w:rsidRDefault="00A97E55" w:rsidP="001838B1">
      <w:pPr>
        <w:pStyle w:val="a4"/>
        <w:spacing w:before="0" w:beforeAutospacing="0" w:after="0" w:afterAutospacing="0"/>
        <w:ind w:firstLine="720"/>
        <w:contextualSpacing/>
        <w:jc w:val="both"/>
        <w:rPr>
          <w:sz w:val="28"/>
          <w:szCs w:val="28"/>
          <w:lang w:val="en-US"/>
        </w:rPr>
      </w:pPr>
      <w:r w:rsidRPr="00255C1A">
        <w:rPr>
          <w:sz w:val="28"/>
          <w:szCs w:val="28"/>
          <w:lang w:val="en-US"/>
        </w:rPr>
        <w:t xml:space="preserve"> Apart from psychological and structural aspects, cultural opinions on entrepreneurship are important. Universities that actively foster a good business culture can change expectations and social conventions. Emphasizing how perceived social approval or rejection shapes decisions, </w:t>
      </w:r>
      <w:r w:rsidRPr="00BF0226">
        <w:rPr>
          <w:sz w:val="28"/>
          <w:szCs w:val="28"/>
          <w:lang w:val="en-US"/>
        </w:rPr>
        <w:t>Ajzen's Theory</w:t>
      </w:r>
      <w:r w:rsidRPr="00255C1A">
        <w:rPr>
          <w:sz w:val="28"/>
          <w:szCs w:val="28"/>
          <w:lang w:val="en-US"/>
        </w:rPr>
        <w:t xml:space="preserve"> of Planned Behavior names subjective norms as a major predictor of intention</w:t>
      </w:r>
      <w:r w:rsidR="00BF0226">
        <w:rPr>
          <w:sz w:val="28"/>
          <w:szCs w:val="28"/>
          <w:lang w:val="en-US"/>
        </w:rPr>
        <w:t xml:space="preserve"> [48]</w:t>
      </w:r>
      <w:r w:rsidRPr="00255C1A">
        <w:rPr>
          <w:sz w:val="28"/>
          <w:szCs w:val="28"/>
          <w:lang w:val="en-US"/>
        </w:rPr>
        <w:t>. Students are more likely to absorb positive attitudes and match their job choices in settings where the institution supports entrepreneurship as a desirable, respectable, and robust career route. Events, entrepreneurial prizes, public exhibits of student firms, and even the inclusion of entrepreneurship into university branding can strengthen this cultural message. These signals together help to normalize entrepreneurship and ingrain it into the institution's character</w:t>
      </w:r>
      <w:r>
        <w:rPr>
          <w:sz w:val="28"/>
          <w:szCs w:val="28"/>
          <w:lang w:val="en-US"/>
        </w:rPr>
        <w:t xml:space="preserve"> of the </w:t>
      </w:r>
      <w:r w:rsidRPr="00255C1A">
        <w:rPr>
          <w:sz w:val="28"/>
          <w:szCs w:val="28"/>
          <w:lang w:val="en-US"/>
        </w:rPr>
        <w:t>institution</w:t>
      </w:r>
      <w:r>
        <w:rPr>
          <w:sz w:val="28"/>
          <w:szCs w:val="28"/>
          <w:lang w:val="en-US"/>
        </w:rPr>
        <w:t xml:space="preserve">. </w:t>
      </w:r>
    </w:p>
    <w:p w14:paraId="591D6C5E" w14:textId="77777777" w:rsidR="00A97E55" w:rsidRPr="00255C1A" w:rsidRDefault="00A97E55" w:rsidP="001838B1">
      <w:pPr>
        <w:pStyle w:val="a4"/>
        <w:spacing w:before="0" w:beforeAutospacing="0" w:after="0" w:afterAutospacing="0"/>
        <w:ind w:firstLine="720"/>
        <w:contextualSpacing/>
        <w:jc w:val="both"/>
        <w:rPr>
          <w:sz w:val="28"/>
          <w:szCs w:val="28"/>
          <w:lang w:val="en-US"/>
        </w:rPr>
      </w:pPr>
      <w:r w:rsidRPr="00255C1A">
        <w:rPr>
          <w:sz w:val="28"/>
          <w:szCs w:val="28"/>
          <w:lang w:val="en-US"/>
        </w:rPr>
        <w:t>The interplay of structural, cognitive, and cultural elements highlights the intricacy of intention development and the necessity for multilevel research. The THM provides an extensive structure for comprehending the interactions among these levels. At the macro level, policy and governance frameworks influence the incentive landscape for institutions. At the meso level, universities comprehend and execute these incentives through institutional strategies, structures, and activities. At the micro level, students interact with various institutional offerings, assess them based on their attributes, and develop goals according to perceived pull and viability. Within this multilevel structure, self-efficacy and locus of control operate as mediators, translating environmental attributes into personal motivation and behavioral intention.</w:t>
      </w:r>
    </w:p>
    <w:p w14:paraId="58D33175" w14:textId="77777777" w:rsidR="00A97E55" w:rsidRDefault="00A97E55" w:rsidP="001838B1">
      <w:pPr>
        <w:pStyle w:val="a4"/>
        <w:spacing w:before="0" w:beforeAutospacing="0" w:after="0" w:afterAutospacing="0"/>
        <w:ind w:firstLine="720"/>
        <w:contextualSpacing/>
        <w:jc w:val="both"/>
        <w:rPr>
          <w:sz w:val="28"/>
          <w:szCs w:val="28"/>
          <w:lang w:val="en-US"/>
        </w:rPr>
      </w:pPr>
      <w:r w:rsidRPr="00255C1A">
        <w:rPr>
          <w:sz w:val="28"/>
          <w:szCs w:val="28"/>
          <w:lang w:val="en-US"/>
        </w:rPr>
        <w:t xml:space="preserve">This framework provides a strong justification for empirical investigation into the moderating roles of entrepreneurial self-efficacy and locus of control in the relationship between the university environment and entrepreneurial intention. The GUESSS project data indicates that students from various institutions and countries exhibit considerable variation in their entrepreneurial ambitions, which are closely linked to perceived institutional support and psychological predispositions. A robust theoretical model must account for institutional variation (e.g., differences in </w:t>
      </w:r>
      <w:r w:rsidRPr="00255C1A">
        <w:rPr>
          <w:sz w:val="28"/>
          <w:szCs w:val="28"/>
          <w:lang w:val="en-US"/>
        </w:rPr>
        <w:lastRenderedPageBreak/>
        <w:t>entrepreneurial education, incubation facilities, and industry partnerships) and individual-level variation (e.g., confidence, control beliefs, risk orientation). By incorporating the Triple Helix perspective, such models can better capture how system-level structures and student-level cognition co-produce entrepreneurial intent.</w:t>
      </w:r>
    </w:p>
    <w:p w14:paraId="391D3124" w14:textId="5373E454" w:rsidR="00A97E55" w:rsidRPr="007C1440" w:rsidRDefault="00A97E55" w:rsidP="001838B1">
      <w:pPr>
        <w:pStyle w:val="a4"/>
        <w:spacing w:before="0" w:beforeAutospacing="0" w:after="0" w:afterAutospacing="0"/>
        <w:ind w:firstLine="720"/>
        <w:contextualSpacing/>
        <w:jc w:val="both"/>
        <w:rPr>
          <w:sz w:val="28"/>
          <w:szCs w:val="28"/>
          <w:lang w:val="en-US"/>
        </w:rPr>
      </w:pPr>
      <w:r w:rsidRPr="007C1440">
        <w:rPr>
          <w:sz w:val="28"/>
          <w:szCs w:val="28"/>
          <w:lang w:val="en-US"/>
        </w:rPr>
        <w:t xml:space="preserve">The theoretical justification for examining these relationships is further reinforced by the consistent evidence across contexts that suggests a positive correlation between self-efficacy and entrepreneurial intention. </w:t>
      </w:r>
      <w:proofErr w:type="spellStart"/>
      <w:r w:rsidRPr="00BF0226">
        <w:rPr>
          <w:sz w:val="28"/>
          <w:szCs w:val="28"/>
          <w:lang w:val="en-US"/>
        </w:rPr>
        <w:t>Tehseen</w:t>
      </w:r>
      <w:proofErr w:type="spellEnd"/>
      <w:r w:rsidRPr="00BF0226">
        <w:rPr>
          <w:sz w:val="28"/>
          <w:szCs w:val="28"/>
          <w:lang w:val="en-US"/>
        </w:rPr>
        <w:t xml:space="preserve"> and Arslan</w:t>
      </w:r>
      <w:r w:rsidR="00BF0226">
        <w:rPr>
          <w:sz w:val="28"/>
          <w:szCs w:val="28"/>
          <w:lang w:val="en-US"/>
        </w:rPr>
        <w:t xml:space="preserve"> </w:t>
      </w:r>
      <w:r w:rsidRPr="007C1440">
        <w:rPr>
          <w:sz w:val="28"/>
          <w:szCs w:val="28"/>
          <w:lang w:val="en-US"/>
        </w:rPr>
        <w:t>identify entrepreneurial self-efficacy as a central psychological resource that can be cultivated through education and institutional experience</w:t>
      </w:r>
      <w:r w:rsidR="00BF0226">
        <w:rPr>
          <w:sz w:val="28"/>
          <w:szCs w:val="28"/>
          <w:lang w:val="en-US"/>
        </w:rPr>
        <w:t xml:space="preserve"> [5</w:t>
      </w:r>
      <w:r w:rsidR="00B47610">
        <w:rPr>
          <w:sz w:val="28"/>
          <w:szCs w:val="28"/>
          <w:lang w:val="en-US"/>
        </w:rPr>
        <w:t>5</w:t>
      </w:r>
      <w:r w:rsidR="00BF0226">
        <w:rPr>
          <w:sz w:val="28"/>
          <w:szCs w:val="28"/>
          <w:lang w:val="en-US"/>
        </w:rPr>
        <w:t>]</w:t>
      </w:r>
      <w:r w:rsidRPr="007C1440">
        <w:rPr>
          <w:sz w:val="28"/>
          <w:szCs w:val="28"/>
          <w:lang w:val="en-US"/>
        </w:rPr>
        <w:t>. Their study finds that students who participate in hands-on entrepreneurial activities—such as venture simulations, pitch competitions, and accelerator programs—report significantly higher self-efficacy, predicting higher entrepreneurial intentions. This causal pathway illustrates how university-provided experiences influence internal dispositions, making self-efficacy both an outcome of context and a predictor of intention.</w:t>
      </w:r>
    </w:p>
    <w:p w14:paraId="2FF3118A" w14:textId="58F3BCEC" w:rsidR="00A97E55" w:rsidRDefault="00A97E55" w:rsidP="001838B1">
      <w:pPr>
        <w:pStyle w:val="a4"/>
        <w:spacing w:before="0" w:beforeAutospacing="0" w:after="0" w:afterAutospacing="0"/>
        <w:ind w:firstLine="720"/>
        <w:contextualSpacing/>
        <w:jc w:val="both"/>
        <w:rPr>
          <w:sz w:val="28"/>
          <w:szCs w:val="28"/>
          <w:lang w:val="en-US"/>
        </w:rPr>
      </w:pPr>
      <w:r w:rsidRPr="007C1440">
        <w:rPr>
          <w:sz w:val="28"/>
          <w:szCs w:val="28"/>
          <w:lang w:val="en-US"/>
        </w:rPr>
        <w:t>Similarly, locus of control has been found to moderate the relationship between university context and entrepreneurial behavior. Students who perceive that their actions can determine results are more likely to respond positively to entrepreneurial opportunities presented by their institutions</w:t>
      </w:r>
      <w:r w:rsidRPr="002537C4">
        <w:rPr>
          <w:sz w:val="28"/>
          <w:szCs w:val="28"/>
          <w:lang w:val="en-US"/>
        </w:rPr>
        <w:t>.</w:t>
      </w:r>
      <w:r w:rsidR="002537C4">
        <w:rPr>
          <w:sz w:val="28"/>
          <w:szCs w:val="28"/>
          <w:lang w:val="en-US"/>
        </w:rPr>
        <w:t xml:space="preserve"> </w:t>
      </w:r>
      <w:proofErr w:type="spellStart"/>
      <w:r w:rsidRPr="002537C4">
        <w:rPr>
          <w:sz w:val="28"/>
          <w:szCs w:val="28"/>
          <w:lang w:val="en-US"/>
        </w:rPr>
        <w:t>Dinis</w:t>
      </w:r>
      <w:proofErr w:type="spellEnd"/>
      <w:r w:rsidRPr="002537C4">
        <w:rPr>
          <w:sz w:val="28"/>
          <w:szCs w:val="28"/>
          <w:lang w:val="en-US"/>
        </w:rPr>
        <w:t xml:space="preserve"> et al.</w:t>
      </w:r>
      <w:r w:rsidR="002537C4">
        <w:rPr>
          <w:sz w:val="28"/>
          <w:szCs w:val="28"/>
          <w:lang w:val="en-US"/>
        </w:rPr>
        <w:t xml:space="preserve"> </w:t>
      </w:r>
      <w:r w:rsidRPr="007C1440">
        <w:rPr>
          <w:sz w:val="28"/>
          <w:szCs w:val="28"/>
          <w:lang w:val="en-US"/>
        </w:rPr>
        <w:t>show that students with an internal locus of control are more likely to perceive entrepreneurial activities as achievable and to pursue them with commitment</w:t>
      </w:r>
      <w:r w:rsidR="002537C4">
        <w:rPr>
          <w:sz w:val="28"/>
          <w:szCs w:val="28"/>
          <w:lang w:val="en-US"/>
        </w:rPr>
        <w:t xml:space="preserve"> [51]</w:t>
      </w:r>
      <w:r w:rsidRPr="007C1440">
        <w:rPr>
          <w:sz w:val="28"/>
          <w:szCs w:val="28"/>
          <w:lang w:val="en-US"/>
        </w:rPr>
        <w:t>. This conviction in personal action is essential in entrepreneurial environments marked by uncertainty and ambiguity, where external indicators of success are frequently postponed or nonexistent. Universities that equip students for this reality through structured reflection, resilience training, and exposure to narratives of entrepreneurial failure can enhance students' feeling of agency and preparedness to act.</w:t>
      </w:r>
    </w:p>
    <w:p w14:paraId="1AF49E59" w14:textId="77777777" w:rsidR="00A97E55" w:rsidRPr="007C1440" w:rsidRDefault="00A97E55" w:rsidP="001838B1">
      <w:pPr>
        <w:pStyle w:val="a4"/>
        <w:spacing w:before="0" w:beforeAutospacing="0" w:after="0" w:afterAutospacing="0"/>
        <w:ind w:firstLine="720"/>
        <w:contextualSpacing/>
        <w:jc w:val="both"/>
        <w:rPr>
          <w:sz w:val="28"/>
          <w:szCs w:val="28"/>
          <w:lang w:val="en-US"/>
        </w:rPr>
      </w:pPr>
      <w:r w:rsidRPr="007C1440">
        <w:rPr>
          <w:sz w:val="28"/>
          <w:szCs w:val="28"/>
          <w:lang w:val="en-US"/>
        </w:rPr>
        <w:t>It is vital to acknowledge that entrepreneurial attributes like self-efficacy and internal LOC are significant but not definitive.  The academic atmosphere is a catalyst that either stimulates or suppresses these tendencies.  A student with significant entrepreneurial potential may refrain from initiating a firm if the university does not provide evident entrepreneurship pathways or the overarching institutional culture disparages failure.  Conversely, students with modest confidence may be motivated to engage in entrepreneurship if the university setting offers organized prospects and fosters a culture of support.  It underlines the interdependent connection between individual agents and institutional structure, central to the THM.</w:t>
      </w:r>
    </w:p>
    <w:p w14:paraId="356B6D30" w14:textId="77777777" w:rsidR="00A97E55" w:rsidRDefault="00A97E55" w:rsidP="001838B1">
      <w:pPr>
        <w:pStyle w:val="a4"/>
        <w:spacing w:before="0" w:beforeAutospacing="0" w:after="0" w:afterAutospacing="0"/>
        <w:ind w:firstLine="720"/>
        <w:contextualSpacing/>
        <w:jc w:val="both"/>
        <w:rPr>
          <w:sz w:val="28"/>
          <w:szCs w:val="28"/>
          <w:lang w:val="en-US"/>
        </w:rPr>
      </w:pPr>
      <w:r w:rsidRPr="007C1440">
        <w:rPr>
          <w:sz w:val="28"/>
          <w:szCs w:val="28"/>
          <w:lang w:val="en-US"/>
        </w:rPr>
        <w:t xml:space="preserve"> By understanding this relationship, universities can develop more effective strategies to foster entrepreneurship.   Rather than counting solely on courses, they can create comprehensive ecosystems that include mentorship networks, seed funding (start-ups), co-working spaces (business incubators), and interdisciplinary collaboration.   These elements provide substantial assistance while simultaneously imparting important cultural messages about the significance of entrepreneurship.   They convert entrepreneurship into a concrete experience instead of only an abstract </w:t>
      </w:r>
      <w:r w:rsidRPr="007C1440">
        <w:rPr>
          <w:sz w:val="28"/>
          <w:szCs w:val="28"/>
          <w:lang w:val="en-US"/>
        </w:rPr>
        <w:lastRenderedPageBreak/>
        <w:t>concept.  When students perceive entrepreneurship as tangible, supported, and esteemed, their confidence and internal LOC will likely increase, resulting in enhanced entrepreneurial intents.</w:t>
      </w:r>
    </w:p>
    <w:p w14:paraId="75488E65" w14:textId="77777777" w:rsidR="00A97E55" w:rsidRPr="00AF5A25" w:rsidRDefault="00A97E55" w:rsidP="001838B1">
      <w:pPr>
        <w:pStyle w:val="a4"/>
        <w:spacing w:before="0" w:beforeAutospacing="0" w:after="0" w:afterAutospacing="0"/>
        <w:ind w:firstLine="720"/>
        <w:contextualSpacing/>
        <w:jc w:val="both"/>
        <w:rPr>
          <w:sz w:val="28"/>
          <w:szCs w:val="28"/>
          <w:lang w:val="en-US"/>
        </w:rPr>
      </w:pPr>
      <w:r w:rsidRPr="00AF5A25">
        <w:rPr>
          <w:sz w:val="28"/>
          <w:szCs w:val="28"/>
          <w:lang w:val="en-US"/>
        </w:rPr>
        <w:t>This logic culminates in a theoretical framework wherein the university—structured around Triple Helix principles—acts as both a source of opportunity and a builder of individual capability. The interaction between institutional support and individual psychological capital becomes the key to understanding how entrepreneurial intentions are formed. Entrepreneurial self-efficacy and locus of control mediate this process, linking the environmental stimuli to cognitive and motivational readiness for entrepreneurship. By focusing on these constructs, empirical research can illuminate the pathways through which university context translates into entrepreneurial aspiration.</w:t>
      </w:r>
    </w:p>
    <w:p w14:paraId="7B8BAF3A" w14:textId="45291630" w:rsidR="00A97E55" w:rsidRPr="00AF5A25" w:rsidRDefault="00A97E55" w:rsidP="001838B1">
      <w:pPr>
        <w:pStyle w:val="a4"/>
        <w:spacing w:before="0" w:beforeAutospacing="0" w:after="0" w:afterAutospacing="0"/>
        <w:ind w:firstLine="720"/>
        <w:contextualSpacing/>
        <w:jc w:val="both"/>
        <w:rPr>
          <w:sz w:val="28"/>
          <w:szCs w:val="28"/>
          <w:lang w:val="en-US"/>
        </w:rPr>
      </w:pPr>
      <w:r w:rsidRPr="00AF5A25">
        <w:rPr>
          <w:sz w:val="28"/>
          <w:szCs w:val="28"/>
          <w:lang w:val="en-US"/>
        </w:rPr>
        <w:t xml:space="preserve">The capacity of universities to stimulate entrepreneurial intention is thus a function of educational content, institutional configuration, and ecosystem engagement. A university embedded in the Triple Helix system—through active collaboration with industry and alignment with public innovation agendas—can generate economic outputs and transformative effects on its student body. Collaboration with industry provides insight into real challenges, fosters innovation-driven education, and facilitates applied research opportunities. It offers students firsthand insight into entrepreneurial activity. Research by </w:t>
      </w:r>
      <w:r w:rsidRPr="002537C4">
        <w:rPr>
          <w:sz w:val="28"/>
          <w:szCs w:val="28"/>
          <w:lang w:val="en-US"/>
        </w:rPr>
        <w:t>Popescu et al.</w:t>
      </w:r>
      <w:r w:rsidR="002537C4">
        <w:rPr>
          <w:sz w:val="28"/>
          <w:szCs w:val="28"/>
          <w:lang w:val="en-US"/>
        </w:rPr>
        <w:t xml:space="preserve"> </w:t>
      </w:r>
      <w:r w:rsidRPr="00AF5A25">
        <w:rPr>
          <w:sz w:val="28"/>
          <w:szCs w:val="28"/>
          <w:lang w:val="en-US"/>
        </w:rPr>
        <w:t>demonstrates that students in institutions with strong external engagement possess heightened entrepreneurial aspirations, generally ascribed to improved perceived feasibility and value associated with entrepreneurial professions</w:t>
      </w:r>
      <w:r w:rsidR="002537C4">
        <w:rPr>
          <w:sz w:val="28"/>
          <w:szCs w:val="28"/>
          <w:lang w:val="en-US"/>
        </w:rPr>
        <w:t xml:space="preserve"> [5</w:t>
      </w:r>
      <w:r w:rsidR="00B73CC6">
        <w:rPr>
          <w:sz w:val="28"/>
          <w:szCs w:val="28"/>
          <w:lang w:val="en-US"/>
        </w:rPr>
        <w:t>6</w:t>
      </w:r>
      <w:r w:rsidR="002537C4">
        <w:rPr>
          <w:sz w:val="28"/>
          <w:szCs w:val="28"/>
          <w:lang w:val="en-US"/>
        </w:rPr>
        <w:t>]</w:t>
      </w:r>
      <w:r w:rsidRPr="00AF5A25">
        <w:rPr>
          <w:sz w:val="28"/>
          <w:szCs w:val="28"/>
          <w:lang w:val="en-US"/>
        </w:rPr>
        <w:t>.</w:t>
      </w:r>
    </w:p>
    <w:p w14:paraId="38CE2BB2" w14:textId="77777777" w:rsidR="00A97E55" w:rsidRDefault="00A97E55" w:rsidP="001838B1">
      <w:pPr>
        <w:pStyle w:val="a4"/>
        <w:spacing w:before="0" w:beforeAutospacing="0" w:after="0" w:afterAutospacing="0"/>
        <w:ind w:firstLine="720"/>
        <w:contextualSpacing/>
        <w:jc w:val="both"/>
        <w:rPr>
          <w:sz w:val="28"/>
          <w:szCs w:val="28"/>
          <w:lang w:val="en-US"/>
        </w:rPr>
      </w:pPr>
      <w:r w:rsidRPr="00AF5A25">
        <w:rPr>
          <w:sz w:val="28"/>
          <w:szCs w:val="28"/>
          <w:lang w:val="en-US"/>
        </w:rPr>
        <w:t xml:space="preserve"> The institutional focus on entrepreneurship, innovation, and cross-sector collaboration shapes students' perceptions of their abilities and definitions of success and career aspirations. Where universities celebrate start-up successes, recognize entrepreneurial achievements alongside academic ones, and embed entrepreneurship within disciplinary discourse, they construct new norms of aspiration. These norms influence Ajzen's "subjective norms" dimension by shaping students' perceptions of what is socially approved or expected. In such an environment, developing a start-up may attain the same legitimacy and institutional support as entering academic or corporate employment. The broadening of perceived employment options increases the attractiveness of entrepreneurial endeavors, mainly when supported by prominent role models and peer stories.</w:t>
      </w:r>
    </w:p>
    <w:p w14:paraId="586F2D98" w14:textId="63AAAA3A" w:rsidR="00A97E55" w:rsidRPr="00AF5A25" w:rsidRDefault="00A97E55" w:rsidP="001838B1">
      <w:pPr>
        <w:pStyle w:val="a4"/>
        <w:spacing w:before="0" w:beforeAutospacing="0" w:after="0" w:afterAutospacing="0"/>
        <w:ind w:firstLine="720"/>
        <w:contextualSpacing/>
        <w:jc w:val="both"/>
        <w:rPr>
          <w:sz w:val="28"/>
          <w:szCs w:val="28"/>
          <w:lang w:val="en-US"/>
        </w:rPr>
      </w:pPr>
      <w:r w:rsidRPr="00AF5A25">
        <w:rPr>
          <w:sz w:val="28"/>
          <w:szCs w:val="28"/>
          <w:lang w:val="en-US"/>
        </w:rPr>
        <w:t>This institutional effect is typically more concentrated when students recognize congruence among beliefs, support networks, and personal ambitions. Research indicates that congruence between students' intrinsic motivations and the institution's cultural and structural provisions leads to more enduring intentions</w:t>
      </w:r>
      <w:r w:rsidR="002537C4">
        <w:rPr>
          <w:sz w:val="28"/>
          <w:szCs w:val="28"/>
          <w:lang w:val="en-US"/>
        </w:rPr>
        <w:t xml:space="preserve"> [5</w:t>
      </w:r>
      <w:r w:rsidR="00B73CC6">
        <w:rPr>
          <w:sz w:val="28"/>
          <w:szCs w:val="28"/>
          <w:lang w:val="en-US"/>
        </w:rPr>
        <w:t>7</w:t>
      </w:r>
      <w:r w:rsidR="002537C4">
        <w:rPr>
          <w:sz w:val="28"/>
          <w:szCs w:val="28"/>
          <w:lang w:val="en-US"/>
        </w:rPr>
        <w:t xml:space="preserve">]. </w:t>
      </w:r>
      <w:r w:rsidRPr="00AF5A25">
        <w:rPr>
          <w:sz w:val="28"/>
          <w:szCs w:val="28"/>
          <w:lang w:val="en-US"/>
        </w:rPr>
        <w:t xml:space="preserve">In this way, entrepreneurial universities attract and activate potential entrepreneurs by bridging personal agency with systemic opportunity. This process makes the study of self-efficacy and locus of control within entrepreneurial environments both theoretically and practically vital. These constructs serve as points of alignment—or misalignment—between the student and the university environment. Where there is </w:t>
      </w:r>
      <w:r w:rsidRPr="00AF5A25">
        <w:rPr>
          <w:sz w:val="28"/>
          <w:szCs w:val="28"/>
          <w:lang w:val="en-US"/>
        </w:rPr>
        <w:lastRenderedPageBreak/>
        <w:t>congruence, intentions flourish; where there is dissonance, aspirations may recede despite institutional support.</w:t>
      </w:r>
    </w:p>
    <w:p w14:paraId="3C350992" w14:textId="77777777" w:rsidR="00A97E55" w:rsidRDefault="00A97E55" w:rsidP="001838B1">
      <w:pPr>
        <w:pStyle w:val="a4"/>
        <w:spacing w:before="0" w:beforeAutospacing="0" w:after="0" w:afterAutospacing="0"/>
        <w:ind w:firstLine="720"/>
        <w:contextualSpacing/>
        <w:jc w:val="both"/>
        <w:rPr>
          <w:sz w:val="28"/>
          <w:szCs w:val="28"/>
          <w:lang w:val="en-US"/>
        </w:rPr>
      </w:pPr>
      <w:r w:rsidRPr="00AF5A25">
        <w:rPr>
          <w:sz w:val="28"/>
          <w:szCs w:val="28"/>
          <w:lang w:val="en-US"/>
        </w:rPr>
        <w:t>Analyzing the evolution of entrepreneurial self-efficacy necessitates understanding how feedback mechanisms within academic settings foster confidence enhancement. A student engaged in a university-sponsored incubator, receiving mentorship, financing, and validation, is more likely to cultivate technical skills and self-confidence. This sense of capability often translates into action readiness; a concept echoed in GUESSS-based studies, which note that perceived entrepreneurial competence mediates the relationship between entrepreneurial education and intention formation. Similarly, a positive university environment may contribute to an internal locus of control by reinforcing that student-driven initiative leads to tangible outcomes. Whether through startup showcases, pitch competitions, or entrepreneurship internships, the consistent message becomes: "You are in control of what you build here." These experiential affirmations are critical in building the psychological foundation for intention.</w:t>
      </w:r>
    </w:p>
    <w:p w14:paraId="59BCE859" w14:textId="5F3C94C6" w:rsidR="00A97E55" w:rsidRPr="00AF5A25" w:rsidRDefault="00A97E55" w:rsidP="001838B1">
      <w:pPr>
        <w:pStyle w:val="a4"/>
        <w:spacing w:before="0" w:beforeAutospacing="0" w:after="0" w:afterAutospacing="0"/>
        <w:ind w:firstLine="720"/>
        <w:contextualSpacing/>
        <w:jc w:val="both"/>
        <w:rPr>
          <w:sz w:val="28"/>
          <w:szCs w:val="28"/>
          <w:lang w:val="en-US"/>
        </w:rPr>
      </w:pPr>
      <w:r w:rsidRPr="00AF5A25">
        <w:rPr>
          <w:sz w:val="28"/>
          <w:szCs w:val="28"/>
          <w:lang w:val="en-US"/>
        </w:rPr>
        <w:t xml:space="preserve">Furthermore, </w:t>
      </w:r>
      <w:proofErr w:type="gramStart"/>
      <w:r w:rsidRPr="00AF5A25">
        <w:rPr>
          <w:sz w:val="28"/>
          <w:szCs w:val="28"/>
          <w:lang w:val="en-US"/>
        </w:rPr>
        <w:t>an</w:t>
      </w:r>
      <w:proofErr w:type="gramEnd"/>
      <w:r w:rsidRPr="00AF5A25">
        <w:rPr>
          <w:sz w:val="28"/>
          <w:szCs w:val="28"/>
          <w:lang w:val="en-US"/>
        </w:rPr>
        <w:t xml:space="preserve"> study of institutional architecture in TH-aligned universities uncovers intentional methods for augmenting entrepreneurial capacity.  Numerous schools have been integrating interdisciplinary entrepreneurship education throughout faculties, acknowledging that innovation transcends the boundaries of business and engineering. Universities are fostering a broader base of entrepreneurial thinkers and actors by integrating entrepreneurial thinking into health sciences, education, design, and the humanities. This reflects a paradigm innovation—one of </w:t>
      </w:r>
      <w:r w:rsidRPr="002537C4">
        <w:rPr>
          <w:sz w:val="28"/>
          <w:szCs w:val="28"/>
          <w:lang w:val="en-US"/>
        </w:rPr>
        <w:t>Francis and Bessant’s</w:t>
      </w:r>
      <w:r w:rsidRPr="00AF5A25">
        <w:rPr>
          <w:sz w:val="28"/>
          <w:szCs w:val="28"/>
          <w:lang w:val="en-US"/>
        </w:rPr>
        <w:t xml:space="preserve"> four Ps of innovation—where the underlying model of what constitutes entrepreneurial activity is broadened</w:t>
      </w:r>
      <w:r w:rsidR="00FC73E7">
        <w:rPr>
          <w:sz w:val="28"/>
          <w:szCs w:val="28"/>
          <w:lang w:val="en-US"/>
        </w:rPr>
        <w:t xml:space="preserve"> [24]</w:t>
      </w:r>
      <w:r w:rsidRPr="00AF5A25">
        <w:rPr>
          <w:sz w:val="28"/>
          <w:szCs w:val="28"/>
          <w:lang w:val="en-US"/>
        </w:rPr>
        <w:t>. Students revealed to inclusive and expanding models may be more inclined to view entrepreneurship as pertinent, attainable, and socially endorsed.</w:t>
      </w:r>
    </w:p>
    <w:p w14:paraId="3F2A9505" w14:textId="77777777" w:rsidR="00A97E55" w:rsidRDefault="00A97E55" w:rsidP="001838B1">
      <w:pPr>
        <w:pStyle w:val="a4"/>
        <w:spacing w:before="0" w:beforeAutospacing="0" w:after="0" w:afterAutospacing="0"/>
        <w:ind w:firstLine="720"/>
        <w:contextualSpacing/>
        <w:jc w:val="both"/>
        <w:rPr>
          <w:sz w:val="28"/>
          <w:szCs w:val="28"/>
          <w:lang w:val="en-US"/>
        </w:rPr>
      </w:pPr>
      <w:r w:rsidRPr="00AF5A25">
        <w:rPr>
          <w:sz w:val="28"/>
          <w:szCs w:val="28"/>
          <w:lang w:val="en-US"/>
        </w:rPr>
        <w:t xml:space="preserve"> It is essential to recognize that institutional power manifests over time.  Prolonged exposure to supportive, opportunity-abundant situations can have cumulative impacts on self-confidence and beliefs in personal agency.  A student who experiences entrepreneurship-related learning and engagement consistently over their academic career may demonstrate higher intention formation than one who engages only sporadically. This underlines the significance of continuous and structured entrepreneurial involvement, which entrepreneurial universities aim to deliver through advanced programming, mentorship frameworks, and increasingly cohesive experiential education.</w:t>
      </w:r>
    </w:p>
    <w:p w14:paraId="5FA3AFDD" w14:textId="77777777" w:rsidR="00A97E55" w:rsidRPr="00A55116" w:rsidRDefault="00A97E55" w:rsidP="001838B1">
      <w:pPr>
        <w:pStyle w:val="a4"/>
        <w:spacing w:before="0" w:beforeAutospacing="0" w:after="0" w:afterAutospacing="0"/>
        <w:ind w:firstLine="720"/>
        <w:contextualSpacing/>
        <w:jc w:val="both"/>
        <w:rPr>
          <w:sz w:val="28"/>
          <w:szCs w:val="28"/>
          <w:lang w:val="en-US"/>
        </w:rPr>
      </w:pPr>
      <w:r w:rsidRPr="00A55116">
        <w:rPr>
          <w:sz w:val="28"/>
          <w:szCs w:val="28"/>
          <w:lang w:val="en-US"/>
        </w:rPr>
        <w:t xml:space="preserve">The literature also suggests that ecosystem partnerships extend the influence of the university beyond its physical boundaries. For example, partnerships with innovation districts, accelerators, civic organizations, and global venture networks create extended opportunity structures for students. These collaborations, consistent with the Triple Helix notion of functional convergence, enable students to experiment, refine, and expand their concepts inside genuine entrepreneurial settings.  This external validation bolsters internal convictions, as students obtain input not only from instructors but also from actual stakeholders, investors, and consumers. </w:t>
      </w:r>
    </w:p>
    <w:p w14:paraId="259EA354" w14:textId="77777777" w:rsidR="00A97E55" w:rsidRPr="00A55116" w:rsidRDefault="00A97E55" w:rsidP="001838B1">
      <w:pPr>
        <w:pStyle w:val="a4"/>
        <w:spacing w:before="0" w:beforeAutospacing="0" w:after="0" w:afterAutospacing="0"/>
        <w:ind w:firstLine="720"/>
        <w:contextualSpacing/>
        <w:jc w:val="both"/>
        <w:rPr>
          <w:sz w:val="28"/>
          <w:szCs w:val="28"/>
          <w:lang w:val="en-US"/>
        </w:rPr>
      </w:pPr>
      <w:r w:rsidRPr="00A55116">
        <w:rPr>
          <w:sz w:val="28"/>
          <w:szCs w:val="28"/>
          <w:lang w:val="en-US"/>
        </w:rPr>
        <w:lastRenderedPageBreak/>
        <w:t>The bridging of academic and applied settings thus becomes a powerful catalyst for intention formation.</w:t>
      </w:r>
    </w:p>
    <w:p w14:paraId="51EC9286" w14:textId="77777777" w:rsidR="00A97E55" w:rsidRDefault="00A97E55" w:rsidP="001838B1">
      <w:pPr>
        <w:pStyle w:val="a4"/>
        <w:spacing w:before="0" w:beforeAutospacing="0" w:after="0" w:afterAutospacing="0"/>
        <w:ind w:firstLine="720"/>
        <w:contextualSpacing/>
        <w:jc w:val="both"/>
        <w:rPr>
          <w:sz w:val="28"/>
          <w:szCs w:val="28"/>
          <w:lang w:val="en-US"/>
        </w:rPr>
      </w:pPr>
      <w:r w:rsidRPr="00A55116">
        <w:rPr>
          <w:sz w:val="28"/>
          <w:szCs w:val="28"/>
          <w:lang w:val="en-US"/>
        </w:rPr>
        <w:t>Another critical dimension is failure framing. Entrepreneurial universities that promote a growth mindset and view failure as a learning opportunity—rather than as disqualification—help students to develop psychological resilience, which is closely linked to both self-efficacy and internal locus of control. By incorporating tales of entrepreneurial failure and recovery into curricula, and by highlighting examples of resilience, institutions can assist students in reconceptualizing setbacks as growth milestones. This has a dual effect: it reinforces internal control beliefs (as students come to see success as linked to effort and learning), and it sustains intention in the face of uncertainty, which is a hallmark of entrepreneurial contexts.</w:t>
      </w:r>
    </w:p>
    <w:p w14:paraId="7E253D8D" w14:textId="77777777" w:rsidR="00AD6678" w:rsidRDefault="00A97E55" w:rsidP="001838B1">
      <w:pPr>
        <w:pStyle w:val="a4"/>
        <w:spacing w:before="0" w:beforeAutospacing="0" w:after="0" w:afterAutospacing="0"/>
        <w:ind w:firstLine="720"/>
        <w:contextualSpacing/>
        <w:jc w:val="both"/>
        <w:rPr>
          <w:sz w:val="28"/>
          <w:szCs w:val="28"/>
          <w:lang w:val="en-US"/>
        </w:rPr>
      </w:pPr>
      <w:r w:rsidRPr="00A55116">
        <w:rPr>
          <w:sz w:val="28"/>
          <w:szCs w:val="28"/>
          <w:lang w:val="en-US"/>
        </w:rPr>
        <w:t xml:space="preserve">Including Triple Helix-based innovation frameworks into national policy further underlines the systemic nature of entrepreneurial intention formation. As countries seek to enhance innovation capacity, policies that incentivize UIC to fund entrepreneurship </w:t>
      </w:r>
      <w:proofErr w:type="spellStart"/>
      <w:r w:rsidRPr="00A55116">
        <w:rPr>
          <w:sz w:val="28"/>
          <w:szCs w:val="28"/>
          <w:lang w:val="en-US"/>
        </w:rPr>
        <w:t>centres</w:t>
      </w:r>
      <w:proofErr w:type="spellEnd"/>
      <w:r w:rsidRPr="00A55116">
        <w:rPr>
          <w:sz w:val="28"/>
          <w:szCs w:val="28"/>
          <w:lang w:val="en-US"/>
        </w:rPr>
        <w:t xml:space="preserve"> and promote regional innovation hubs all contribute to shaping the institutional environment in which students operate. </w:t>
      </w:r>
    </w:p>
    <w:p w14:paraId="7BBE03AE" w14:textId="43ADD084" w:rsidR="00A97E55" w:rsidRPr="00A55116" w:rsidRDefault="00A97E55" w:rsidP="001838B1">
      <w:pPr>
        <w:pStyle w:val="a4"/>
        <w:spacing w:before="0" w:beforeAutospacing="0" w:after="0" w:afterAutospacing="0"/>
        <w:ind w:firstLine="720"/>
        <w:contextualSpacing/>
        <w:jc w:val="both"/>
        <w:rPr>
          <w:sz w:val="28"/>
          <w:szCs w:val="28"/>
          <w:lang w:val="en-US"/>
        </w:rPr>
      </w:pPr>
      <w:r w:rsidRPr="00A55116">
        <w:rPr>
          <w:sz w:val="28"/>
          <w:szCs w:val="28"/>
          <w:lang w:val="en-US"/>
        </w:rPr>
        <w:t xml:space="preserve">These macro-level policy signals—whether </w:t>
      </w:r>
      <w:proofErr w:type="spellStart"/>
      <w:r w:rsidRPr="00A55116">
        <w:rPr>
          <w:sz w:val="28"/>
          <w:szCs w:val="28"/>
          <w:lang w:val="en-US"/>
        </w:rPr>
        <w:t>channelled</w:t>
      </w:r>
      <w:proofErr w:type="spellEnd"/>
      <w:r w:rsidRPr="00A55116">
        <w:rPr>
          <w:sz w:val="28"/>
          <w:szCs w:val="28"/>
          <w:lang w:val="en-US"/>
        </w:rPr>
        <w:t xml:space="preserve"> through grants, competitions, or accreditation frameworks—are interpreted by universities and students alike as indicators of value and opportunity. When students see their institutions responding to such policy incentives with new programs and partnerships, it reinforces the relevance and attainability of entrepreneurship as a career path.</w:t>
      </w:r>
    </w:p>
    <w:p w14:paraId="43A024B8" w14:textId="77777777" w:rsidR="00A97E55" w:rsidRPr="00A55116" w:rsidRDefault="00A97E55" w:rsidP="001838B1">
      <w:pPr>
        <w:pStyle w:val="a4"/>
        <w:spacing w:before="0" w:beforeAutospacing="0" w:after="0" w:afterAutospacing="0"/>
        <w:ind w:firstLine="720"/>
        <w:contextualSpacing/>
        <w:jc w:val="both"/>
        <w:rPr>
          <w:sz w:val="28"/>
          <w:szCs w:val="28"/>
          <w:lang w:val="en-US"/>
        </w:rPr>
      </w:pPr>
      <w:r w:rsidRPr="00A55116">
        <w:rPr>
          <w:sz w:val="28"/>
          <w:szCs w:val="28"/>
          <w:lang w:val="en-US"/>
        </w:rPr>
        <w:t>The theoretical and empirical literature provides robust support for investigating the moderating effects of ESE and LOC on the relationship between the university environment and entrepreneurial intention. The Triple Helix model offers a macro-level lens to understand how institutional arrangements and ecosystem configurations create the conditions for entrepreneurial capacity development. At the meso level, the entrepreneurial university acts as an agent and orchestrator, aligning resources, culture, and programs toward student empowerment. At the micro level, individual psychological variables mediate how these environmental affordances are interpreted and acted upon.</w:t>
      </w:r>
    </w:p>
    <w:p w14:paraId="71AD8015" w14:textId="77777777" w:rsidR="00A97E55" w:rsidRPr="00A55116" w:rsidRDefault="00A97E55" w:rsidP="001838B1">
      <w:pPr>
        <w:pStyle w:val="a4"/>
        <w:spacing w:before="0" w:beforeAutospacing="0" w:after="0" w:afterAutospacing="0"/>
        <w:ind w:firstLine="720"/>
        <w:contextualSpacing/>
        <w:jc w:val="both"/>
        <w:rPr>
          <w:color w:val="0E101A"/>
          <w:sz w:val="28"/>
          <w:szCs w:val="28"/>
          <w:lang w:val="en-US"/>
        </w:rPr>
      </w:pPr>
      <w:r w:rsidRPr="00A55116">
        <w:rPr>
          <w:color w:val="0E101A"/>
          <w:sz w:val="28"/>
          <w:szCs w:val="28"/>
          <w:lang w:val="en-US"/>
        </w:rPr>
        <w:t>The university setting serves as both an input and a context, enabling the conditions essential for psychological mechanisms like self-efficacy and internal control beliefs to flourish. These tactics thereafter affect the development of students' entrepreneurial intentions.  The presence or absence of these mediators clarifies why similar university programs yield differing levels of entrepreneurial intention among student groups. This variation underscores the need to move beyond linear notions of impact towards interactional models, where intent emerges from both structure and agency.</w:t>
      </w:r>
    </w:p>
    <w:p w14:paraId="28178C48" w14:textId="239BD047" w:rsidR="00A97E55" w:rsidRDefault="00A97E55" w:rsidP="001838B1">
      <w:pPr>
        <w:pStyle w:val="a4"/>
        <w:spacing w:before="0" w:beforeAutospacing="0" w:after="0" w:afterAutospacing="0"/>
        <w:ind w:firstLine="720"/>
        <w:contextualSpacing/>
        <w:jc w:val="both"/>
        <w:rPr>
          <w:color w:val="0E101A"/>
          <w:sz w:val="28"/>
          <w:szCs w:val="28"/>
          <w:lang w:val="en-US"/>
        </w:rPr>
      </w:pPr>
      <w:r w:rsidRPr="00A55116">
        <w:rPr>
          <w:color w:val="0E101A"/>
          <w:sz w:val="28"/>
          <w:szCs w:val="28"/>
          <w:lang w:val="en-US"/>
        </w:rPr>
        <w:t xml:space="preserve">By anchoring the investigation of entrepreneurial intention within the THM and integrating the mediating functions of ESE and LOC, researchers and policymakers can get enhanced insights into the dynamics of entrepreneurial advancement in HE. This awareness can guide creating more adaptive, responsive, inclusive, and effective entrepreneurship strategies within universities and across </w:t>
      </w:r>
      <w:r w:rsidRPr="00A55116">
        <w:rPr>
          <w:color w:val="0E101A"/>
          <w:sz w:val="28"/>
          <w:szCs w:val="28"/>
          <w:lang w:val="en-US"/>
        </w:rPr>
        <w:lastRenderedPageBreak/>
        <w:t xml:space="preserve">national innovation systems. It also supports the formulation of empirical models that reflect the complexity of entrepreneurial intention, offering insights into whether universities matter, </w:t>
      </w:r>
      <w:r w:rsidRPr="00EC7B03">
        <w:rPr>
          <w:i/>
          <w:iCs/>
          <w:sz w:val="28"/>
          <w:szCs w:val="28"/>
          <w:lang w:val="en-US"/>
        </w:rPr>
        <w:t>how</w:t>
      </w:r>
      <w:r w:rsidRPr="0090661D">
        <w:rPr>
          <w:color w:val="0E101A"/>
          <w:sz w:val="32"/>
          <w:szCs w:val="32"/>
          <w:lang w:val="en-US"/>
        </w:rPr>
        <w:t xml:space="preserve"> </w:t>
      </w:r>
      <w:r w:rsidRPr="00A55116">
        <w:rPr>
          <w:color w:val="0E101A"/>
          <w:sz w:val="28"/>
          <w:szCs w:val="28"/>
          <w:lang w:val="en-US"/>
        </w:rPr>
        <w:t xml:space="preserve">they </w:t>
      </w:r>
      <w:r w:rsidRPr="0090661D">
        <w:rPr>
          <w:color w:val="0E101A"/>
          <w:sz w:val="28"/>
          <w:szCs w:val="28"/>
          <w:lang w:val="en-US"/>
        </w:rPr>
        <w:t xml:space="preserve">matter, </w:t>
      </w:r>
      <w:r w:rsidRPr="00EC7B03">
        <w:rPr>
          <w:i/>
          <w:iCs/>
          <w:sz w:val="28"/>
          <w:szCs w:val="28"/>
          <w:lang w:val="en-US"/>
        </w:rPr>
        <w:t>to whom</w:t>
      </w:r>
      <w:r w:rsidRPr="0090661D">
        <w:rPr>
          <w:color w:val="0E101A"/>
          <w:sz w:val="28"/>
          <w:szCs w:val="28"/>
          <w:lang w:val="en-US"/>
        </w:rPr>
        <w:t xml:space="preserve">, and </w:t>
      </w:r>
      <w:r w:rsidRPr="00EC7B03">
        <w:rPr>
          <w:i/>
          <w:iCs/>
          <w:sz w:val="28"/>
          <w:szCs w:val="28"/>
          <w:lang w:val="en-US"/>
        </w:rPr>
        <w:t>under what conditions</w:t>
      </w:r>
      <w:r w:rsidRPr="0090661D">
        <w:rPr>
          <w:color w:val="0E101A"/>
          <w:sz w:val="28"/>
          <w:szCs w:val="28"/>
          <w:lang w:val="en-US"/>
        </w:rPr>
        <w:t>.</w:t>
      </w:r>
    </w:p>
    <w:p w14:paraId="7C0513DD" w14:textId="452D9B58" w:rsidR="00C04E9D" w:rsidRPr="0090661D" w:rsidRDefault="0090661D" w:rsidP="00BF073E">
      <w:pPr>
        <w:pStyle w:val="a4"/>
        <w:spacing w:before="0" w:beforeAutospacing="0" w:after="0" w:afterAutospacing="0"/>
        <w:ind w:firstLine="720"/>
        <w:contextualSpacing/>
        <w:jc w:val="both"/>
        <w:rPr>
          <w:color w:val="0E101A"/>
          <w:sz w:val="28"/>
          <w:szCs w:val="28"/>
          <w:lang w:val="kk-KZ"/>
        </w:rPr>
      </w:pPr>
      <w:r>
        <w:rPr>
          <w:color w:val="0E101A"/>
          <w:sz w:val="28"/>
          <w:szCs w:val="28"/>
          <w:lang w:val="kk-KZ"/>
        </w:rPr>
        <w:t xml:space="preserve"> </w:t>
      </w:r>
    </w:p>
    <w:p w14:paraId="0F6FCFE2" w14:textId="1F7A3E67" w:rsidR="00997DCD" w:rsidRPr="00285A65" w:rsidRDefault="00285A65" w:rsidP="00285A65">
      <w:pPr>
        <w:pStyle w:val="a4"/>
        <w:spacing w:before="0" w:beforeAutospacing="0" w:after="0" w:afterAutospacing="0"/>
        <w:ind w:firstLine="720"/>
        <w:contextualSpacing/>
        <w:jc w:val="both"/>
        <w:rPr>
          <w:b/>
          <w:bCs/>
          <w:color w:val="0E101A"/>
          <w:sz w:val="28"/>
          <w:szCs w:val="28"/>
          <w:lang w:val="en-US"/>
        </w:rPr>
      </w:pPr>
      <w:r w:rsidRPr="00285A65">
        <w:rPr>
          <w:b/>
          <w:bCs/>
          <w:color w:val="0E101A"/>
          <w:sz w:val="28"/>
          <w:szCs w:val="28"/>
          <w:lang w:val="kk-KZ"/>
        </w:rPr>
        <w:t xml:space="preserve">1.3 </w:t>
      </w:r>
      <w:r w:rsidR="00997DCD" w:rsidRPr="00285A65">
        <w:rPr>
          <w:b/>
          <w:bCs/>
          <w:color w:val="0E101A"/>
          <w:sz w:val="28"/>
          <w:szCs w:val="28"/>
          <w:lang w:val="en-US"/>
        </w:rPr>
        <w:t>Strategic Approaches to Innovation Management in Universities and Their Role in Fostering Student Entrepreneurship</w:t>
      </w:r>
    </w:p>
    <w:p w14:paraId="6AC0C072" w14:textId="77777777" w:rsidR="00EC36F7" w:rsidRPr="00285A65" w:rsidRDefault="00EC36F7" w:rsidP="00285A65">
      <w:pPr>
        <w:pStyle w:val="a4"/>
        <w:spacing w:before="0" w:beforeAutospacing="0" w:after="0" w:afterAutospacing="0"/>
        <w:ind w:firstLine="720"/>
        <w:contextualSpacing/>
        <w:jc w:val="both"/>
        <w:rPr>
          <w:color w:val="0E101A"/>
          <w:sz w:val="28"/>
          <w:szCs w:val="28"/>
          <w:lang w:val="kk-KZ"/>
        </w:rPr>
      </w:pPr>
    </w:p>
    <w:p w14:paraId="4F86B8BD" w14:textId="3DF7E95F" w:rsidR="00997DCD" w:rsidRPr="00AB60B0" w:rsidRDefault="00997DCD" w:rsidP="00285A65">
      <w:pPr>
        <w:pStyle w:val="a4"/>
        <w:spacing w:before="0" w:beforeAutospacing="0" w:after="0" w:afterAutospacing="0"/>
        <w:ind w:firstLine="720"/>
        <w:contextualSpacing/>
        <w:jc w:val="both"/>
        <w:rPr>
          <w:sz w:val="28"/>
          <w:szCs w:val="28"/>
          <w:lang w:val="en-US"/>
        </w:rPr>
      </w:pPr>
      <w:r w:rsidRPr="00285A65">
        <w:rPr>
          <w:color w:val="0E101A"/>
          <w:sz w:val="28"/>
          <w:szCs w:val="28"/>
          <w:lang w:val="en-US"/>
        </w:rPr>
        <w:t>University innovation management has emerged as a strategic imperative, especially in fostering student entrepreneurship. Organizations are increasingly transcending traditional</w:t>
      </w:r>
      <w:r w:rsidRPr="00AB60B0">
        <w:rPr>
          <w:sz w:val="28"/>
          <w:szCs w:val="28"/>
          <w:lang w:val="en-US"/>
        </w:rPr>
        <w:t xml:space="preserve"> academic duties to engage in entrepreneurial initiatives that intentionally integrate intellectual advancement, industry partnership, and community involvement. This shift demonstrates the growing consensus among HEIs on the need to create knowledge and apply it to enhance students' entrepreneurial abilities. </w:t>
      </w:r>
    </w:p>
    <w:p w14:paraId="7E6A07DE" w14:textId="26B71AB4" w:rsidR="00997DCD" w:rsidRDefault="00997DCD" w:rsidP="00EC36F7">
      <w:pPr>
        <w:spacing w:after="0" w:line="240" w:lineRule="auto"/>
        <w:ind w:firstLine="720"/>
        <w:contextualSpacing/>
        <w:jc w:val="both"/>
        <w:rPr>
          <w:rFonts w:ascii="Times New Roman" w:eastAsia="Times New Roman" w:hAnsi="Times New Roman" w:cs="Times New Roman"/>
          <w:sz w:val="28"/>
          <w:szCs w:val="28"/>
          <w:lang w:val="en-US"/>
        </w:rPr>
      </w:pPr>
      <w:r w:rsidRPr="00AB60B0">
        <w:rPr>
          <w:rFonts w:ascii="Times New Roman" w:eastAsia="Times New Roman" w:hAnsi="Times New Roman" w:cs="Times New Roman"/>
          <w:sz w:val="28"/>
          <w:szCs w:val="28"/>
          <w:lang w:val="en-US"/>
        </w:rPr>
        <w:t>In this context, absorptive capacity</w:t>
      </w:r>
      <w:r w:rsidR="0090661D">
        <w:rPr>
          <w:rFonts w:ascii="Times New Roman" w:eastAsia="Times New Roman" w:hAnsi="Times New Roman" w:cs="Times New Roman"/>
          <w:sz w:val="28"/>
          <w:szCs w:val="28"/>
          <w:lang w:val="kk-KZ"/>
        </w:rPr>
        <w:t xml:space="preserve"> – </w:t>
      </w:r>
      <w:r w:rsidRPr="00AB60B0">
        <w:rPr>
          <w:rFonts w:ascii="Times New Roman" w:eastAsia="Times New Roman" w:hAnsi="Times New Roman" w:cs="Times New Roman"/>
          <w:sz w:val="28"/>
          <w:szCs w:val="28"/>
          <w:lang w:val="en-US"/>
        </w:rPr>
        <w:t>the institution's capability to identify, absorb, and use outside knowledge</w:t>
      </w:r>
      <w:r w:rsidR="0090661D">
        <w:rPr>
          <w:rFonts w:ascii="Times New Roman" w:eastAsia="Times New Roman" w:hAnsi="Times New Roman" w:cs="Times New Roman"/>
          <w:sz w:val="28"/>
          <w:szCs w:val="28"/>
          <w:lang w:val="kk-KZ"/>
        </w:rPr>
        <w:t xml:space="preserve"> – </w:t>
      </w:r>
      <w:r w:rsidRPr="00AB60B0">
        <w:rPr>
          <w:rFonts w:ascii="Times New Roman" w:eastAsia="Times New Roman" w:hAnsi="Times New Roman" w:cs="Times New Roman"/>
          <w:sz w:val="28"/>
          <w:szCs w:val="28"/>
          <w:lang w:val="en-US"/>
        </w:rPr>
        <w:t>is fundamental</w:t>
      </w:r>
      <w:r w:rsidR="007246FE">
        <w:rPr>
          <w:rFonts w:ascii="Times New Roman" w:eastAsia="Times New Roman" w:hAnsi="Times New Roman" w:cs="Times New Roman"/>
          <w:sz w:val="28"/>
          <w:szCs w:val="28"/>
          <w:lang w:val="en-US"/>
        </w:rPr>
        <w:t xml:space="preserve"> [</w:t>
      </w:r>
      <w:r w:rsidR="00B73CC6">
        <w:rPr>
          <w:rFonts w:ascii="Times New Roman" w:eastAsia="Times New Roman" w:hAnsi="Times New Roman" w:cs="Times New Roman"/>
          <w:sz w:val="28"/>
          <w:szCs w:val="28"/>
          <w:lang w:val="en-US"/>
        </w:rPr>
        <w:t>58</w:t>
      </w:r>
      <w:r w:rsidR="007246FE">
        <w:rPr>
          <w:rFonts w:ascii="Times New Roman" w:eastAsia="Times New Roman" w:hAnsi="Times New Roman" w:cs="Times New Roman"/>
          <w:sz w:val="28"/>
          <w:szCs w:val="28"/>
          <w:lang w:val="en-US"/>
        </w:rPr>
        <w:t xml:space="preserve">]. </w:t>
      </w:r>
      <w:r w:rsidRPr="00AB60B0">
        <w:rPr>
          <w:rFonts w:ascii="Times New Roman" w:eastAsia="Times New Roman" w:hAnsi="Times New Roman" w:cs="Times New Roman"/>
          <w:sz w:val="28"/>
          <w:szCs w:val="28"/>
          <w:lang w:val="en-US"/>
        </w:rPr>
        <w:t>For HEIs, this is not merely a technical capability but a strategic necessity. The ability to absorb knowledge from external actors</w:t>
      </w:r>
      <w:r w:rsidR="0090661D">
        <w:rPr>
          <w:rFonts w:ascii="Times New Roman" w:eastAsia="Times New Roman" w:hAnsi="Times New Roman" w:cs="Times New Roman"/>
          <w:sz w:val="28"/>
          <w:szCs w:val="28"/>
          <w:lang w:val="kk-KZ"/>
        </w:rPr>
        <w:t xml:space="preserve"> – </w:t>
      </w:r>
      <w:r w:rsidRPr="00AB60B0">
        <w:rPr>
          <w:rFonts w:ascii="Times New Roman" w:eastAsia="Times New Roman" w:hAnsi="Times New Roman" w:cs="Times New Roman"/>
          <w:sz w:val="28"/>
          <w:szCs w:val="28"/>
          <w:lang w:val="en-US"/>
        </w:rPr>
        <w:t>such as industry, government, and global academic networks</w:t>
      </w:r>
      <w:r w:rsidR="0090661D">
        <w:rPr>
          <w:rFonts w:ascii="Times New Roman" w:eastAsia="Times New Roman" w:hAnsi="Times New Roman" w:cs="Times New Roman"/>
          <w:sz w:val="28"/>
          <w:szCs w:val="28"/>
          <w:lang w:val="kk-KZ"/>
        </w:rPr>
        <w:t xml:space="preserve"> – </w:t>
      </w:r>
      <w:r w:rsidRPr="00AB60B0">
        <w:rPr>
          <w:rFonts w:ascii="Times New Roman" w:eastAsia="Times New Roman" w:hAnsi="Times New Roman" w:cs="Times New Roman"/>
          <w:sz w:val="28"/>
          <w:szCs w:val="28"/>
          <w:lang w:val="en-US"/>
        </w:rPr>
        <w:t xml:space="preserve">enables institutions to innovate in teaching, research, and governance. Moreover, absorbent capacity allows the identification of new trends and technologies that might be added to courses or applied to establish entrepreneurial support systems </w:t>
      </w:r>
      <w:r w:rsidR="007246FE">
        <w:rPr>
          <w:rFonts w:ascii="Times New Roman" w:eastAsia="Times New Roman" w:hAnsi="Times New Roman" w:cs="Times New Roman"/>
          <w:sz w:val="28"/>
          <w:szCs w:val="28"/>
          <w:lang w:val="en-US"/>
        </w:rPr>
        <w:t>[</w:t>
      </w:r>
      <w:r w:rsidR="00B73CC6">
        <w:rPr>
          <w:rFonts w:ascii="Times New Roman" w:eastAsia="Times New Roman" w:hAnsi="Times New Roman" w:cs="Times New Roman"/>
          <w:sz w:val="28"/>
          <w:szCs w:val="28"/>
          <w:lang w:val="en-US"/>
        </w:rPr>
        <w:t>58</w:t>
      </w:r>
      <w:r w:rsidR="007246FE">
        <w:rPr>
          <w:rFonts w:ascii="Times New Roman" w:eastAsia="Times New Roman" w:hAnsi="Times New Roman" w:cs="Times New Roman"/>
          <w:sz w:val="28"/>
          <w:szCs w:val="28"/>
          <w:lang w:val="en-US"/>
        </w:rPr>
        <w:t xml:space="preserve">, p.131]. </w:t>
      </w:r>
      <w:r w:rsidRPr="00AB60B0">
        <w:rPr>
          <w:rFonts w:ascii="Times New Roman" w:eastAsia="Times New Roman" w:hAnsi="Times New Roman" w:cs="Times New Roman"/>
          <w:sz w:val="28"/>
          <w:szCs w:val="28"/>
          <w:lang w:val="en-US"/>
        </w:rPr>
        <w:t xml:space="preserve">Without this essential capacity, programs to encourage student entrepreneurship could be scattered or superficial. </w:t>
      </w:r>
    </w:p>
    <w:p w14:paraId="44BCCE5A" w14:textId="45A0C4E1" w:rsidR="00997DCD" w:rsidRPr="00AB60B0" w:rsidRDefault="00997DCD" w:rsidP="00AD6678">
      <w:pPr>
        <w:spacing w:after="0" w:line="240" w:lineRule="auto"/>
        <w:ind w:firstLine="720"/>
        <w:contextualSpacing/>
        <w:jc w:val="both"/>
        <w:rPr>
          <w:rFonts w:ascii="Times New Roman" w:eastAsia="Times New Roman" w:hAnsi="Times New Roman" w:cs="Times New Roman"/>
          <w:sz w:val="28"/>
          <w:szCs w:val="28"/>
          <w:lang w:val="en-US"/>
        </w:rPr>
      </w:pPr>
      <w:r w:rsidRPr="00AB60B0">
        <w:rPr>
          <w:rFonts w:ascii="Times New Roman" w:eastAsia="Times New Roman" w:hAnsi="Times New Roman" w:cs="Times New Roman"/>
          <w:sz w:val="28"/>
          <w:szCs w:val="28"/>
          <w:lang w:val="en-US"/>
        </w:rPr>
        <w:t xml:space="preserve">A coherent strategic orientation must support this internal capability. As </w:t>
      </w:r>
      <w:r w:rsidRPr="007246FE">
        <w:rPr>
          <w:rFonts w:ascii="Times New Roman" w:eastAsia="Times New Roman" w:hAnsi="Times New Roman" w:cs="Times New Roman"/>
          <w:sz w:val="28"/>
          <w:szCs w:val="28"/>
          <w:lang w:val="en-US"/>
        </w:rPr>
        <w:t>Reyes-Gómez et al.</w:t>
      </w:r>
      <w:r w:rsidR="007246FE">
        <w:rPr>
          <w:rFonts w:ascii="Times New Roman" w:eastAsia="Times New Roman" w:hAnsi="Times New Roman" w:cs="Times New Roman"/>
          <w:sz w:val="28"/>
          <w:szCs w:val="28"/>
          <w:lang w:val="en-US"/>
        </w:rPr>
        <w:t xml:space="preserve"> </w:t>
      </w:r>
      <w:r w:rsidRPr="00AB60B0">
        <w:rPr>
          <w:rFonts w:ascii="Times New Roman" w:eastAsia="Times New Roman" w:hAnsi="Times New Roman" w:cs="Times New Roman"/>
          <w:sz w:val="28"/>
          <w:szCs w:val="28"/>
          <w:lang w:val="en-US"/>
        </w:rPr>
        <w:t>have shown, strategic orientations</w:t>
      </w:r>
      <w:r w:rsidR="00BE646A">
        <w:rPr>
          <w:rFonts w:ascii="Times New Roman" w:eastAsia="Times New Roman" w:hAnsi="Times New Roman" w:cs="Times New Roman"/>
          <w:sz w:val="28"/>
          <w:szCs w:val="28"/>
          <w:lang w:val="kk-KZ"/>
        </w:rPr>
        <w:t xml:space="preserve"> – </w:t>
      </w:r>
      <w:r w:rsidRPr="00AB60B0">
        <w:rPr>
          <w:rFonts w:ascii="Times New Roman" w:eastAsia="Times New Roman" w:hAnsi="Times New Roman" w:cs="Times New Roman"/>
          <w:sz w:val="28"/>
          <w:szCs w:val="28"/>
          <w:lang w:val="en-US"/>
        </w:rPr>
        <w:t>entrepreneurial, learning, and market orientations</w:t>
      </w:r>
      <w:r w:rsidR="00BE646A">
        <w:rPr>
          <w:rFonts w:ascii="Times New Roman" w:eastAsia="Times New Roman" w:hAnsi="Times New Roman" w:cs="Times New Roman"/>
          <w:sz w:val="28"/>
          <w:szCs w:val="28"/>
          <w:lang w:val="kk-KZ"/>
        </w:rPr>
        <w:t xml:space="preserve"> – </w:t>
      </w:r>
      <w:r w:rsidRPr="00AB60B0">
        <w:rPr>
          <w:rFonts w:ascii="Times New Roman" w:eastAsia="Times New Roman" w:hAnsi="Times New Roman" w:cs="Times New Roman"/>
          <w:sz w:val="28"/>
          <w:szCs w:val="28"/>
          <w:lang w:val="en-US"/>
        </w:rPr>
        <w:t>function independently and interdependently to influence organizational innovation outcomes</w:t>
      </w:r>
      <w:r w:rsidR="007246FE">
        <w:rPr>
          <w:rFonts w:ascii="Times New Roman" w:eastAsia="Times New Roman" w:hAnsi="Times New Roman" w:cs="Times New Roman"/>
          <w:sz w:val="28"/>
          <w:szCs w:val="28"/>
          <w:lang w:val="en-US"/>
        </w:rPr>
        <w:t xml:space="preserve"> [</w:t>
      </w:r>
      <w:r w:rsidR="00B73CC6">
        <w:rPr>
          <w:rFonts w:ascii="Times New Roman" w:eastAsia="Times New Roman" w:hAnsi="Times New Roman" w:cs="Times New Roman"/>
          <w:sz w:val="28"/>
          <w:szCs w:val="28"/>
          <w:lang w:val="en-US"/>
        </w:rPr>
        <w:t>59</w:t>
      </w:r>
      <w:r w:rsidR="007246FE">
        <w:rPr>
          <w:rFonts w:ascii="Times New Roman" w:eastAsia="Times New Roman" w:hAnsi="Times New Roman" w:cs="Times New Roman"/>
          <w:sz w:val="28"/>
          <w:szCs w:val="28"/>
          <w:lang w:val="en-US"/>
        </w:rPr>
        <w:t>]</w:t>
      </w:r>
      <w:r w:rsidRPr="00AB60B0">
        <w:rPr>
          <w:rFonts w:ascii="Times New Roman" w:eastAsia="Times New Roman" w:hAnsi="Times New Roman" w:cs="Times New Roman"/>
          <w:sz w:val="28"/>
          <w:szCs w:val="28"/>
          <w:lang w:val="en-US"/>
        </w:rPr>
        <w:t xml:space="preserve">. Crucially, innovation serves as a mediator in this relationship, reinforcing the need for HEIs to develop deliberate innovation strategies that translate institutional orientations into tangible entrepreneurial activities </w:t>
      </w:r>
      <w:r w:rsidR="007246FE">
        <w:rPr>
          <w:rFonts w:ascii="Times New Roman" w:eastAsia="Times New Roman" w:hAnsi="Times New Roman" w:cs="Times New Roman"/>
          <w:sz w:val="28"/>
          <w:szCs w:val="28"/>
          <w:lang w:val="en-US"/>
        </w:rPr>
        <w:t>[</w:t>
      </w:r>
      <w:r w:rsidR="00B73CC6">
        <w:rPr>
          <w:rFonts w:ascii="Times New Roman" w:eastAsia="Times New Roman" w:hAnsi="Times New Roman" w:cs="Times New Roman"/>
          <w:sz w:val="28"/>
          <w:szCs w:val="28"/>
          <w:lang w:val="en-US"/>
        </w:rPr>
        <w:t>59</w:t>
      </w:r>
      <w:r w:rsidR="007246FE">
        <w:rPr>
          <w:rFonts w:ascii="Times New Roman" w:eastAsia="Times New Roman" w:hAnsi="Times New Roman" w:cs="Times New Roman"/>
          <w:sz w:val="28"/>
          <w:szCs w:val="28"/>
          <w:lang w:val="en-US"/>
        </w:rPr>
        <w:t>, p.4].</w:t>
      </w:r>
      <w:r w:rsidR="00AD6678">
        <w:rPr>
          <w:rFonts w:ascii="Times New Roman" w:eastAsia="Times New Roman" w:hAnsi="Times New Roman" w:cs="Times New Roman"/>
          <w:sz w:val="28"/>
          <w:szCs w:val="28"/>
          <w:lang w:val="en-US"/>
        </w:rPr>
        <w:t xml:space="preserve"> </w:t>
      </w:r>
      <w:r w:rsidRPr="00AB60B0">
        <w:rPr>
          <w:rFonts w:ascii="Times New Roman" w:eastAsia="Times New Roman" w:hAnsi="Times New Roman" w:cs="Times New Roman"/>
          <w:sz w:val="28"/>
          <w:szCs w:val="28"/>
          <w:lang w:val="en-US"/>
        </w:rPr>
        <w:t>A holistic strategic posture that encourages exploration, experimentation, and feedback from market and learning environments is more likely to yield a fertile ground for student entrepreneurship</w:t>
      </w:r>
      <w:r w:rsidR="004924B7">
        <w:rPr>
          <w:rFonts w:ascii="Times New Roman" w:eastAsia="Times New Roman" w:hAnsi="Times New Roman" w:cs="Times New Roman"/>
          <w:sz w:val="28"/>
          <w:szCs w:val="28"/>
          <w:lang w:val="en-US"/>
        </w:rPr>
        <w:t xml:space="preserve"> [</w:t>
      </w:r>
      <w:r w:rsidR="00B73CC6">
        <w:rPr>
          <w:rFonts w:ascii="Times New Roman" w:eastAsia="Times New Roman" w:hAnsi="Times New Roman" w:cs="Times New Roman"/>
          <w:sz w:val="28"/>
          <w:szCs w:val="28"/>
          <w:lang w:val="en-US"/>
        </w:rPr>
        <w:t>59</w:t>
      </w:r>
      <w:r w:rsidR="004924B7">
        <w:rPr>
          <w:rFonts w:ascii="Times New Roman" w:eastAsia="Times New Roman" w:hAnsi="Times New Roman" w:cs="Times New Roman"/>
          <w:sz w:val="28"/>
          <w:szCs w:val="28"/>
          <w:lang w:val="en-US"/>
        </w:rPr>
        <w:t xml:space="preserve">, p.27]. </w:t>
      </w:r>
    </w:p>
    <w:p w14:paraId="1A453288" w14:textId="64E86242" w:rsidR="00997DCD" w:rsidRPr="00AB60B0" w:rsidRDefault="00997DCD" w:rsidP="001838B1">
      <w:pPr>
        <w:spacing w:after="0" w:line="240" w:lineRule="auto"/>
        <w:ind w:firstLine="720"/>
        <w:contextualSpacing/>
        <w:jc w:val="both"/>
        <w:rPr>
          <w:rFonts w:ascii="Times New Roman" w:eastAsia="Times New Roman" w:hAnsi="Times New Roman" w:cs="Times New Roman"/>
          <w:sz w:val="28"/>
          <w:szCs w:val="28"/>
          <w:lang w:val="en-US"/>
        </w:rPr>
      </w:pPr>
      <w:r w:rsidRPr="00AB60B0">
        <w:rPr>
          <w:rFonts w:ascii="Times New Roman" w:eastAsia="Times New Roman" w:hAnsi="Times New Roman" w:cs="Times New Roman"/>
          <w:sz w:val="28"/>
          <w:szCs w:val="28"/>
          <w:lang w:val="en-US"/>
        </w:rPr>
        <w:t>The 6i Model, which includes integration, identity, innovation, interdisciplinarity, internationalization, and impact, exemplifies this strategy realignment</w:t>
      </w:r>
      <w:r w:rsidR="000B63B4">
        <w:rPr>
          <w:rFonts w:ascii="Times New Roman" w:eastAsia="Times New Roman" w:hAnsi="Times New Roman" w:cs="Times New Roman"/>
          <w:sz w:val="28"/>
          <w:szCs w:val="28"/>
          <w:lang w:val="en-US"/>
        </w:rPr>
        <w:t xml:space="preserve"> [6</w:t>
      </w:r>
      <w:r w:rsidR="00B73CC6">
        <w:rPr>
          <w:rFonts w:ascii="Times New Roman" w:eastAsia="Times New Roman" w:hAnsi="Times New Roman" w:cs="Times New Roman"/>
          <w:sz w:val="28"/>
          <w:szCs w:val="28"/>
          <w:lang w:val="en-US"/>
        </w:rPr>
        <w:t>0</w:t>
      </w:r>
      <w:r w:rsidR="000B63B4">
        <w:rPr>
          <w:rFonts w:ascii="Times New Roman" w:eastAsia="Times New Roman" w:hAnsi="Times New Roman" w:cs="Times New Roman"/>
          <w:sz w:val="28"/>
          <w:szCs w:val="28"/>
          <w:lang w:val="en-US"/>
        </w:rPr>
        <w:t xml:space="preserve">]. </w:t>
      </w:r>
      <w:r w:rsidRPr="00AB60B0">
        <w:rPr>
          <w:rFonts w:ascii="Times New Roman" w:eastAsia="Times New Roman" w:hAnsi="Times New Roman" w:cs="Times New Roman"/>
          <w:sz w:val="28"/>
          <w:szCs w:val="28"/>
          <w:lang w:val="en-US"/>
        </w:rPr>
        <w:t xml:space="preserve">The elements of innovation and effect are particularly significant, highlighting the necessity for comprehensive, institution-wide strategies that connect knowledge creation with entrepreneurial results. </w:t>
      </w:r>
    </w:p>
    <w:p w14:paraId="6BB04B18" w14:textId="40CC3F3A" w:rsidR="00997DCD" w:rsidRDefault="00997DCD" w:rsidP="001838B1">
      <w:pPr>
        <w:spacing w:after="0" w:line="240" w:lineRule="auto"/>
        <w:ind w:firstLine="720"/>
        <w:contextualSpacing/>
        <w:jc w:val="both"/>
        <w:rPr>
          <w:rFonts w:ascii="Times New Roman" w:eastAsia="Times New Roman" w:hAnsi="Times New Roman" w:cs="Times New Roman"/>
          <w:sz w:val="28"/>
          <w:szCs w:val="28"/>
          <w:lang w:val="en-US"/>
        </w:rPr>
      </w:pPr>
      <w:r w:rsidRPr="00AB60B0">
        <w:rPr>
          <w:rFonts w:ascii="Times New Roman" w:eastAsia="Times New Roman" w:hAnsi="Times New Roman" w:cs="Times New Roman"/>
          <w:sz w:val="28"/>
          <w:szCs w:val="28"/>
          <w:lang w:val="en-US"/>
        </w:rPr>
        <w:t xml:space="preserve">In this concept, innovation comprises changes in education and organization as well as technological developments. The impact component redefines the university's mission to concentrate on quantitative contributions to economic and social development, framing student entrepreneurship as a coherent embodiment of institutional purpose </w:t>
      </w:r>
      <w:r w:rsidR="000B63B4">
        <w:rPr>
          <w:rFonts w:ascii="Times New Roman" w:eastAsia="Times New Roman" w:hAnsi="Times New Roman" w:cs="Times New Roman"/>
          <w:sz w:val="28"/>
          <w:szCs w:val="28"/>
          <w:lang w:val="en-US"/>
        </w:rPr>
        <w:t>[6</w:t>
      </w:r>
      <w:r w:rsidR="00B73CC6">
        <w:rPr>
          <w:rFonts w:ascii="Times New Roman" w:eastAsia="Times New Roman" w:hAnsi="Times New Roman" w:cs="Times New Roman"/>
          <w:sz w:val="28"/>
          <w:szCs w:val="28"/>
          <w:lang w:val="en-US"/>
        </w:rPr>
        <w:t>0</w:t>
      </w:r>
      <w:r w:rsidR="000B63B4">
        <w:rPr>
          <w:rFonts w:ascii="Times New Roman" w:eastAsia="Times New Roman" w:hAnsi="Times New Roman" w:cs="Times New Roman"/>
          <w:sz w:val="28"/>
          <w:szCs w:val="28"/>
          <w:lang w:val="en-US"/>
        </w:rPr>
        <w:t xml:space="preserve">, p.225]. </w:t>
      </w:r>
      <w:r w:rsidRPr="00AB60B0">
        <w:rPr>
          <w:rFonts w:ascii="Times New Roman" w:eastAsia="Times New Roman" w:hAnsi="Times New Roman" w:cs="Times New Roman"/>
          <w:sz w:val="28"/>
          <w:szCs w:val="28"/>
          <w:lang w:val="en-US"/>
        </w:rPr>
        <w:t xml:space="preserve"> </w:t>
      </w:r>
    </w:p>
    <w:p w14:paraId="653DC0B1" w14:textId="72EAFCAD" w:rsidR="00997DCD" w:rsidRPr="0054027C" w:rsidRDefault="00997DCD" w:rsidP="001838B1">
      <w:pPr>
        <w:spacing w:after="0" w:line="240" w:lineRule="auto"/>
        <w:ind w:firstLine="720"/>
        <w:contextualSpacing/>
        <w:jc w:val="both"/>
        <w:rPr>
          <w:rFonts w:ascii="Times New Roman" w:eastAsia="Times New Roman" w:hAnsi="Times New Roman" w:cs="Times New Roman"/>
          <w:sz w:val="28"/>
          <w:szCs w:val="28"/>
          <w:lang w:val="en-US"/>
        </w:rPr>
      </w:pPr>
      <w:r w:rsidRPr="0054027C">
        <w:rPr>
          <w:rFonts w:ascii="Times New Roman" w:eastAsia="Times New Roman" w:hAnsi="Times New Roman" w:cs="Times New Roman"/>
          <w:sz w:val="28"/>
          <w:szCs w:val="28"/>
          <w:lang w:val="en-US"/>
        </w:rPr>
        <w:t xml:space="preserve">Another vital enabler of innovation management is the deliberate integration of digital channels. World-class institutions have progressively embraced digital </w:t>
      </w:r>
      <w:r w:rsidRPr="0054027C">
        <w:rPr>
          <w:rFonts w:ascii="Times New Roman" w:eastAsia="Times New Roman" w:hAnsi="Times New Roman" w:cs="Times New Roman"/>
          <w:sz w:val="28"/>
          <w:szCs w:val="28"/>
          <w:lang w:val="en-US"/>
        </w:rPr>
        <w:lastRenderedPageBreak/>
        <w:t xml:space="preserve">infrastructures to improve information distribution, governance, and student involvement, according to </w:t>
      </w:r>
      <w:proofErr w:type="spellStart"/>
      <w:r w:rsidRPr="003E564E">
        <w:rPr>
          <w:rFonts w:ascii="Times New Roman" w:eastAsia="Times New Roman" w:hAnsi="Times New Roman" w:cs="Times New Roman"/>
          <w:sz w:val="28"/>
          <w:szCs w:val="28"/>
          <w:lang w:val="en-US"/>
        </w:rPr>
        <w:t>Strielkowski</w:t>
      </w:r>
      <w:proofErr w:type="spellEnd"/>
      <w:r w:rsidRPr="003E564E">
        <w:rPr>
          <w:rFonts w:ascii="Times New Roman" w:eastAsia="Times New Roman" w:hAnsi="Times New Roman" w:cs="Times New Roman"/>
          <w:sz w:val="28"/>
          <w:szCs w:val="28"/>
          <w:lang w:val="en-US"/>
        </w:rPr>
        <w:t xml:space="preserve"> et al.</w:t>
      </w:r>
      <w:r w:rsidR="003E564E">
        <w:rPr>
          <w:rFonts w:ascii="Times New Roman" w:eastAsia="Times New Roman" w:hAnsi="Times New Roman" w:cs="Times New Roman"/>
          <w:sz w:val="28"/>
          <w:szCs w:val="28"/>
          <w:lang w:val="en-US"/>
        </w:rPr>
        <w:t xml:space="preserve"> [6</w:t>
      </w:r>
      <w:r w:rsidR="00B73CC6">
        <w:rPr>
          <w:rFonts w:ascii="Times New Roman" w:eastAsia="Times New Roman" w:hAnsi="Times New Roman" w:cs="Times New Roman"/>
          <w:sz w:val="28"/>
          <w:szCs w:val="28"/>
          <w:lang w:val="en-US"/>
        </w:rPr>
        <w:t>1</w:t>
      </w:r>
      <w:r w:rsidR="003E564E">
        <w:rPr>
          <w:rFonts w:ascii="Times New Roman" w:eastAsia="Times New Roman" w:hAnsi="Times New Roman" w:cs="Times New Roman"/>
          <w:sz w:val="28"/>
          <w:szCs w:val="28"/>
          <w:lang w:val="en-US"/>
        </w:rPr>
        <w:t>]</w:t>
      </w:r>
      <w:r w:rsidRPr="0054027C">
        <w:rPr>
          <w:rFonts w:ascii="Times New Roman" w:eastAsia="Times New Roman" w:hAnsi="Times New Roman" w:cs="Times New Roman"/>
          <w:sz w:val="28"/>
          <w:szCs w:val="28"/>
          <w:lang w:val="en-US"/>
        </w:rPr>
        <w:t>. Linking research, education, and business is much aided by tools supporting data analytics, virtual collaboration, and real-time feedback loops. Personalized mentoring, scalable support programs, and access to worldwide entrepreneurial networks—all made possible by these tools—</w:t>
      </w:r>
      <w:r>
        <w:rPr>
          <w:rFonts w:ascii="Times New Roman" w:eastAsia="Times New Roman" w:hAnsi="Times New Roman" w:cs="Times New Roman"/>
          <w:sz w:val="28"/>
          <w:szCs w:val="28"/>
          <w:lang w:val="en-US"/>
        </w:rPr>
        <w:t xml:space="preserve">are </w:t>
      </w:r>
      <w:r w:rsidRPr="0054027C">
        <w:rPr>
          <w:rFonts w:ascii="Times New Roman" w:eastAsia="Times New Roman" w:hAnsi="Times New Roman" w:cs="Times New Roman"/>
          <w:sz w:val="28"/>
          <w:szCs w:val="28"/>
          <w:lang w:val="en-US"/>
        </w:rPr>
        <w:t>allow</w:t>
      </w:r>
      <w:r>
        <w:rPr>
          <w:rFonts w:ascii="Times New Roman" w:eastAsia="Times New Roman" w:hAnsi="Times New Roman" w:cs="Times New Roman"/>
          <w:sz w:val="28"/>
          <w:szCs w:val="28"/>
          <w:lang w:val="en-US"/>
        </w:rPr>
        <w:t xml:space="preserve">ed. </w:t>
      </w:r>
      <w:r w:rsidRPr="0054027C">
        <w:rPr>
          <w:rFonts w:ascii="Times New Roman" w:eastAsia="Times New Roman" w:hAnsi="Times New Roman" w:cs="Times New Roman"/>
          <w:sz w:val="28"/>
          <w:szCs w:val="28"/>
          <w:lang w:val="en-US"/>
        </w:rPr>
        <w:t>Crucially, digitization is a strategic change and an operational improvement that increases the university's ability to support entrepreneurship outside conventional limits.</w:t>
      </w:r>
      <w:r w:rsidR="003E564E">
        <w:rPr>
          <w:rFonts w:ascii="Times New Roman" w:eastAsia="Times New Roman" w:hAnsi="Times New Roman" w:cs="Times New Roman"/>
          <w:sz w:val="28"/>
          <w:szCs w:val="28"/>
          <w:lang w:val="en-US"/>
        </w:rPr>
        <w:t xml:space="preserve"> </w:t>
      </w:r>
    </w:p>
    <w:p w14:paraId="46FE9577" w14:textId="77777777" w:rsidR="00AD6678" w:rsidRDefault="00997DCD" w:rsidP="001838B1">
      <w:pPr>
        <w:spacing w:after="0" w:line="240" w:lineRule="auto"/>
        <w:ind w:firstLine="720"/>
        <w:contextualSpacing/>
        <w:jc w:val="both"/>
        <w:rPr>
          <w:rFonts w:ascii="Times New Roman" w:eastAsia="Times New Roman" w:hAnsi="Times New Roman" w:cs="Times New Roman"/>
          <w:sz w:val="28"/>
          <w:szCs w:val="28"/>
          <w:lang w:val="en-US"/>
        </w:rPr>
      </w:pPr>
      <w:r w:rsidRPr="0054027C">
        <w:rPr>
          <w:rFonts w:ascii="Times New Roman" w:eastAsia="Times New Roman" w:hAnsi="Times New Roman" w:cs="Times New Roman"/>
          <w:sz w:val="28"/>
          <w:szCs w:val="28"/>
          <w:lang w:val="en-US"/>
        </w:rPr>
        <w:t>In parallel, universities are adopting open innovation strategies that reshape their relationships with external stakeholders.</w:t>
      </w:r>
      <w:r w:rsidR="003E564E">
        <w:rPr>
          <w:rFonts w:ascii="Times New Roman" w:eastAsia="Times New Roman" w:hAnsi="Times New Roman" w:cs="Times New Roman"/>
          <w:sz w:val="28"/>
          <w:szCs w:val="28"/>
          <w:lang w:val="en-US"/>
        </w:rPr>
        <w:t xml:space="preserve"> </w:t>
      </w:r>
      <w:proofErr w:type="spellStart"/>
      <w:r w:rsidRPr="003E564E">
        <w:rPr>
          <w:rFonts w:ascii="Times New Roman" w:eastAsia="Times New Roman" w:hAnsi="Times New Roman" w:cs="Times New Roman"/>
          <w:sz w:val="28"/>
          <w:szCs w:val="28"/>
          <w:lang w:val="en-US"/>
        </w:rPr>
        <w:t>Perkmann</w:t>
      </w:r>
      <w:proofErr w:type="spellEnd"/>
      <w:r w:rsidR="003E564E">
        <w:rPr>
          <w:rFonts w:ascii="Times New Roman" w:eastAsia="Times New Roman" w:hAnsi="Times New Roman" w:cs="Times New Roman"/>
          <w:sz w:val="28"/>
          <w:szCs w:val="28"/>
          <w:lang w:val="en-US"/>
        </w:rPr>
        <w:t xml:space="preserve"> </w:t>
      </w:r>
      <w:r w:rsidRPr="0054027C">
        <w:rPr>
          <w:rFonts w:ascii="Times New Roman" w:eastAsia="Times New Roman" w:hAnsi="Times New Roman" w:cs="Times New Roman"/>
          <w:sz w:val="28"/>
          <w:szCs w:val="28"/>
          <w:lang w:val="en-US"/>
        </w:rPr>
        <w:t xml:space="preserve">identifies two strategic dimensions in this process: the degree of control over how innovations are developed and the breadth of diffusion of those innovations </w:t>
      </w:r>
      <w:r w:rsidR="008F79B2">
        <w:rPr>
          <w:rFonts w:ascii="Times New Roman" w:eastAsia="Times New Roman" w:hAnsi="Times New Roman" w:cs="Times New Roman"/>
          <w:sz w:val="28"/>
          <w:szCs w:val="28"/>
          <w:lang w:val="en-US"/>
        </w:rPr>
        <w:t>[6</w:t>
      </w:r>
      <w:r w:rsidR="00B73CC6">
        <w:rPr>
          <w:rFonts w:ascii="Times New Roman" w:eastAsia="Times New Roman" w:hAnsi="Times New Roman" w:cs="Times New Roman"/>
          <w:sz w:val="28"/>
          <w:szCs w:val="28"/>
          <w:lang w:val="en-US"/>
        </w:rPr>
        <w:t>2</w:t>
      </w:r>
      <w:r w:rsidR="008F79B2">
        <w:rPr>
          <w:rFonts w:ascii="Times New Roman" w:eastAsia="Times New Roman" w:hAnsi="Times New Roman" w:cs="Times New Roman"/>
          <w:sz w:val="28"/>
          <w:szCs w:val="28"/>
          <w:lang w:val="en-US"/>
        </w:rPr>
        <w:t>]</w:t>
      </w:r>
      <w:r w:rsidRPr="0054027C">
        <w:rPr>
          <w:rFonts w:ascii="Times New Roman" w:eastAsia="Times New Roman" w:hAnsi="Times New Roman" w:cs="Times New Roman"/>
          <w:sz w:val="28"/>
          <w:szCs w:val="28"/>
          <w:lang w:val="en-US"/>
        </w:rPr>
        <w:t xml:space="preserve">. </w:t>
      </w:r>
    </w:p>
    <w:p w14:paraId="0D163293" w14:textId="2691EB5A" w:rsidR="00997DCD" w:rsidRDefault="00997DCD" w:rsidP="001838B1">
      <w:pPr>
        <w:spacing w:after="0" w:line="240" w:lineRule="auto"/>
        <w:ind w:firstLine="720"/>
        <w:contextualSpacing/>
        <w:jc w:val="both"/>
        <w:rPr>
          <w:rFonts w:ascii="Times New Roman" w:eastAsia="Times New Roman" w:hAnsi="Times New Roman" w:cs="Times New Roman"/>
          <w:sz w:val="28"/>
          <w:szCs w:val="28"/>
          <w:lang w:val="en-US"/>
        </w:rPr>
      </w:pPr>
      <w:r w:rsidRPr="0054027C">
        <w:rPr>
          <w:rFonts w:ascii="Times New Roman" w:eastAsia="Times New Roman" w:hAnsi="Times New Roman" w:cs="Times New Roman"/>
          <w:sz w:val="28"/>
          <w:szCs w:val="28"/>
          <w:lang w:val="en-US"/>
        </w:rPr>
        <w:t>Universities can tightly control commercialization through spin-offs and exclusive licensing or adopt a more open approach via non-exclusive licensing and open-access research. Since it allows students to access institutional knowledge, intellectual property, and industry contacts they can use for entrepreneurial activities, the latter approach has especially relevance for student entrepreneurship</w:t>
      </w:r>
      <w:r w:rsidR="008F79B2">
        <w:rPr>
          <w:rFonts w:ascii="Times New Roman" w:eastAsia="Times New Roman" w:hAnsi="Times New Roman" w:cs="Times New Roman"/>
          <w:sz w:val="28"/>
          <w:szCs w:val="28"/>
          <w:lang w:val="en-US"/>
        </w:rPr>
        <w:t xml:space="preserve"> [6</w:t>
      </w:r>
      <w:r w:rsidR="00B73CC6">
        <w:rPr>
          <w:rFonts w:ascii="Times New Roman" w:eastAsia="Times New Roman" w:hAnsi="Times New Roman" w:cs="Times New Roman"/>
          <w:sz w:val="28"/>
          <w:szCs w:val="28"/>
          <w:lang w:val="en-US"/>
        </w:rPr>
        <w:t>2</w:t>
      </w:r>
      <w:r w:rsidR="008F79B2">
        <w:rPr>
          <w:rFonts w:ascii="Times New Roman" w:eastAsia="Times New Roman" w:hAnsi="Times New Roman" w:cs="Times New Roman"/>
          <w:sz w:val="28"/>
          <w:szCs w:val="28"/>
          <w:lang w:val="en-US"/>
        </w:rPr>
        <w:t>, p.3].</w:t>
      </w:r>
    </w:p>
    <w:p w14:paraId="279EF6F0" w14:textId="7720EE9E" w:rsidR="00997DCD" w:rsidRPr="0054027C" w:rsidRDefault="00997DCD" w:rsidP="001838B1">
      <w:pPr>
        <w:spacing w:after="0" w:line="240" w:lineRule="auto"/>
        <w:ind w:firstLine="720"/>
        <w:contextualSpacing/>
        <w:jc w:val="both"/>
        <w:rPr>
          <w:rFonts w:ascii="Times New Roman" w:eastAsia="Times New Roman" w:hAnsi="Times New Roman" w:cs="Times New Roman"/>
          <w:sz w:val="28"/>
          <w:szCs w:val="28"/>
          <w:lang w:val="en-US"/>
        </w:rPr>
      </w:pPr>
      <w:r w:rsidRPr="0054027C">
        <w:rPr>
          <w:rFonts w:ascii="Times New Roman" w:eastAsia="Times New Roman" w:hAnsi="Times New Roman" w:cs="Times New Roman"/>
          <w:sz w:val="28"/>
          <w:szCs w:val="28"/>
          <w:lang w:val="en-US"/>
        </w:rPr>
        <w:t xml:space="preserve">Transformational alliances are also a pillar of strategic innovation management. These are long-term, value-driven partnerships between colleges and outside players, different from transactional agreements based just on resource exchange, according to </w:t>
      </w:r>
      <w:r w:rsidRPr="008F79B2">
        <w:rPr>
          <w:rFonts w:ascii="Times New Roman" w:eastAsia="Times New Roman" w:hAnsi="Times New Roman" w:cs="Times New Roman"/>
          <w:sz w:val="28"/>
          <w:szCs w:val="28"/>
          <w:lang w:val="en-US"/>
        </w:rPr>
        <w:t xml:space="preserve">Butcher, </w:t>
      </w:r>
      <w:proofErr w:type="spellStart"/>
      <w:r w:rsidRPr="008F79B2">
        <w:rPr>
          <w:rFonts w:ascii="Times New Roman" w:eastAsia="Times New Roman" w:hAnsi="Times New Roman" w:cs="Times New Roman"/>
          <w:sz w:val="28"/>
          <w:szCs w:val="28"/>
          <w:lang w:val="en-US"/>
        </w:rPr>
        <w:t>Bezzina</w:t>
      </w:r>
      <w:proofErr w:type="spellEnd"/>
      <w:r w:rsidRPr="008F79B2">
        <w:rPr>
          <w:rFonts w:ascii="Times New Roman" w:eastAsia="Times New Roman" w:hAnsi="Times New Roman" w:cs="Times New Roman"/>
          <w:sz w:val="28"/>
          <w:szCs w:val="28"/>
          <w:lang w:val="en-US"/>
        </w:rPr>
        <w:t>, and Moran</w:t>
      </w:r>
      <w:r w:rsidR="008F79B2" w:rsidRPr="008F79B2">
        <w:rPr>
          <w:rFonts w:ascii="Times New Roman" w:eastAsia="Times New Roman" w:hAnsi="Times New Roman" w:cs="Times New Roman"/>
          <w:sz w:val="28"/>
          <w:szCs w:val="28"/>
          <w:lang w:val="en-US"/>
        </w:rPr>
        <w:t xml:space="preserve"> [6</w:t>
      </w:r>
      <w:r w:rsidR="00B73CC6">
        <w:rPr>
          <w:rFonts w:ascii="Times New Roman" w:eastAsia="Times New Roman" w:hAnsi="Times New Roman" w:cs="Times New Roman"/>
          <w:sz w:val="28"/>
          <w:szCs w:val="28"/>
          <w:lang w:val="en-US"/>
        </w:rPr>
        <w:t>3</w:t>
      </w:r>
      <w:r w:rsidR="008F79B2" w:rsidRPr="008F79B2">
        <w:rPr>
          <w:rFonts w:ascii="Times New Roman" w:eastAsia="Times New Roman" w:hAnsi="Times New Roman" w:cs="Times New Roman"/>
          <w:sz w:val="28"/>
          <w:szCs w:val="28"/>
          <w:lang w:val="en-US"/>
        </w:rPr>
        <w:t>]</w:t>
      </w:r>
      <w:r w:rsidRPr="008F79B2">
        <w:rPr>
          <w:rFonts w:ascii="Times New Roman" w:eastAsia="Times New Roman" w:hAnsi="Times New Roman" w:cs="Times New Roman"/>
          <w:sz w:val="28"/>
          <w:szCs w:val="28"/>
          <w:lang w:val="en-US"/>
        </w:rPr>
        <w:t>.</w:t>
      </w:r>
      <w:r w:rsidRPr="0054027C">
        <w:rPr>
          <w:rFonts w:ascii="Times New Roman" w:eastAsia="Times New Roman" w:hAnsi="Times New Roman" w:cs="Times New Roman"/>
          <w:sz w:val="28"/>
          <w:szCs w:val="28"/>
          <w:lang w:val="en-US"/>
        </w:rPr>
        <w:t xml:space="preserve"> In fostering student entrepreneurship, such partnerships are vital for providing students access to mentorship, funding, real-world challenges, and experiential learning opportunities. When students co-create knowledge with stakeholders from government, industry, and civil society, they acquire entrepreneurial skills, a sense of social responsibility, and systems thinking </w:t>
      </w:r>
      <w:r w:rsidR="004157D2">
        <w:rPr>
          <w:rFonts w:ascii="Times New Roman" w:eastAsia="Times New Roman" w:hAnsi="Times New Roman" w:cs="Times New Roman"/>
          <w:sz w:val="28"/>
          <w:szCs w:val="28"/>
          <w:lang w:val="en-US"/>
        </w:rPr>
        <w:t>[6</w:t>
      </w:r>
      <w:r w:rsidR="00B73CC6">
        <w:rPr>
          <w:rFonts w:ascii="Times New Roman" w:eastAsia="Times New Roman" w:hAnsi="Times New Roman" w:cs="Times New Roman"/>
          <w:sz w:val="28"/>
          <w:szCs w:val="28"/>
          <w:lang w:val="en-US"/>
        </w:rPr>
        <w:t>3</w:t>
      </w:r>
      <w:r w:rsidR="004157D2">
        <w:rPr>
          <w:rFonts w:ascii="Times New Roman" w:eastAsia="Times New Roman" w:hAnsi="Times New Roman" w:cs="Times New Roman"/>
          <w:sz w:val="28"/>
          <w:szCs w:val="28"/>
          <w:lang w:val="en-US"/>
        </w:rPr>
        <w:t>].</w:t>
      </w:r>
    </w:p>
    <w:p w14:paraId="18741E3F" w14:textId="45585646" w:rsidR="00997DCD" w:rsidRDefault="00997DCD" w:rsidP="001838B1">
      <w:pPr>
        <w:spacing w:after="0" w:line="240" w:lineRule="auto"/>
        <w:ind w:firstLine="720"/>
        <w:contextualSpacing/>
        <w:jc w:val="both"/>
        <w:rPr>
          <w:rFonts w:ascii="Times New Roman" w:eastAsia="Times New Roman" w:hAnsi="Times New Roman" w:cs="Times New Roman"/>
          <w:sz w:val="28"/>
          <w:szCs w:val="28"/>
          <w:lang w:val="en-US"/>
        </w:rPr>
      </w:pPr>
      <w:r w:rsidRPr="0054027C">
        <w:rPr>
          <w:rFonts w:ascii="Times New Roman" w:eastAsia="Times New Roman" w:hAnsi="Times New Roman" w:cs="Times New Roman"/>
          <w:sz w:val="28"/>
          <w:szCs w:val="28"/>
          <w:lang w:val="en-US"/>
        </w:rPr>
        <w:t xml:space="preserve">Leadership and governance structures also play an enabling role. </w:t>
      </w:r>
      <w:proofErr w:type="spellStart"/>
      <w:r w:rsidRPr="004157D2">
        <w:rPr>
          <w:rFonts w:ascii="Times New Roman" w:eastAsia="Times New Roman" w:hAnsi="Times New Roman" w:cs="Times New Roman"/>
          <w:sz w:val="28"/>
          <w:szCs w:val="28"/>
          <w:lang w:val="en-US"/>
        </w:rPr>
        <w:t>Sauphayana</w:t>
      </w:r>
      <w:proofErr w:type="spellEnd"/>
      <w:r w:rsidR="004157D2">
        <w:rPr>
          <w:rFonts w:ascii="Times New Roman" w:eastAsia="Times New Roman" w:hAnsi="Times New Roman" w:cs="Times New Roman"/>
          <w:sz w:val="28"/>
          <w:szCs w:val="28"/>
          <w:lang w:val="en-US"/>
        </w:rPr>
        <w:t xml:space="preserve"> </w:t>
      </w:r>
      <w:r w:rsidRPr="0054027C">
        <w:rPr>
          <w:rFonts w:ascii="Times New Roman" w:eastAsia="Times New Roman" w:hAnsi="Times New Roman" w:cs="Times New Roman"/>
          <w:sz w:val="28"/>
          <w:szCs w:val="28"/>
          <w:lang w:val="en-US"/>
        </w:rPr>
        <w:t>contends that strategic change depends on university creative leadership</w:t>
      </w:r>
      <w:r w:rsidR="004157D2">
        <w:rPr>
          <w:rFonts w:ascii="Times New Roman" w:eastAsia="Times New Roman" w:hAnsi="Times New Roman" w:cs="Times New Roman"/>
          <w:sz w:val="28"/>
          <w:szCs w:val="28"/>
          <w:lang w:val="en-US"/>
        </w:rPr>
        <w:t xml:space="preserve"> [6</w:t>
      </w:r>
      <w:r w:rsidR="00B73CC6">
        <w:rPr>
          <w:rFonts w:ascii="Times New Roman" w:eastAsia="Times New Roman" w:hAnsi="Times New Roman" w:cs="Times New Roman"/>
          <w:sz w:val="28"/>
          <w:szCs w:val="28"/>
          <w:lang w:val="en-US"/>
        </w:rPr>
        <w:t>4</w:t>
      </w:r>
      <w:r w:rsidR="004157D2">
        <w:rPr>
          <w:rFonts w:ascii="Times New Roman" w:eastAsia="Times New Roman" w:hAnsi="Times New Roman" w:cs="Times New Roman"/>
          <w:sz w:val="28"/>
          <w:szCs w:val="28"/>
          <w:lang w:val="en-US"/>
        </w:rPr>
        <w:t>]</w:t>
      </w:r>
      <w:r w:rsidRPr="0054027C">
        <w:rPr>
          <w:rFonts w:ascii="Times New Roman" w:eastAsia="Times New Roman" w:hAnsi="Times New Roman" w:cs="Times New Roman"/>
          <w:sz w:val="28"/>
          <w:szCs w:val="28"/>
          <w:lang w:val="en-US"/>
        </w:rPr>
        <w:t>. Innovators supported by leaders build settings that foster stakeholder involvement, multidisciplinary teamwork, and experimentation. They also infuse innovation into performance measures and incentive systems and match institutional aims with entrepreneurial results via governance structures. By contrast, institutions with inflexible or risk-averse cultures could find it challenging to provide meaningful paths for student entrepreneurship</w:t>
      </w:r>
      <w:r w:rsidR="009802A4">
        <w:rPr>
          <w:rFonts w:ascii="Times New Roman" w:eastAsia="Times New Roman" w:hAnsi="Times New Roman" w:cs="Times New Roman"/>
          <w:sz w:val="28"/>
          <w:szCs w:val="28"/>
          <w:lang w:val="en-US"/>
        </w:rPr>
        <w:t xml:space="preserve"> [6</w:t>
      </w:r>
      <w:r w:rsidR="00B73CC6">
        <w:rPr>
          <w:rFonts w:ascii="Times New Roman" w:eastAsia="Times New Roman" w:hAnsi="Times New Roman" w:cs="Times New Roman"/>
          <w:sz w:val="28"/>
          <w:szCs w:val="28"/>
          <w:lang w:val="en-US"/>
        </w:rPr>
        <w:t>4</w:t>
      </w:r>
      <w:r w:rsidR="009802A4">
        <w:rPr>
          <w:rFonts w:ascii="Times New Roman" w:eastAsia="Times New Roman" w:hAnsi="Times New Roman" w:cs="Times New Roman"/>
          <w:sz w:val="28"/>
          <w:szCs w:val="28"/>
          <w:lang w:val="en-US"/>
        </w:rPr>
        <w:t>, p.166].</w:t>
      </w:r>
    </w:p>
    <w:p w14:paraId="39B90E2F" w14:textId="3B404108" w:rsidR="00997DCD" w:rsidRPr="0054027C" w:rsidRDefault="00997DCD" w:rsidP="001838B1">
      <w:pPr>
        <w:spacing w:after="0" w:line="240" w:lineRule="auto"/>
        <w:ind w:firstLine="720"/>
        <w:contextualSpacing/>
        <w:jc w:val="both"/>
        <w:rPr>
          <w:rFonts w:ascii="Times New Roman" w:eastAsia="Times New Roman" w:hAnsi="Times New Roman" w:cs="Times New Roman"/>
          <w:sz w:val="28"/>
          <w:szCs w:val="28"/>
          <w:lang w:val="en-US"/>
        </w:rPr>
      </w:pPr>
      <w:r w:rsidRPr="0054027C">
        <w:rPr>
          <w:rFonts w:ascii="Times New Roman" w:eastAsia="Times New Roman" w:hAnsi="Times New Roman" w:cs="Times New Roman"/>
          <w:sz w:val="28"/>
          <w:szCs w:val="28"/>
          <w:lang w:val="en-US"/>
        </w:rPr>
        <w:t xml:space="preserve">Another strategic dimension is university regional embedding. In research on Hong Kong's universities in China's Greater Bay Area, </w:t>
      </w:r>
      <w:r w:rsidRPr="009802A4">
        <w:rPr>
          <w:rFonts w:ascii="Times New Roman" w:eastAsia="Times New Roman" w:hAnsi="Times New Roman" w:cs="Times New Roman"/>
          <w:sz w:val="28"/>
          <w:szCs w:val="28"/>
          <w:lang w:val="en-US"/>
        </w:rPr>
        <w:t>Tang</w:t>
      </w:r>
      <w:r w:rsidRPr="0054027C">
        <w:rPr>
          <w:rFonts w:ascii="Times New Roman" w:eastAsia="Times New Roman" w:hAnsi="Times New Roman" w:cs="Times New Roman"/>
          <w:sz w:val="28"/>
          <w:szCs w:val="28"/>
          <w:lang w:val="en-US"/>
        </w:rPr>
        <w:t xml:space="preserve"> shows how strategically important universities can be within regional innovation systems</w:t>
      </w:r>
      <w:r w:rsidR="009802A4">
        <w:rPr>
          <w:rFonts w:ascii="Times New Roman" w:eastAsia="Times New Roman" w:hAnsi="Times New Roman" w:cs="Times New Roman"/>
          <w:sz w:val="28"/>
          <w:szCs w:val="28"/>
          <w:lang w:val="en-US"/>
        </w:rPr>
        <w:t xml:space="preserve"> [6</w:t>
      </w:r>
      <w:r w:rsidR="00B73CC6">
        <w:rPr>
          <w:rFonts w:ascii="Times New Roman" w:eastAsia="Times New Roman" w:hAnsi="Times New Roman" w:cs="Times New Roman"/>
          <w:sz w:val="28"/>
          <w:szCs w:val="28"/>
          <w:lang w:val="en-US"/>
        </w:rPr>
        <w:t>5</w:t>
      </w:r>
      <w:r w:rsidR="009802A4">
        <w:rPr>
          <w:rFonts w:ascii="Times New Roman" w:eastAsia="Times New Roman" w:hAnsi="Times New Roman" w:cs="Times New Roman"/>
          <w:sz w:val="28"/>
          <w:szCs w:val="28"/>
          <w:lang w:val="en-US"/>
        </w:rPr>
        <w:t>]</w:t>
      </w:r>
      <w:r w:rsidRPr="0054027C">
        <w:rPr>
          <w:rFonts w:ascii="Times New Roman" w:eastAsia="Times New Roman" w:hAnsi="Times New Roman" w:cs="Times New Roman"/>
          <w:sz w:val="28"/>
          <w:szCs w:val="28"/>
          <w:lang w:val="en-US"/>
        </w:rPr>
        <w:t xml:space="preserve">. As talent, idea, and capital brokers, these organizations link local entrepreneurial ecosystems with worldwide knowledge networks. Regional integration gives student entrepreneurs access to infrastructure, mentors, and financial sources not attainable inside the university. However, </w:t>
      </w:r>
      <w:r w:rsidRPr="0016633D">
        <w:rPr>
          <w:rFonts w:ascii="Times New Roman" w:eastAsia="Times New Roman" w:hAnsi="Times New Roman" w:cs="Times New Roman"/>
          <w:sz w:val="28"/>
          <w:szCs w:val="28"/>
          <w:lang w:val="en-US"/>
        </w:rPr>
        <w:t>Tang</w:t>
      </w:r>
      <w:r w:rsidR="0016633D">
        <w:rPr>
          <w:rFonts w:ascii="Times New Roman" w:eastAsia="Times New Roman" w:hAnsi="Times New Roman" w:cs="Times New Roman"/>
          <w:sz w:val="28"/>
          <w:szCs w:val="28"/>
          <w:lang w:val="en-US"/>
        </w:rPr>
        <w:t xml:space="preserve"> </w:t>
      </w:r>
      <w:r w:rsidRPr="0054027C">
        <w:rPr>
          <w:rFonts w:ascii="Times New Roman" w:eastAsia="Times New Roman" w:hAnsi="Times New Roman" w:cs="Times New Roman"/>
          <w:sz w:val="28"/>
          <w:szCs w:val="28"/>
          <w:lang w:val="en-US"/>
        </w:rPr>
        <w:t xml:space="preserve">suggests that too close alignment with governmental or regional priorities may threaten institutional autonomy and </w:t>
      </w:r>
      <w:r w:rsidRPr="0054027C">
        <w:rPr>
          <w:rFonts w:ascii="Times New Roman" w:eastAsia="Times New Roman" w:hAnsi="Times New Roman" w:cs="Times New Roman"/>
          <w:sz w:val="28"/>
          <w:szCs w:val="28"/>
          <w:lang w:val="en-US"/>
        </w:rPr>
        <w:lastRenderedPageBreak/>
        <w:t>academic freedom; hence, she emphasizes the importance of balanced and informed strategic involvement</w:t>
      </w:r>
      <w:r w:rsidR="0016633D">
        <w:rPr>
          <w:rFonts w:ascii="Times New Roman" w:eastAsia="Times New Roman" w:hAnsi="Times New Roman" w:cs="Times New Roman"/>
          <w:sz w:val="28"/>
          <w:szCs w:val="28"/>
          <w:lang w:val="en-US"/>
        </w:rPr>
        <w:t xml:space="preserve"> [6</w:t>
      </w:r>
      <w:r w:rsidR="00B73CC6">
        <w:rPr>
          <w:rFonts w:ascii="Times New Roman" w:eastAsia="Times New Roman" w:hAnsi="Times New Roman" w:cs="Times New Roman"/>
          <w:sz w:val="28"/>
          <w:szCs w:val="28"/>
          <w:lang w:val="en-US"/>
        </w:rPr>
        <w:t>5</w:t>
      </w:r>
      <w:r w:rsidR="0016633D">
        <w:rPr>
          <w:rFonts w:ascii="Times New Roman" w:eastAsia="Times New Roman" w:hAnsi="Times New Roman" w:cs="Times New Roman"/>
          <w:sz w:val="28"/>
          <w:szCs w:val="28"/>
          <w:lang w:val="en-US"/>
        </w:rPr>
        <w:t xml:space="preserve">, p.18]. </w:t>
      </w:r>
    </w:p>
    <w:p w14:paraId="0B61FCDD" w14:textId="5DA396D8" w:rsidR="00997DCD" w:rsidRDefault="00997DCD" w:rsidP="001838B1">
      <w:pPr>
        <w:spacing w:after="0" w:line="240" w:lineRule="auto"/>
        <w:ind w:firstLine="720"/>
        <w:contextualSpacing/>
        <w:jc w:val="both"/>
        <w:rPr>
          <w:rFonts w:ascii="Times New Roman" w:eastAsia="Times New Roman" w:hAnsi="Times New Roman" w:cs="Times New Roman"/>
          <w:sz w:val="28"/>
          <w:szCs w:val="28"/>
          <w:lang w:val="en-US"/>
        </w:rPr>
      </w:pPr>
      <w:r w:rsidRPr="0054027C">
        <w:rPr>
          <w:rFonts w:ascii="Times New Roman" w:eastAsia="Times New Roman" w:hAnsi="Times New Roman" w:cs="Times New Roman"/>
          <w:sz w:val="28"/>
          <w:szCs w:val="28"/>
          <w:lang w:val="en-US"/>
        </w:rPr>
        <w:t xml:space="preserve"> Sustainability has also emerged as a strategic priority.   Emphasizing the need for innovation and entrepreneurship education in tackling the United Nations Sustainable Development Goals (SDGs), </w:t>
      </w:r>
      <w:r w:rsidRPr="0016633D">
        <w:rPr>
          <w:rFonts w:ascii="Times New Roman" w:eastAsia="Times New Roman" w:hAnsi="Times New Roman" w:cs="Times New Roman"/>
          <w:sz w:val="28"/>
          <w:szCs w:val="28"/>
          <w:lang w:val="en-US"/>
        </w:rPr>
        <w:t>Wang</w:t>
      </w:r>
      <w:r w:rsidR="0016633D">
        <w:rPr>
          <w:rFonts w:ascii="Times New Roman" w:eastAsia="Times New Roman" w:hAnsi="Times New Roman" w:cs="Times New Roman"/>
          <w:sz w:val="28"/>
          <w:szCs w:val="28"/>
          <w:lang w:val="en-US"/>
        </w:rPr>
        <w:t xml:space="preserve"> </w:t>
      </w:r>
      <w:r w:rsidRPr="0054027C">
        <w:rPr>
          <w:rFonts w:ascii="Times New Roman" w:eastAsia="Times New Roman" w:hAnsi="Times New Roman" w:cs="Times New Roman"/>
          <w:sz w:val="28"/>
          <w:szCs w:val="28"/>
          <w:lang w:val="en-US"/>
        </w:rPr>
        <w:t>writes on</w:t>
      </w:r>
      <w:r w:rsidR="0016633D">
        <w:rPr>
          <w:rFonts w:ascii="Times New Roman" w:eastAsia="Times New Roman" w:hAnsi="Times New Roman" w:cs="Times New Roman"/>
          <w:sz w:val="28"/>
          <w:szCs w:val="28"/>
          <w:lang w:val="en-US"/>
        </w:rPr>
        <w:t xml:space="preserve"> </w:t>
      </w:r>
      <w:r w:rsidRPr="0054027C">
        <w:rPr>
          <w:rFonts w:ascii="Times New Roman" w:eastAsia="Times New Roman" w:hAnsi="Times New Roman" w:cs="Times New Roman"/>
          <w:sz w:val="28"/>
          <w:szCs w:val="28"/>
          <w:lang w:val="en-US"/>
        </w:rPr>
        <w:t>that Strategic incorporation of sustainability concepts into courses, tests, and venture support programs helps to match student entrepreneurship with more general social issues</w:t>
      </w:r>
      <w:r w:rsidR="0016633D">
        <w:rPr>
          <w:rFonts w:ascii="Times New Roman" w:eastAsia="Times New Roman" w:hAnsi="Times New Roman" w:cs="Times New Roman"/>
          <w:sz w:val="28"/>
          <w:szCs w:val="28"/>
          <w:lang w:val="en-US"/>
        </w:rPr>
        <w:t xml:space="preserve"> [6</w:t>
      </w:r>
      <w:r w:rsidR="009957B7">
        <w:rPr>
          <w:rFonts w:ascii="Times New Roman" w:eastAsia="Times New Roman" w:hAnsi="Times New Roman" w:cs="Times New Roman"/>
          <w:sz w:val="28"/>
          <w:szCs w:val="28"/>
          <w:lang w:val="en-US"/>
        </w:rPr>
        <w:t>6</w:t>
      </w:r>
      <w:r w:rsidR="0016633D">
        <w:rPr>
          <w:rFonts w:ascii="Times New Roman" w:eastAsia="Times New Roman" w:hAnsi="Times New Roman" w:cs="Times New Roman"/>
          <w:sz w:val="28"/>
          <w:szCs w:val="28"/>
          <w:lang w:val="en-US"/>
        </w:rPr>
        <w:t>]</w:t>
      </w:r>
      <w:r w:rsidRPr="0054027C">
        <w:rPr>
          <w:rFonts w:ascii="Times New Roman" w:eastAsia="Times New Roman" w:hAnsi="Times New Roman" w:cs="Times New Roman"/>
          <w:sz w:val="28"/>
          <w:szCs w:val="28"/>
          <w:lang w:val="en-US"/>
        </w:rPr>
        <w:t>. Practical strategies to enable this alignment are underlined as multidisciplinary learning, AI-enhanced tools, and stakeholder platforms, including "teacher-AI-student" triads</w:t>
      </w:r>
      <w:r w:rsidR="0016633D">
        <w:rPr>
          <w:rFonts w:ascii="Times New Roman" w:eastAsia="Times New Roman" w:hAnsi="Times New Roman" w:cs="Times New Roman"/>
          <w:sz w:val="28"/>
          <w:szCs w:val="28"/>
          <w:lang w:val="en-US"/>
        </w:rPr>
        <w:t xml:space="preserve"> [6</w:t>
      </w:r>
      <w:r w:rsidR="009957B7">
        <w:rPr>
          <w:rFonts w:ascii="Times New Roman" w:eastAsia="Times New Roman" w:hAnsi="Times New Roman" w:cs="Times New Roman"/>
          <w:sz w:val="28"/>
          <w:szCs w:val="28"/>
          <w:lang w:val="en-US"/>
        </w:rPr>
        <w:t>6</w:t>
      </w:r>
      <w:r w:rsidR="0016633D">
        <w:rPr>
          <w:rFonts w:ascii="Times New Roman" w:eastAsia="Times New Roman" w:hAnsi="Times New Roman" w:cs="Times New Roman"/>
          <w:sz w:val="28"/>
          <w:szCs w:val="28"/>
          <w:lang w:val="en-US"/>
        </w:rPr>
        <w:t xml:space="preserve">, p. 10, 17, 19]. </w:t>
      </w:r>
      <w:r w:rsidRPr="0054027C">
        <w:rPr>
          <w:rFonts w:ascii="Times New Roman" w:eastAsia="Times New Roman" w:hAnsi="Times New Roman" w:cs="Times New Roman"/>
          <w:sz w:val="28"/>
          <w:szCs w:val="28"/>
          <w:lang w:val="en-US"/>
        </w:rPr>
        <w:t>Crucially, these approaches build ethical and civic responsibilities and business abilities.</w:t>
      </w:r>
    </w:p>
    <w:p w14:paraId="492E7151" w14:textId="4BD8AAD4" w:rsidR="00997DCD" w:rsidRPr="0054027C" w:rsidRDefault="00997DCD" w:rsidP="001838B1">
      <w:pPr>
        <w:spacing w:after="0" w:line="240" w:lineRule="auto"/>
        <w:ind w:firstLine="720"/>
        <w:contextualSpacing/>
        <w:jc w:val="both"/>
        <w:rPr>
          <w:rFonts w:ascii="Times New Roman" w:eastAsia="Times New Roman" w:hAnsi="Times New Roman" w:cs="Times New Roman"/>
          <w:sz w:val="28"/>
          <w:szCs w:val="28"/>
          <w:lang w:val="en-US"/>
        </w:rPr>
      </w:pPr>
      <w:r w:rsidRPr="0054027C">
        <w:rPr>
          <w:rFonts w:ascii="Times New Roman" w:eastAsia="Times New Roman" w:hAnsi="Times New Roman" w:cs="Times New Roman"/>
          <w:sz w:val="28"/>
          <w:szCs w:val="28"/>
          <w:lang w:val="en-US"/>
        </w:rPr>
        <w:t xml:space="preserve">Finally, innovation management strategies must be examined through the resource-based view (RBV) lens. </w:t>
      </w:r>
      <w:r w:rsidRPr="0016633D">
        <w:rPr>
          <w:rFonts w:ascii="Times New Roman" w:eastAsia="Times New Roman" w:hAnsi="Times New Roman" w:cs="Times New Roman"/>
          <w:sz w:val="28"/>
          <w:szCs w:val="28"/>
          <w:lang w:val="en-US"/>
        </w:rPr>
        <w:t>Barney</w:t>
      </w:r>
      <w:r w:rsidR="0016633D">
        <w:rPr>
          <w:rFonts w:ascii="Times New Roman" w:eastAsia="Times New Roman" w:hAnsi="Times New Roman" w:cs="Times New Roman"/>
          <w:sz w:val="28"/>
          <w:szCs w:val="28"/>
          <w:lang w:val="en-US"/>
        </w:rPr>
        <w:t xml:space="preserve"> </w:t>
      </w:r>
      <w:r w:rsidRPr="0054027C">
        <w:rPr>
          <w:rFonts w:ascii="Times New Roman" w:eastAsia="Times New Roman" w:hAnsi="Times New Roman" w:cs="Times New Roman"/>
          <w:sz w:val="28"/>
          <w:szCs w:val="28"/>
          <w:lang w:val="en-US"/>
        </w:rPr>
        <w:t>claims that a company—or a university—achieves a continuous competitive advantage by efficiently mobilizing precious, uncommon, inimitable, non-substitutable resources</w:t>
      </w:r>
      <w:r w:rsidR="0016633D">
        <w:rPr>
          <w:rFonts w:ascii="Times New Roman" w:eastAsia="Times New Roman" w:hAnsi="Times New Roman" w:cs="Times New Roman"/>
          <w:sz w:val="28"/>
          <w:szCs w:val="28"/>
          <w:lang w:val="en-US"/>
        </w:rPr>
        <w:t xml:space="preserve"> [6</w:t>
      </w:r>
      <w:r w:rsidR="009957B7">
        <w:rPr>
          <w:rFonts w:ascii="Times New Roman" w:eastAsia="Times New Roman" w:hAnsi="Times New Roman" w:cs="Times New Roman"/>
          <w:sz w:val="28"/>
          <w:szCs w:val="28"/>
          <w:lang w:val="en-US"/>
        </w:rPr>
        <w:t>7</w:t>
      </w:r>
      <w:r w:rsidR="0016633D">
        <w:rPr>
          <w:rFonts w:ascii="Times New Roman" w:eastAsia="Times New Roman" w:hAnsi="Times New Roman" w:cs="Times New Roman"/>
          <w:sz w:val="28"/>
          <w:szCs w:val="28"/>
          <w:lang w:val="en-US"/>
        </w:rPr>
        <w:t xml:space="preserve">]. </w:t>
      </w:r>
      <w:r w:rsidRPr="0054027C">
        <w:rPr>
          <w:rFonts w:ascii="Times New Roman" w:eastAsia="Times New Roman" w:hAnsi="Times New Roman" w:cs="Times New Roman"/>
          <w:sz w:val="28"/>
          <w:szCs w:val="28"/>
          <w:lang w:val="en-US"/>
        </w:rPr>
        <w:t>To encourage innovation, HEIs must deliberately find and use such resources—institutional prestige, business contacts, or human capital. Resources alone are inadequate, though; universities must also build dynamic capacities that enable them to reform, reorganize, and refresh their policies in response to environmental changes</w:t>
      </w:r>
      <w:r w:rsidR="0016633D">
        <w:rPr>
          <w:rFonts w:ascii="Times New Roman" w:eastAsia="Times New Roman" w:hAnsi="Times New Roman" w:cs="Times New Roman"/>
          <w:sz w:val="28"/>
          <w:szCs w:val="28"/>
          <w:lang w:val="en-US"/>
        </w:rPr>
        <w:t xml:space="preserve"> [6</w:t>
      </w:r>
      <w:r w:rsidR="009957B7">
        <w:rPr>
          <w:rFonts w:ascii="Times New Roman" w:eastAsia="Times New Roman" w:hAnsi="Times New Roman" w:cs="Times New Roman"/>
          <w:sz w:val="28"/>
          <w:szCs w:val="28"/>
          <w:lang w:val="en-US"/>
        </w:rPr>
        <w:t>7</w:t>
      </w:r>
      <w:r w:rsidR="0016633D">
        <w:rPr>
          <w:rFonts w:ascii="Times New Roman" w:eastAsia="Times New Roman" w:hAnsi="Times New Roman" w:cs="Times New Roman"/>
          <w:sz w:val="28"/>
          <w:szCs w:val="28"/>
          <w:lang w:val="en-US"/>
        </w:rPr>
        <w:t xml:space="preserve">, p.115]. </w:t>
      </w:r>
      <w:r w:rsidRPr="0054027C">
        <w:rPr>
          <w:rFonts w:ascii="Times New Roman" w:eastAsia="Times New Roman" w:hAnsi="Times New Roman" w:cs="Times New Roman"/>
          <w:sz w:val="28"/>
          <w:szCs w:val="28"/>
          <w:lang w:val="en-US"/>
        </w:rPr>
        <w:t>Organizations that neglect this run the danger of stagnating even if they have the raw tools needed for entrepreneurial support.</w:t>
      </w:r>
    </w:p>
    <w:p w14:paraId="365E12B8" w14:textId="77777777" w:rsidR="00CC645E" w:rsidRDefault="00997DCD" w:rsidP="00CC645E">
      <w:pPr>
        <w:spacing w:after="0" w:line="240" w:lineRule="auto"/>
        <w:ind w:firstLine="720"/>
        <w:contextualSpacing/>
        <w:jc w:val="both"/>
        <w:rPr>
          <w:rFonts w:ascii="Times New Roman" w:eastAsia="Times New Roman" w:hAnsi="Times New Roman" w:cs="Times New Roman"/>
          <w:sz w:val="28"/>
          <w:szCs w:val="28"/>
          <w:lang w:val="en-US"/>
        </w:rPr>
      </w:pPr>
      <w:r w:rsidRPr="0054027C">
        <w:rPr>
          <w:rFonts w:ascii="Times New Roman" w:eastAsia="Times New Roman" w:hAnsi="Times New Roman" w:cs="Times New Roman"/>
          <w:sz w:val="28"/>
          <w:szCs w:val="28"/>
          <w:lang w:val="en-US"/>
        </w:rPr>
        <w:t xml:space="preserve"> The research shows that strategic approaches to innovation management in universities are multifaceted and rely on one another. They require coherent internal capabilities, deliberate strategic orientations, openness to external partnerships, and alignment with societal and regional contexts. Universities that succeed in fostering student entrepreneurship are those that implement systemic, future-oriented, and mission-driven innovation strategies. The insights discussed above form a theoretical foundation for identifying and categorizing the strategic approaches universities employ, which are </w:t>
      </w:r>
      <w:r>
        <w:rPr>
          <w:rFonts w:ascii="Times New Roman" w:eastAsia="Times New Roman" w:hAnsi="Times New Roman" w:cs="Times New Roman"/>
          <w:sz w:val="28"/>
          <w:szCs w:val="28"/>
          <w:lang w:val="en-US"/>
        </w:rPr>
        <w:t xml:space="preserve">extended and </w:t>
      </w:r>
      <w:r w:rsidRPr="0054027C">
        <w:rPr>
          <w:rFonts w:ascii="Times New Roman" w:eastAsia="Times New Roman" w:hAnsi="Times New Roman" w:cs="Times New Roman"/>
          <w:sz w:val="28"/>
          <w:szCs w:val="28"/>
          <w:lang w:val="en-US"/>
        </w:rPr>
        <w:t>presented</w:t>
      </w:r>
      <w:r>
        <w:rPr>
          <w:rFonts w:ascii="Times New Roman" w:eastAsia="Times New Roman" w:hAnsi="Times New Roman" w:cs="Times New Roman"/>
          <w:sz w:val="28"/>
          <w:szCs w:val="28"/>
          <w:lang w:val="en-US"/>
        </w:rPr>
        <w:t xml:space="preserve"> based on broader literature</w:t>
      </w:r>
      <w:r w:rsidRPr="0054027C">
        <w:rPr>
          <w:rFonts w:ascii="Times New Roman" w:eastAsia="Times New Roman" w:hAnsi="Times New Roman" w:cs="Times New Roman"/>
          <w:sz w:val="28"/>
          <w:szCs w:val="28"/>
          <w:lang w:val="en-US"/>
        </w:rPr>
        <w:t xml:space="preserve"> in tabular form</w:t>
      </w:r>
      <w:r w:rsidR="00FE57A7">
        <w:rPr>
          <w:rFonts w:ascii="Times New Roman" w:eastAsia="Times New Roman" w:hAnsi="Times New Roman" w:cs="Times New Roman"/>
          <w:sz w:val="28"/>
          <w:szCs w:val="28"/>
          <w:lang w:val="en-US"/>
        </w:rPr>
        <w:t xml:space="preserve"> </w:t>
      </w:r>
      <w:r w:rsidR="00FE57A7" w:rsidRPr="00CC645E">
        <w:rPr>
          <w:rFonts w:ascii="Times New Roman" w:eastAsia="Times New Roman" w:hAnsi="Times New Roman" w:cs="Times New Roman"/>
          <w:sz w:val="28"/>
          <w:szCs w:val="28"/>
          <w:lang w:val="en-US"/>
        </w:rPr>
        <w:t>(table 2)</w:t>
      </w:r>
      <w:r w:rsidRPr="00CC645E">
        <w:rPr>
          <w:rFonts w:ascii="Times New Roman" w:eastAsia="Times New Roman" w:hAnsi="Times New Roman" w:cs="Times New Roman"/>
          <w:sz w:val="28"/>
          <w:szCs w:val="28"/>
          <w:lang w:val="en-US"/>
        </w:rPr>
        <w:t>.</w:t>
      </w:r>
    </w:p>
    <w:p w14:paraId="0724A15C" w14:textId="77777777" w:rsidR="00CC645E" w:rsidRDefault="00CC645E" w:rsidP="00CC645E">
      <w:pPr>
        <w:spacing w:after="0" w:line="240" w:lineRule="auto"/>
        <w:ind w:firstLine="720"/>
        <w:contextualSpacing/>
        <w:jc w:val="both"/>
        <w:rPr>
          <w:rFonts w:ascii="Times New Roman" w:eastAsia="Times New Roman" w:hAnsi="Times New Roman" w:cs="Times New Roman"/>
          <w:sz w:val="28"/>
          <w:szCs w:val="28"/>
          <w:lang w:val="en-US"/>
        </w:rPr>
      </w:pPr>
    </w:p>
    <w:p w14:paraId="45DC2D55" w14:textId="1FF4DEAD" w:rsidR="00997DCD" w:rsidRDefault="00997DCD" w:rsidP="00CC645E">
      <w:pPr>
        <w:spacing w:after="0" w:line="240" w:lineRule="auto"/>
        <w:ind w:firstLine="720"/>
        <w:contextualSpacing/>
        <w:rPr>
          <w:rFonts w:ascii="Times New Roman" w:hAnsi="Times New Roman" w:cs="Times New Roman"/>
          <w:sz w:val="28"/>
          <w:szCs w:val="28"/>
          <w:lang w:val="en-US"/>
        </w:rPr>
      </w:pPr>
      <w:r w:rsidRPr="00CC645E">
        <w:rPr>
          <w:rFonts w:ascii="Times New Roman" w:hAnsi="Times New Roman" w:cs="Times New Roman"/>
          <w:sz w:val="28"/>
          <w:szCs w:val="28"/>
          <w:lang w:val="en-US"/>
        </w:rPr>
        <w:t xml:space="preserve">Table </w:t>
      </w:r>
      <w:r w:rsidR="00EC772F" w:rsidRPr="00CC645E">
        <w:rPr>
          <w:rFonts w:ascii="Times New Roman" w:hAnsi="Times New Roman" w:cs="Times New Roman"/>
          <w:sz w:val="28"/>
          <w:szCs w:val="28"/>
          <w:lang w:val="en-US"/>
        </w:rPr>
        <w:t>2</w:t>
      </w:r>
      <w:r w:rsidR="00CE0E57" w:rsidRPr="00CE0E57">
        <w:rPr>
          <w:rFonts w:ascii="Times New Roman" w:hAnsi="Times New Roman" w:cs="Times New Roman"/>
          <w:sz w:val="28"/>
          <w:szCs w:val="28"/>
          <w:lang w:val="en-US"/>
        </w:rPr>
        <w:t xml:space="preserve"> –</w:t>
      </w:r>
      <w:r w:rsidR="00EC772F" w:rsidRPr="00CC645E">
        <w:rPr>
          <w:rFonts w:ascii="Times New Roman" w:hAnsi="Times New Roman" w:cs="Times New Roman"/>
          <w:sz w:val="28"/>
          <w:szCs w:val="28"/>
          <w:lang w:val="en-US"/>
        </w:rPr>
        <w:t xml:space="preserve"> </w:t>
      </w:r>
      <w:r w:rsidRPr="00CC645E">
        <w:rPr>
          <w:rFonts w:ascii="Times New Roman" w:hAnsi="Times New Roman" w:cs="Times New Roman"/>
          <w:sz w:val="28"/>
          <w:szCs w:val="28"/>
          <w:lang w:val="en-US"/>
        </w:rPr>
        <w:t>Strategic Approaches to Innovation Management in Universities</w:t>
      </w:r>
    </w:p>
    <w:p w14:paraId="1AB051BE" w14:textId="77777777" w:rsidR="00BA2146" w:rsidRPr="00CC645E" w:rsidRDefault="00BA2146" w:rsidP="00CC645E">
      <w:pPr>
        <w:spacing w:after="0" w:line="240" w:lineRule="auto"/>
        <w:ind w:firstLine="720"/>
        <w:contextualSpacing/>
        <w:rPr>
          <w:rFonts w:ascii="Times New Roman" w:eastAsia="Times New Roman" w:hAnsi="Times New Roman" w:cs="Times New Roman"/>
          <w:sz w:val="28"/>
          <w:szCs w:val="28"/>
          <w:lang w:val="en-US"/>
        </w:rPr>
      </w:pPr>
    </w:p>
    <w:tbl>
      <w:tblPr>
        <w:tblW w:w="8500" w:type="dxa"/>
        <w:jc w:val="center"/>
        <w:tblLayout w:type="fixed"/>
        <w:tblLook w:val="04A0" w:firstRow="1" w:lastRow="0" w:firstColumn="1" w:lastColumn="0" w:noHBand="0" w:noVBand="1"/>
      </w:tblPr>
      <w:tblGrid>
        <w:gridCol w:w="562"/>
        <w:gridCol w:w="2694"/>
        <w:gridCol w:w="5244"/>
      </w:tblGrid>
      <w:tr w:rsidR="00B011A0" w:rsidRPr="00B011A0" w14:paraId="4D285855" w14:textId="77777777" w:rsidTr="00AD6678">
        <w:trPr>
          <w:trHeight w:val="347"/>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3E335"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37F02D1D" w14:textId="46BC5CC2"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Strategic</w:t>
            </w:r>
            <w:r w:rsidR="00CC645E" w:rsidRPr="00B011A0">
              <w:rPr>
                <w:rFonts w:ascii="Times New Roman" w:hAnsi="Times New Roman" w:cs="Times New Roman"/>
                <w:sz w:val="28"/>
                <w:szCs w:val="28"/>
                <w:lang w:val="kk-KZ"/>
              </w:rPr>
              <w:t xml:space="preserve"> </w:t>
            </w:r>
            <w:r w:rsidRPr="00B011A0">
              <w:rPr>
                <w:rFonts w:ascii="Times New Roman" w:hAnsi="Times New Roman" w:cs="Times New Roman"/>
                <w:sz w:val="28"/>
                <w:szCs w:val="28"/>
                <w:lang w:val="en-US"/>
              </w:rPr>
              <w:t>Approach</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13FF889B"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Description</w:t>
            </w:r>
          </w:p>
        </w:tc>
      </w:tr>
      <w:tr w:rsidR="00B011A0" w:rsidRPr="000E0481" w14:paraId="2FC2D158" w14:textId="77777777" w:rsidTr="00AD6678">
        <w:trPr>
          <w:trHeight w:val="769"/>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FD18D4C"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1</w:t>
            </w:r>
          </w:p>
        </w:tc>
        <w:tc>
          <w:tcPr>
            <w:tcW w:w="2694" w:type="dxa"/>
            <w:tcBorders>
              <w:top w:val="nil"/>
              <w:left w:val="nil"/>
              <w:bottom w:val="single" w:sz="4" w:space="0" w:color="auto"/>
              <w:right w:val="single" w:sz="4" w:space="0" w:color="auto"/>
            </w:tcBorders>
            <w:shd w:val="clear" w:color="auto" w:fill="auto"/>
            <w:vAlign w:val="center"/>
            <w:hideMark/>
          </w:tcPr>
          <w:p w14:paraId="45265CF9"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Organizational Strategy</w:t>
            </w:r>
          </w:p>
        </w:tc>
        <w:tc>
          <w:tcPr>
            <w:tcW w:w="5244" w:type="dxa"/>
            <w:tcBorders>
              <w:top w:val="nil"/>
              <w:left w:val="nil"/>
              <w:bottom w:val="single" w:sz="4" w:space="0" w:color="auto"/>
              <w:right w:val="single" w:sz="4" w:space="0" w:color="auto"/>
            </w:tcBorders>
            <w:shd w:val="clear" w:color="auto" w:fill="auto"/>
            <w:vAlign w:val="center"/>
            <w:hideMark/>
          </w:tcPr>
          <w:p w14:paraId="6BC9976B"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Vision alignment, innovative culture fostering creativity and risk-taking</w:t>
            </w:r>
          </w:p>
        </w:tc>
      </w:tr>
      <w:tr w:rsidR="00B011A0" w:rsidRPr="000E0481" w14:paraId="664E2529" w14:textId="77777777" w:rsidTr="00AD6678">
        <w:trPr>
          <w:trHeight w:val="835"/>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FE5DEFB"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2</w:t>
            </w:r>
          </w:p>
        </w:tc>
        <w:tc>
          <w:tcPr>
            <w:tcW w:w="2694" w:type="dxa"/>
            <w:tcBorders>
              <w:top w:val="nil"/>
              <w:left w:val="nil"/>
              <w:bottom w:val="single" w:sz="4" w:space="0" w:color="auto"/>
              <w:right w:val="single" w:sz="4" w:space="0" w:color="auto"/>
            </w:tcBorders>
            <w:shd w:val="clear" w:color="auto" w:fill="auto"/>
            <w:vAlign w:val="center"/>
            <w:hideMark/>
          </w:tcPr>
          <w:p w14:paraId="10A81E00"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Project Management</w:t>
            </w:r>
          </w:p>
        </w:tc>
        <w:tc>
          <w:tcPr>
            <w:tcW w:w="5244" w:type="dxa"/>
            <w:tcBorders>
              <w:top w:val="nil"/>
              <w:left w:val="nil"/>
              <w:bottom w:val="single" w:sz="4" w:space="0" w:color="auto"/>
              <w:right w:val="single" w:sz="4" w:space="0" w:color="auto"/>
            </w:tcBorders>
            <w:shd w:val="clear" w:color="auto" w:fill="auto"/>
            <w:vAlign w:val="center"/>
            <w:hideMark/>
          </w:tcPr>
          <w:p w14:paraId="1C939F2C"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Systematic oversight of innovation projects to ensure timely completion within budget</w:t>
            </w:r>
          </w:p>
        </w:tc>
      </w:tr>
      <w:tr w:rsidR="00B011A0" w:rsidRPr="000E0481" w14:paraId="7FFE7FD6" w14:textId="77777777" w:rsidTr="00AD6678">
        <w:trPr>
          <w:trHeight w:val="688"/>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EF48F5A"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3</w:t>
            </w:r>
          </w:p>
        </w:tc>
        <w:tc>
          <w:tcPr>
            <w:tcW w:w="2694" w:type="dxa"/>
            <w:tcBorders>
              <w:top w:val="nil"/>
              <w:left w:val="nil"/>
              <w:bottom w:val="single" w:sz="4" w:space="0" w:color="auto"/>
              <w:right w:val="single" w:sz="4" w:space="0" w:color="auto"/>
            </w:tcBorders>
            <w:shd w:val="clear" w:color="auto" w:fill="auto"/>
            <w:vAlign w:val="center"/>
            <w:hideMark/>
          </w:tcPr>
          <w:p w14:paraId="672C5A64"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Knowledge Management</w:t>
            </w:r>
          </w:p>
        </w:tc>
        <w:tc>
          <w:tcPr>
            <w:tcW w:w="5244" w:type="dxa"/>
            <w:tcBorders>
              <w:top w:val="nil"/>
              <w:left w:val="nil"/>
              <w:bottom w:val="single" w:sz="4" w:space="0" w:color="auto"/>
              <w:right w:val="single" w:sz="4" w:space="0" w:color="auto"/>
            </w:tcBorders>
            <w:shd w:val="clear" w:color="auto" w:fill="auto"/>
            <w:vAlign w:val="center"/>
            <w:hideMark/>
          </w:tcPr>
          <w:p w14:paraId="2B94A158"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Capturing, disseminating, and effectively using institutional knowledge</w:t>
            </w:r>
          </w:p>
        </w:tc>
      </w:tr>
      <w:tr w:rsidR="00B011A0" w:rsidRPr="000E0481" w14:paraId="3695D345" w14:textId="77777777" w:rsidTr="00AD6678">
        <w:trPr>
          <w:trHeight w:val="561"/>
          <w:jc w:val="center"/>
        </w:trPr>
        <w:tc>
          <w:tcPr>
            <w:tcW w:w="562" w:type="dxa"/>
            <w:tcBorders>
              <w:top w:val="single" w:sz="4" w:space="0" w:color="auto"/>
              <w:left w:val="single" w:sz="4" w:space="0" w:color="auto"/>
              <w:right w:val="single" w:sz="4" w:space="0" w:color="auto"/>
            </w:tcBorders>
            <w:shd w:val="clear" w:color="auto" w:fill="auto"/>
            <w:vAlign w:val="center"/>
            <w:hideMark/>
          </w:tcPr>
          <w:p w14:paraId="617B30E6"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4</w:t>
            </w:r>
          </w:p>
        </w:tc>
        <w:tc>
          <w:tcPr>
            <w:tcW w:w="2694" w:type="dxa"/>
            <w:tcBorders>
              <w:top w:val="single" w:sz="4" w:space="0" w:color="auto"/>
              <w:left w:val="nil"/>
              <w:right w:val="single" w:sz="4" w:space="0" w:color="auto"/>
            </w:tcBorders>
            <w:shd w:val="clear" w:color="auto" w:fill="auto"/>
            <w:vAlign w:val="center"/>
            <w:hideMark/>
          </w:tcPr>
          <w:p w14:paraId="4E0FC0A5"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Technological Innovation</w:t>
            </w:r>
          </w:p>
        </w:tc>
        <w:tc>
          <w:tcPr>
            <w:tcW w:w="5244" w:type="dxa"/>
            <w:tcBorders>
              <w:top w:val="single" w:sz="4" w:space="0" w:color="auto"/>
              <w:left w:val="nil"/>
              <w:right w:val="single" w:sz="4" w:space="0" w:color="auto"/>
            </w:tcBorders>
            <w:shd w:val="clear" w:color="auto" w:fill="auto"/>
            <w:vAlign w:val="center"/>
            <w:hideMark/>
          </w:tcPr>
          <w:p w14:paraId="4D5E52A8"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Integration of advanced technology into education and administration</w:t>
            </w:r>
          </w:p>
        </w:tc>
      </w:tr>
      <w:tr w:rsidR="00476B0F" w:rsidRPr="00C80297" w14:paraId="32EB09A0" w14:textId="77777777" w:rsidTr="00AD6678">
        <w:trPr>
          <w:trHeight w:val="711"/>
          <w:jc w:val="center"/>
        </w:trPr>
        <w:tc>
          <w:tcPr>
            <w:tcW w:w="8500" w:type="dxa"/>
            <w:gridSpan w:val="3"/>
            <w:tcBorders>
              <w:bottom w:val="single" w:sz="4" w:space="0" w:color="auto"/>
            </w:tcBorders>
            <w:shd w:val="clear" w:color="auto" w:fill="auto"/>
            <w:vAlign w:val="center"/>
          </w:tcPr>
          <w:p w14:paraId="6F1C7CC2" w14:textId="6BEC798A" w:rsidR="00476B0F" w:rsidRPr="00B011A0" w:rsidRDefault="00476B0F" w:rsidP="00B011A0">
            <w:pPr>
              <w:pStyle w:val="af"/>
              <w:rPr>
                <w:rFonts w:ascii="Times New Roman" w:hAnsi="Times New Roman" w:cs="Times New Roman"/>
                <w:sz w:val="28"/>
                <w:szCs w:val="28"/>
                <w:lang w:val="en-US"/>
              </w:rPr>
            </w:pPr>
            <w:proofErr w:type="spellStart"/>
            <w:r>
              <w:rPr>
                <w:rFonts w:ascii="Times New Roman" w:hAnsi="Times New Roman" w:cs="Times New Roman"/>
                <w:sz w:val="28"/>
                <w:szCs w:val="28"/>
              </w:rPr>
              <w:lastRenderedPageBreak/>
              <w:t>С</w:t>
            </w:r>
            <w:r w:rsidRPr="00C72C7F">
              <w:rPr>
                <w:rFonts w:ascii="Times New Roman" w:hAnsi="Times New Roman" w:cs="Times New Roman"/>
                <w:sz w:val="28"/>
                <w:szCs w:val="28"/>
              </w:rPr>
              <w:t>ontinuation</w:t>
            </w:r>
            <w:proofErr w:type="spellEnd"/>
            <w:r w:rsidRPr="00C72C7F">
              <w:rPr>
                <w:rFonts w:ascii="Times New Roman" w:hAnsi="Times New Roman" w:cs="Times New Roman"/>
                <w:sz w:val="28"/>
                <w:szCs w:val="28"/>
              </w:rPr>
              <w:t xml:space="preserve"> </w:t>
            </w:r>
            <w:proofErr w:type="spellStart"/>
            <w:r w:rsidRPr="00C72C7F">
              <w:rPr>
                <w:rFonts w:ascii="Times New Roman" w:hAnsi="Times New Roman" w:cs="Times New Roman"/>
                <w:sz w:val="28"/>
                <w:szCs w:val="28"/>
              </w:rPr>
              <w:t>of</w:t>
            </w:r>
            <w:proofErr w:type="spellEnd"/>
            <w:r w:rsidRPr="00C72C7F">
              <w:rPr>
                <w:rFonts w:ascii="Times New Roman" w:hAnsi="Times New Roman" w:cs="Times New Roman"/>
                <w:sz w:val="28"/>
                <w:szCs w:val="28"/>
              </w:rPr>
              <w:t xml:space="preserve"> </w:t>
            </w:r>
            <w:proofErr w:type="spellStart"/>
            <w:r w:rsidRPr="00C72C7F">
              <w:rPr>
                <w:rFonts w:ascii="Times New Roman" w:hAnsi="Times New Roman" w:cs="Times New Roman"/>
                <w:sz w:val="28"/>
                <w:szCs w:val="28"/>
              </w:rPr>
              <w:t>the</w:t>
            </w:r>
            <w:proofErr w:type="spellEnd"/>
            <w:r w:rsidRPr="00C72C7F">
              <w:rPr>
                <w:rFonts w:ascii="Times New Roman" w:hAnsi="Times New Roman" w:cs="Times New Roman"/>
                <w:sz w:val="28"/>
                <w:szCs w:val="28"/>
              </w:rPr>
              <w:t xml:space="preserve"> </w:t>
            </w:r>
            <w:proofErr w:type="spellStart"/>
            <w:r w:rsidRPr="00C72C7F">
              <w:rPr>
                <w:rFonts w:ascii="Times New Roman" w:hAnsi="Times New Roman" w:cs="Times New Roman"/>
                <w:sz w:val="28"/>
                <w:szCs w:val="28"/>
              </w:rPr>
              <w:t>table</w:t>
            </w:r>
            <w:proofErr w:type="spellEnd"/>
            <w:r>
              <w:rPr>
                <w:rFonts w:ascii="Times New Roman" w:hAnsi="Times New Roman" w:cs="Times New Roman"/>
                <w:sz w:val="28"/>
                <w:szCs w:val="28"/>
              </w:rPr>
              <w:t xml:space="preserve"> 2</w:t>
            </w:r>
          </w:p>
        </w:tc>
      </w:tr>
      <w:tr w:rsidR="00B011A0" w:rsidRPr="000E0481" w14:paraId="3F287991" w14:textId="77777777" w:rsidTr="00AD6678">
        <w:trPr>
          <w:trHeight w:val="711"/>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6C88C"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5</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46D86B77"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Open Innovation</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779F8E71"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Collaboration with external entities (industry, government) for co-creating innovations</w:t>
            </w:r>
          </w:p>
        </w:tc>
      </w:tr>
      <w:tr w:rsidR="00B011A0" w:rsidRPr="000E0481" w14:paraId="57EF5267" w14:textId="77777777" w:rsidTr="00AD6678">
        <w:trPr>
          <w:trHeight w:val="551"/>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C748A"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6</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549F82D6"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Incremental Innovation</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066B2822"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Gradual improvements in existing products or processes</w:t>
            </w:r>
          </w:p>
        </w:tc>
      </w:tr>
      <w:tr w:rsidR="00B011A0" w:rsidRPr="000E0481" w14:paraId="7C020EC3" w14:textId="77777777" w:rsidTr="00AD6678">
        <w:trPr>
          <w:trHeight w:val="701"/>
          <w:jc w:val="center"/>
        </w:trPr>
        <w:tc>
          <w:tcPr>
            <w:tcW w:w="562" w:type="dxa"/>
            <w:tcBorders>
              <w:top w:val="single" w:sz="4" w:space="0" w:color="auto"/>
              <w:left w:val="single" w:sz="4" w:space="0" w:color="auto"/>
              <w:right w:val="single" w:sz="4" w:space="0" w:color="auto"/>
            </w:tcBorders>
            <w:shd w:val="clear" w:color="auto" w:fill="auto"/>
            <w:vAlign w:val="center"/>
            <w:hideMark/>
          </w:tcPr>
          <w:p w14:paraId="13392026"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7</w:t>
            </w:r>
          </w:p>
        </w:tc>
        <w:tc>
          <w:tcPr>
            <w:tcW w:w="2694" w:type="dxa"/>
            <w:tcBorders>
              <w:top w:val="single" w:sz="4" w:space="0" w:color="auto"/>
              <w:left w:val="nil"/>
              <w:right w:val="single" w:sz="4" w:space="0" w:color="auto"/>
            </w:tcBorders>
            <w:shd w:val="clear" w:color="auto" w:fill="auto"/>
            <w:vAlign w:val="center"/>
            <w:hideMark/>
          </w:tcPr>
          <w:p w14:paraId="11930668"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Disruptive Innovation</w:t>
            </w:r>
          </w:p>
        </w:tc>
        <w:tc>
          <w:tcPr>
            <w:tcW w:w="5244" w:type="dxa"/>
            <w:tcBorders>
              <w:top w:val="single" w:sz="4" w:space="0" w:color="auto"/>
              <w:left w:val="nil"/>
              <w:right w:val="single" w:sz="4" w:space="0" w:color="auto"/>
            </w:tcBorders>
            <w:shd w:val="clear" w:color="auto" w:fill="auto"/>
            <w:vAlign w:val="center"/>
            <w:hideMark/>
          </w:tcPr>
          <w:p w14:paraId="50698AE3"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Introducing new educational models or practices significantly altering existing frameworks</w:t>
            </w:r>
          </w:p>
        </w:tc>
      </w:tr>
      <w:tr w:rsidR="00B011A0" w:rsidRPr="000E0481" w14:paraId="1A61985C" w14:textId="77777777" w:rsidTr="00AD6678">
        <w:trPr>
          <w:trHeight w:val="414"/>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D490C"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8</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10E83518"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Radical Innovation</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37498434"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Development of completely new educational approaches or systems</w:t>
            </w:r>
          </w:p>
        </w:tc>
      </w:tr>
      <w:tr w:rsidR="00B011A0" w:rsidRPr="000E0481" w14:paraId="4A310785" w14:textId="77777777" w:rsidTr="00AD6678">
        <w:trPr>
          <w:trHeight w:val="704"/>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D1EB041"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9</w:t>
            </w:r>
          </w:p>
        </w:tc>
        <w:tc>
          <w:tcPr>
            <w:tcW w:w="2694" w:type="dxa"/>
            <w:tcBorders>
              <w:top w:val="nil"/>
              <w:left w:val="nil"/>
              <w:bottom w:val="single" w:sz="4" w:space="0" w:color="auto"/>
              <w:right w:val="single" w:sz="4" w:space="0" w:color="auto"/>
            </w:tcBorders>
            <w:shd w:val="clear" w:color="auto" w:fill="auto"/>
            <w:vAlign w:val="center"/>
            <w:hideMark/>
          </w:tcPr>
          <w:p w14:paraId="0D5C7540"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Architectural Innovation</w:t>
            </w:r>
          </w:p>
        </w:tc>
        <w:tc>
          <w:tcPr>
            <w:tcW w:w="5244" w:type="dxa"/>
            <w:tcBorders>
              <w:top w:val="nil"/>
              <w:left w:val="nil"/>
              <w:bottom w:val="single" w:sz="4" w:space="0" w:color="auto"/>
              <w:right w:val="single" w:sz="4" w:space="0" w:color="auto"/>
            </w:tcBorders>
            <w:shd w:val="clear" w:color="auto" w:fill="auto"/>
            <w:vAlign w:val="center"/>
            <w:hideMark/>
          </w:tcPr>
          <w:p w14:paraId="2F0ABE3D"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Reconfiguration of institutional structures or processes to create new value</w:t>
            </w:r>
          </w:p>
        </w:tc>
      </w:tr>
      <w:tr w:rsidR="00B011A0" w:rsidRPr="000E0481" w14:paraId="227C1D0B" w14:textId="77777777" w:rsidTr="00AD6678">
        <w:trPr>
          <w:trHeight w:val="68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5FA5F98"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10</w:t>
            </w:r>
          </w:p>
        </w:tc>
        <w:tc>
          <w:tcPr>
            <w:tcW w:w="2694" w:type="dxa"/>
            <w:tcBorders>
              <w:top w:val="nil"/>
              <w:left w:val="nil"/>
              <w:bottom w:val="single" w:sz="4" w:space="0" w:color="auto"/>
              <w:right w:val="single" w:sz="4" w:space="0" w:color="auto"/>
            </w:tcBorders>
            <w:shd w:val="clear" w:color="auto" w:fill="auto"/>
            <w:vAlign w:val="center"/>
            <w:hideMark/>
          </w:tcPr>
          <w:p w14:paraId="013221BD"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Triple Helix Model</w:t>
            </w:r>
          </w:p>
        </w:tc>
        <w:tc>
          <w:tcPr>
            <w:tcW w:w="5244" w:type="dxa"/>
            <w:tcBorders>
              <w:top w:val="nil"/>
              <w:left w:val="nil"/>
              <w:bottom w:val="single" w:sz="4" w:space="0" w:color="auto"/>
              <w:right w:val="single" w:sz="4" w:space="0" w:color="auto"/>
            </w:tcBorders>
            <w:shd w:val="clear" w:color="auto" w:fill="auto"/>
            <w:vAlign w:val="center"/>
            <w:hideMark/>
          </w:tcPr>
          <w:p w14:paraId="7B450920"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Collaboration among universities, industry, and government to stimulate innovation</w:t>
            </w:r>
          </w:p>
        </w:tc>
      </w:tr>
      <w:tr w:rsidR="00B011A0" w:rsidRPr="000E0481" w14:paraId="4B34B839" w14:textId="77777777" w:rsidTr="00AD6678">
        <w:trPr>
          <w:trHeight w:val="69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E72FD26"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11</w:t>
            </w:r>
          </w:p>
        </w:tc>
        <w:tc>
          <w:tcPr>
            <w:tcW w:w="2694" w:type="dxa"/>
            <w:tcBorders>
              <w:top w:val="nil"/>
              <w:left w:val="nil"/>
              <w:bottom w:val="single" w:sz="4" w:space="0" w:color="auto"/>
              <w:right w:val="single" w:sz="4" w:space="0" w:color="auto"/>
            </w:tcBorders>
            <w:shd w:val="clear" w:color="auto" w:fill="auto"/>
            <w:vAlign w:val="center"/>
            <w:hideMark/>
          </w:tcPr>
          <w:p w14:paraId="6C665F96"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Technology Transfer Offices (TTOs)</w:t>
            </w:r>
          </w:p>
        </w:tc>
        <w:tc>
          <w:tcPr>
            <w:tcW w:w="5244" w:type="dxa"/>
            <w:tcBorders>
              <w:top w:val="nil"/>
              <w:left w:val="nil"/>
              <w:bottom w:val="single" w:sz="4" w:space="0" w:color="auto"/>
              <w:right w:val="single" w:sz="4" w:space="0" w:color="auto"/>
            </w:tcBorders>
            <w:shd w:val="clear" w:color="auto" w:fill="auto"/>
            <w:vAlign w:val="center"/>
            <w:hideMark/>
          </w:tcPr>
          <w:p w14:paraId="2E6DF3F5"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Units managing the commercialization of university research results</w:t>
            </w:r>
          </w:p>
        </w:tc>
      </w:tr>
      <w:tr w:rsidR="00B011A0" w:rsidRPr="000E0481" w14:paraId="032D6854" w14:textId="77777777" w:rsidTr="00AD6678">
        <w:trPr>
          <w:trHeight w:val="566"/>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08C41B7"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12</w:t>
            </w:r>
          </w:p>
        </w:tc>
        <w:tc>
          <w:tcPr>
            <w:tcW w:w="2694" w:type="dxa"/>
            <w:tcBorders>
              <w:top w:val="nil"/>
              <w:left w:val="nil"/>
              <w:bottom w:val="single" w:sz="4" w:space="0" w:color="auto"/>
              <w:right w:val="single" w:sz="4" w:space="0" w:color="auto"/>
            </w:tcBorders>
            <w:shd w:val="clear" w:color="auto" w:fill="auto"/>
            <w:vAlign w:val="center"/>
            <w:hideMark/>
          </w:tcPr>
          <w:p w14:paraId="5FC1EF9B"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Innovation Ecosystems</w:t>
            </w:r>
          </w:p>
        </w:tc>
        <w:tc>
          <w:tcPr>
            <w:tcW w:w="5244" w:type="dxa"/>
            <w:tcBorders>
              <w:top w:val="nil"/>
              <w:left w:val="nil"/>
              <w:bottom w:val="single" w:sz="4" w:space="0" w:color="auto"/>
              <w:right w:val="single" w:sz="4" w:space="0" w:color="auto"/>
            </w:tcBorders>
            <w:shd w:val="clear" w:color="auto" w:fill="auto"/>
            <w:vAlign w:val="center"/>
            <w:hideMark/>
          </w:tcPr>
          <w:p w14:paraId="2E11FD41"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Networks of stakeholders collaborating to foster innovation</w:t>
            </w:r>
          </w:p>
        </w:tc>
      </w:tr>
      <w:tr w:rsidR="00B011A0" w:rsidRPr="000E0481" w14:paraId="5CCC3595" w14:textId="77777777" w:rsidTr="00AD6678">
        <w:trPr>
          <w:trHeight w:val="47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0081D76"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13</w:t>
            </w:r>
          </w:p>
        </w:tc>
        <w:tc>
          <w:tcPr>
            <w:tcW w:w="2694" w:type="dxa"/>
            <w:tcBorders>
              <w:top w:val="nil"/>
              <w:left w:val="nil"/>
              <w:bottom w:val="single" w:sz="4" w:space="0" w:color="auto"/>
              <w:right w:val="single" w:sz="4" w:space="0" w:color="auto"/>
            </w:tcBorders>
            <w:shd w:val="clear" w:color="auto" w:fill="auto"/>
            <w:vAlign w:val="center"/>
            <w:hideMark/>
          </w:tcPr>
          <w:p w14:paraId="525EDB29"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Innovation Hubs and Centers</w:t>
            </w:r>
          </w:p>
        </w:tc>
        <w:tc>
          <w:tcPr>
            <w:tcW w:w="5244" w:type="dxa"/>
            <w:tcBorders>
              <w:top w:val="nil"/>
              <w:left w:val="nil"/>
              <w:bottom w:val="single" w:sz="4" w:space="0" w:color="auto"/>
              <w:right w:val="single" w:sz="4" w:space="0" w:color="auto"/>
            </w:tcBorders>
            <w:shd w:val="clear" w:color="auto" w:fill="auto"/>
            <w:vAlign w:val="center"/>
            <w:hideMark/>
          </w:tcPr>
          <w:p w14:paraId="1C0A9393"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Dedicated spaces for entrepreneurship, startups, and innovation development</w:t>
            </w:r>
          </w:p>
        </w:tc>
      </w:tr>
      <w:tr w:rsidR="00B011A0" w:rsidRPr="000E0481" w14:paraId="187AC070" w14:textId="77777777" w:rsidTr="00AD6678">
        <w:trPr>
          <w:trHeight w:val="724"/>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08466"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14</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5D540CC7"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Curriculum Innovation</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7C7B1252" w14:textId="77777777" w:rsidR="00997DCD" w:rsidRPr="00B011A0" w:rsidRDefault="00997DCD" w:rsidP="00B011A0">
            <w:pPr>
              <w:pStyle w:val="af"/>
              <w:rPr>
                <w:rFonts w:ascii="Times New Roman" w:hAnsi="Times New Roman" w:cs="Times New Roman"/>
                <w:sz w:val="28"/>
                <w:szCs w:val="28"/>
                <w:lang w:val="en-US"/>
              </w:rPr>
            </w:pPr>
            <w:r w:rsidRPr="00B011A0">
              <w:rPr>
                <w:rFonts w:ascii="Times New Roman" w:hAnsi="Times New Roman" w:cs="Times New Roman"/>
                <w:sz w:val="28"/>
                <w:szCs w:val="28"/>
                <w:lang w:val="en-US"/>
              </w:rPr>
              <w:t>Updating educational programs with interdisciplinary content and emerging technologies</w:t>
            </w:r>
          </w:p>
        </w:tc>
      </w:tr>
      <w:tr w:rsidR="00CC645E" w:rsidRPr="000E0481" w14:paraId="3137C4C7" w14:textId="77777777" w:rsidTr="00AD6678">
        <w:trPr>
          <w:trHeight w:val="503"/>
          <w:jc w:val="center"/>
        </w:trPr>
        <w:tc>
          <w:tcPr>
            <w:tcW w:w="8500" w:type="dxa"/>
            <w:gridSpan w:val="3"/>
            <w:tcBorders>
              <w:top w:val="single" w:sz="4" w:space="0" w:color="auto"/>
              <w:left w:val="single" w:sz="4" w:space="0" w:color="auto"/>
              <w:bottom w:val="single" w:sz="4" w:space="0" w:color="auto"/>
              <w:right w:val="single" w:sz="4" w:space="0" w:color="auto"/>
            </w:tcBorders>
            <w:shd w:val="clear" w:color="auto" w:fill="auto"/>
          </w:tcPr>
          <w:p w14:paraId="125DBD67" w14:textId="40EBF1C7" w:rsidR="00CC645E" w:rsidRPr="002B2A5B" w:rsidRDefault="002B2A5B" w:rsidP="002B2A5B">
            <w:pPr>
              <w:pStyle w:val="af"/>
              <w:rPr>
                <w:rFonts w:ascii="Times New Roman" w:hAnsi="Times New Roman" w:cs="Times New Roman"/>
                <w:sz w:val="24"/>
                <w:szCs w:val="24"/>
                <w:lang w:val="en-US"/>
              </w:rPr>
            </w:pPr>
            <w:r w:rsidRPr="002B2A5B">
              <w:rPr>
                <w:rFonts w:ascii="Times New Roman" w:hAnsi="Times New Roman" w:cs="Times New Roman"/>
                <w:sz w:val="24"/>
                <w:szCs w:val="24"/>
                <w:lang w:val="en-US"/>
              </w:rPr>
              <w:t xml:space="preserve">         </w:t>
            </w:r>
            <w:r w:rsidR="00CC645E" w:rsidRPr="002B2A5B">
              <w:rPr>
                <w:rFonts w:ascii="Times New Roman" w:hAnsi="Times New Roman" w:cs="Times New Roman"/>
                <w:sz w:val="24"/>
                <w:szCs w:val="24"/>
                <w:lang w:val="en-US"/>
              </w:rPr>
              <w:t>Note - compiled by the author based on sources [28, 32, 47, 64, 68-70]</w:t>
            </w:r>
          </w:p>
        </w:tc>
      </w:tr>
    </w:tbl>
    <w:p w14:paraId="58D236CE" w14:textId="77777777" w:rsidR="00F27AEB" w:rsidRPr="00F27AEB" w:rsidRDefault="00F27AEB" w:rsidP="00F27AEB">
      <w:pPr>
        <w:spacing w:after="0" w:line="240" w:lineRule="auto"/>
        <w:ind w:firstLine="720"/>
        <w:contextualSpacing/>
        <w:jc w:val="both"/>
        <w:rPr>
          <w:rFonts w:ascii="Times New Roman" w:hAnsi="Times New Roman" w:cs="Times New Roman"/>
          <w:sz w:val="28"/>
          <w:szCs w:val="28"/>
          <w:lang w:val="en-US"/>
        </w:rPr>
      </w:pPr>
    </w:p>
    <w:p w14:paraId="684ADE6B" w14:textId="43B008B9" w:rsidR="00997DCD" w:rsidRPr="00CB1D52" w:rsidRDefault="00997DCD" w:rsidP="001838B1">
      <w:pPr>
        <w:spacing w:after="0" w:line="240" w:lineRule="auto"/>
        <w:ind w:firstLine="720"/>
        <w:contextualSpacing/>
        <w:jc w:val="both"/>
        <w:rPr>
          <w:rFonts w:ascii="Times New Roman" w:hAnsi="Times New Roman" w:cs="Times New Roman"/>
          <w:sz w:val="28"/>
          <w:szCs w:val="28"/>
          <w:lang w:val="en-US"/>
        </w:rPr>
      </w:pPr>
      <w:r w:rsidRPr="00F27AEB">
        <w:rPr>
          <w:rFonts w:ascii="Times New Roman" w:hAnsi="Times New Roman" w:cs="Times New Roman"/>
          <w:sz w:val="28"/>
          <w:szCs w:val="28"/>
          <w:lang w:val="en-US"/>
        </w:rPr>
        <w:t>The evolution of innovation management in universities signifies a transition from established academic administration to agile, entrepreneurial governance.  This transformation is driven by globalization, digitalization, and the necessity for knowledge-based economic advancement.  Universities are now active players in regional and national innovation ecosystems rather than only passive knowledge carriers.   Strategic innovation management has evolved into a basic institutional function connecting research, education, and addressing society's concerns.  Universities are changing their identity, purpose, and strategic orientation through formal frameworks like the 6i model and open innovation paradigms.  The amalgamation of entrepreneurial cognition with digital technologies propels this transformation at an accelerated pace.  Student entrepreneurship has emerged as a vital measure of an institution's capacity for innovation.  Universities implement innovation as an educational objective and societal contribution by promoting entrepreneurial mindsets and interdisciplinary collaboration.  This strategic reorientation demonstrates that innovation management is now integrated throughout institutional operations rather than limited to research commercialization</w:t>
      </w:r>
      <w:r w:rsidR="00FE57A7" w:rsidRPr="00F27AEB">
        <w:rPr>
          <w:rFonts w:ascii="Times New Roman" w:hAnsi="Times New Roman" w:cs="Times New Roman"/>
          <w:sz w:val="28"/>
          <w:szCs w:val="28"/>
          <w:lang w:val="en-US"/>
        </w:rPr>
        <w:t xml:space="preserve"> </w:t>
      </w:r>
      <w:r w:rsidR="00FE57A7" w:rsidRPr="00F27AEB">
        <w:rPr>
          <w:rFonts w:ascii="Times New Roman" w:hAnsi="Times New Roman" w:cs="Times New Roman"/>
          <w:sz w:val="28"/>
          <w:szCs w:val="28"/>
          <w:lang w:val="en-US"/>
        </w:rPr>
        <w:lastRenderedPageBreak/>
        <w:t>(see also table 2)</w:t>
      </w:r>
      <w:r w:rsidRPr="00F27AEB">
        <w:rPr>
          <w:rFonts w:ascii="Times New Roman" w:hAnsi="Times New Roman" w:cs="Times New Roman"/>
          <w:sz w:val="28"/>
          <w:szCs w:val="28"/>
          <w:lang w:val="en-US"/>
        </w:rPr>
        <w:t>.</w:t>
      </w:r>
      <w:r w:rsidR="00F27AEB">
        <w:rPr>
          <w:rFonts w:ascii="Times New Roman" w:hAnsi="Times New Roman" w:cs="Times New Roman"/>
          <w:sz w:val="28"/>
          <w:szCs w:val="28"/>
          <w:lang w:val="en-US"/>
        </w:rPr>
        <w:t xml:space="preserve"> </w:t>
      </w:r>
      <w:r w:rsidRPr="00F27AEB">
        <w:rPr>
          <w:rFonts w:ascii="Times New Roman" w:hAnsi="Times New Roman" w:cs="Times New Roman"/>
          <w:sz w:val="28"/>
          <w:szCs w:val="28"/>
          <w:lang w:val="en-US"/>
        </w:rPr>
        <w:t>This paper examines how strategic innovation methodologies influence and mirror the changing role of universities within this shift.</w:t>
      </w:r>
    </w:p>
    <w:p w14:paraId="1B43A03D" w14:textId="4CC8AA2F" w:rsidR="00997DCD" w:rsidRPr="007B37C0" w:rsidRDefault="00997DCD" w:rsidP="001838B1">
      <w:pPr>
        <w:spacing w:after="0" w:line="240" w:lineRule="auto"/>
        <w:ind w:firstLine="720"/>
        <w:contextualSpacing/>
        <w:jc w:val="both"/>
        <w:rPr>
          <w:rFonts w:ascii="Times New Roman" w:hAnsi="Times New Roman" w:cs="Times New Roman"/>
          <w:i/>
          <w:iCs/>
          <w:sz w:val="28"/>
          <w:szCs w:val="28"/>
          <w:lang w:val="en-US"/>
        </w:rPr>
      </w:pPr>
      <w:r w:rsidRPr="007B37C0">
        <w:rPr>
          <w:rFonts w:ascii="Times New Roman" w:hAnsi="Times New Roman" w:cs="Times New Roman"/>
          <w:i/>
          <w:iCs/>
          <w:sz w:val="28"/>
          <w:szCs w:val="28"/>
          <w:lang w:val="en-US"/>
        </w:rPr>
        <w:t>Transformation of Innovation Management concept in universities</w:t>
      </w:r>
      <w:r w:rsidR="00B20C3E" w:rsidRPr="00B20C3E">
        <w:rPr>
          <w:rFonts w:ascii="Times New Roman" w:hAnsi="Times New Roman" w:cs="Times New Roman"/>
          <w:i/>
          <w:iCs/>
          <w:sz w:val="28"/>
          <w:szCs w:val="28"/>
          <w:lang w:val="en-US"/>
        </w:rPr>
        <w:t>.</w:t>
      </w:r>
      <w:r w:rsidRPr="007B37C0">
        <w:rPr>
          <w:rFonts w:ascii="Times New Roman" w:hAnsi="Times New Roman" w:cs="Times New Roman"/>
          <w:i/>
          <w:iCs/>
          <w:sz w:val="28"/>
          <w:szCs w:val="28"/>
          <w:lang w:val="en-US"/>
        </w:rPr>
        <w:t xml:space="preserve">  </w:t>
      </w:r>
    </w:p>
    <w:p w14:paraId="0C67172F" w14:textId="77777777" w:rsidR="00997DCD" w:rsidRPr="00244343" w:rsidRDefault="00997DCD" w:rsidP="001838B1">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Many early and recent studies have mainly focused on a knowledge-based economy, innovations for sustainability, entrepreneurship, innovation environment, the triple helix circulation (University-Industry-Government) and their interactions issues. Different countries worldwide with various innovation propensity have their own pace in implementing the triple helix model and own way of realizing it. While there has been much study on the topics mentioned earlier, few researchers have considered the management of the triple helix model or University-Industry collaborations within the context of the management in academia itself.</w:t>
      </w:r>
    </w:p>
    <w:p w14:paraId="69F12370" w14:textId="192C0DB0" w:rsidR="00997DCD" w:rsidRPr="00244343" w:rsidRDefault="00997DCD" w:rsidP="001838B1">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 triple helix concept has always been considered an innovation. The word and idea of innovation became a trendy one in this globalized world. The term "innovation" is interpreted differently in the extensive literature on innovation, technology and entrepreneurship. Although this term may be perceived as something newly emerged, the meaning it has been carrying over the centuries was one: novelty or bringing something different.  Back in the 19th century, the idea of innovation was first used, or leastways some descriptions of the ideas implying our modern understanding of innovation were mentioned.  At those times, an innovator was envisioned as someone who departed from social standards [</w:t>
      </w:r>
      <w:r w:rsidR="00901CED">
        <w:rPr>
          <w:rFonts w:ascii="Times New Roman" w:eastAsia="Times New Roman" w:hAnsi="Times New Roman" w:cs="Times New Roman"/>
          <w:sz w:val="28"/>
          <w:szCs w:val="28"/>
          <w:lang w:val="en-US"/>
        </w:rPr>
        <w:t>7</w:t>
      </w:r>
      <w:r w:rsidR="00E53266">
        <w:rPr>
          <w:rFonts w:ascii="Times New Roman" w:eastAsia="Times New Roman" w:hAnsi="Times New Roman" w:cs="Times New Roman"/>
          <w:sz w:val="28"/>
          <w:szCs w:val="28"/>
          <w:lang w:val="en-US"/>
        </w:rPr>
        <w:t>1</w:t>
      </w:r>
      <w:r w:rsidRPr="00244343">
        <w:rPr>
          <w:rFonts w:ascii="Times New Roman" w:eastAsia="Times New Roman" w:hAnsi="Times New Roman" w:cs="Times New Roman"/>
          <w:sz w:val="28"/>
          <w:szCs w:val="28"/>
          <w:lang w:val="en-US"/>
        </w:rPr>
        <w:t xml:space="preserve">]. </w:t>
      </w:r>
    </w:p>
    <w:p w14:paraId="62E976D2" w14:textId="77777777" w:rsidR="00997DCD" w:rsidRPr="00244343" w:rsidRDefault="00997DCD" w:rsidP="001838B1">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Over the centuries, the notion of innovation and viewing it was twofold: positive and negative. Although once the innovation was perceived as something negative, nowadays, it is held positively. Thus, the first and foremost is identifying what innovation is, what it encompasses, and how it is intertwined with the triple helix concept.  </w:t>
      </w:r>
    </w:p>
    <w:p w14:paraId="31804F26" w14:textId="77777777" w:rsidR="00997DCD" w:rsidRPr="00244343" w:rsidRDefault="00997DCD" w:rsidP="001838B1">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Today, the concept of innovation is widely used and perceived as a part of our culture. But even though this term has permeated all spheres of social and economic lives, to what extent do we fully understand this concept? </w:t>
      </w:r>
    </w:p>
    <w:p w14:paraId="22693E1F" w14:textId="77777777" w:rsidR="00997DCD" w:rsidRPr="00244343" w:rsidRDefault="00997DCD" w:rsidP="001838B1">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We assume innovation as not just a new product or cutting-edge technology, but also a new way of application of certain technology, the other way of doing an action or process. Innovation is a change. Change in the way a certain technology or method of employing function. </w:t>
      </w:r>
    </w:p>
    <w:p w14:paraId="3A80F285" w14:textId="436C37DE" w:rsidR="00997DCD" w:rsidRPr="00244343" w:rsidRDefault="00997DCD" w:rsidP="001838B1">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 concept of innovation was first mentioned centuries ago, implying the usage of new technologies benefits for industry flourishing. K. Marx posited that technological advancement is fundamental for social progress [</w:t>
      </w:r>
      <w:r w:rsidR="00901CED">
        <w:rPr>
          <w:rFonts w:ascii="Times New Roman" w:eastAsia="Times New Roman" w:hAnsi="Times New Roman" w:cs="Times New Roman"/>
          <w:sz w:val="28"/>
          <w:szCs w:val="28"/>
          <w:lang w:val="en-US"/>
        </w:rPr>
        <w:t>7</w:t>
      </w:r>
      <w:r w:rsidR="00E53266">
        <w:rPr>
          <w:rFonts w:ascii="Times New Roman" w:eastAsia="Times New Roman" w:hAnsi="Times New Roman" w:cs="Times New Roman"/>
          <w:sz w:val="28"/>
          <w:szCs w:val="28"/>
          <w:lang w:val="en-US"/>
        </w:rPr>
        <w:t>2</w:t>
      </w:r>
      <w:r w:rsidRPr="00244343">
        <w:rPr>
          <w:rFonts w:ascii="Times New Roman" w:eastAsia="Times New Roman" w:hAnsi="Times New Roman" w:cs="Times New Roman"/>
          <w:sz w:val="28"/>
          <w:szCs w:val="28"/>
          <w:lang w:val="en-US"/>
        </w:rPr>
        <w:t>].</w:t>
      </w:r>
    </w:p>
    <w:p w14:paraId="7FE4A830" w14:textId="2FB5EFCB" w:rsidR="00997DCD" w:rsidRPr="00244343" w:rsidRDefault="00997DCD" w:rsidP="001838B1">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Furthermore, a famous Austrian economist, the founder of modern growth theory -Schumpeter, highlighted the impact of innovation-based competition on capitalist evolution and was the first who noticed that entrepreneurs who seek profit in the new technology diffusion and progress were a source of economic advancement [</w:t>
      </w:r>
      <w:r w:rsidR="00901CED">
        <w:rPr>
          <w:rFonts w:ascii="Times New Roman" w:eastAsia="Times New Roman" w:hAnsi="Times New Roman" w:cs="Times New Roman"/>
          <w:sz w:val="28"/>
          <w:szCs w:val="28"/>
          <w:lang w:val="en-US"/>
        </w:rPr>
        <w:t>7</w:t>
      </w:r>
      <w:r w:rsidR="00E53266">
        <w:rPr>
          <w:rFonts w:ascii="Times New Roman" w:eastAsia="Times New Roman" w:hAnsi="Times New Roman" w:cs="Times New Roman"/>
          <w:sz w:val="28"/>
          <w:szCs w:val="28"/>
          <w:lang w:val="en-US"/>
        </w:rPr>
        <w:t>3</w:t>
      </w:r>
      <w:r w:rsidRPr="00244343">
        <w:rPr>
          <w:rFonts w:ascii="Times New Roman" w:eastAsia="Times New Roman" w:hAnsi="Times New Roman" w:cs="Times New Roman"/>
          <w:sz w:val="28"/>
          <w:szCs w:val="28"/>
          <w:lang w:val="en-US"/>
        </w:rPr>
        <w:t>].</w:t>
      </w:r>
    </w:p>
    <w:p w14:paraId="02152B68" w14:textId="7ACD2D8C" w:rsidR="00997DCD" w:rsidRPr="00244343" w:rsidRDefault="00997DCD" w:rsidP="001838B1">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Finally, the author of the first textbook on innovation and the first editor of the widely known scientific journal "Research Policy" is Christopher Freeman combined all theories of innovation proposed by K. Marx, Schumpeter. Resting on their ideas, back in the 1970s, he developed a new agenda with emphasis on industry </w:t>
      </w:r>
      <w:r w:rsidRPr="00244343">
        <w:rPr>
          <w:rFonts w:ascii="Times New Roman" w:eastAsia="Times New Roman" w:hAnsi="Times New Roman" w:cs="Times New Roman"/>
          <w:sz w:val="28"/>
          <w:szCs w:val="28"/>
          <w:lang w:val="en-US"/>
        </w:rPr>
        <w:lastRenderedPageBreak/>
        <w:t>innovation processes understanding and their interaction with social, institutional and economic environments [</w:t>
      </w:r>
      <w:r w:rsidR="00901CED">
        <w:rPr>
          <w:rFonts w:ascii="Times New Roman" w:eastAsia="Times New Roman" w:hAnsi="Times New Roman" w:cs="Times New Roman"/>
          <w:sz w:val="28"/>
          <w:szCs w:val="28"/>
          <w:lang w:val="en-US"/>
        </w:rPr>
        <w:t>7</w:t>
      </w:r>
      <w:r w:rsidR="00E53266">
        <w:rPr>
          <w:rFonts w:ascii="Times New Roman" w:eastAsia="Times New Roman" w:hAnsi="Times New Roman" w:cs="Times New Roman"/>
          <w:sz w:val="28"/>
          <w:szCs w:val="28"/>
          <w:lang w:val="en-US"/>
        </w:rPr>
        <w:t>2</w:t>
      </w:r>
      <w:r w:rsidRPr="00244343">
        <w:rPr>
          <w:rFonts w:ascii="Times New Roman" w:eastAsia="Times New Roman" w:hAnsi="Times New Roman" w:cs="Times New Roman"/>
          <w:sz w:val="28"/>
          <w:szCs w:val="28"/>
          <w:lang w:val="en-US"/>
        </w:rPr>
        <w:t>, p. 23-24].</w:t>
      </w:r>
    </w:p>
    <w:p w14:paraId="012EF2E7" w14:textId="76576575" w:rsidR="00997DCD" w:rsidRPr="00244343" w:rsidRDefault="00997DCD" w:rsidP="001838B1">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Whenever we consider innovation, we usually discuss the role of entrepreneurs and entrepreneurship. The first time the term "entrepreneur" was coined by J.B. Say around 1800, implying the entrepreneurs as those who change economic recourses from one lower area productivity to higher level productivity [</w:t>
      </w:r>
      <w:r w:rsidR="00364C67">
        <w:rPr>
          <w:rFonts w:ascii="Times New Roman" w:eastAsia="Times New Roman" w:hAnsi="Times New Roman" w:cs="Times New Roman"/>
          <w:sz w:val="28"/>
          <w:szCs w:val="28"/>
          <w:lang w:val="en-US"/>
        </w:rPr>
        <w:t>7</w:t>
      </w:r>
      <w:r w:rsidR="00E53266">
        <w:rPr>
          <w:rFonts w:ascii="Times New Roman" w:eastAsia="Times New Roman" w:hAnsi="Times New Roman" w:cs="Times New Roman"/>
          <w:sz w:val="28"/>
          <w:szCs w:val="28"/>
          <w:lang w:val="en-US"/>
        </w:rPr>
        <w:t>4</w:t>
      </w:r>
      <w:r w:rsidRPr="00244343">
        <w:rPr>
          <w:rFonts w:ascii="Times New Roman" w:eastAsia="Times New Roman" w:hAnsi="Times New Roman" w:cs="Times New Roman"/>
          <w:sz w:val="28"/>
          <w:szCs w:val="28"/>
          <w:lang w:val="en-US"/>
        </w:rPr>
        <w:t>]. He did mention who entrepreneur was, but not what was it.</w:t>
      </w:r>
    </w:p>
    <w:p w14:paraId="01292B4A" w14:textId="77777777" w:rsidR="00997DCD" w:rsidRPr="00244343" w:rsidRDefault="00997DCD" w:rsidP="001838B1">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People are commonly cognizant of who brings innovations into public use. Peter F. Drucker, in his book </w:t>
      </w:r>
      <w:r>
        <w:rPr>
          <w:rFonts w:ascii="Times New Roman" w:eastAsia="Times New Roman" w:hAnsi="Times New Roman" w:cs="Times New Roman"/>
          <w:sz w:val="28"/>
          <w:szCs w:val="28"/>
          <w:lang w:val="en-US"/>
        </w:rPr>
        <w:t>“</w:t>
      </w:r>
      <w:r w:rsidRPr="00244343">
        <w:rPr>
          <w:rFonts w:ascii="Times New Roman" w:eastAsia="Times New Roman" w:hAnsi="Times New Roman" w:cs="Times New Roman"/>
          <w:sz w:val="28"/>
          <w:szCs w:val="28"/>
          <w:lang w:val="en-US"/>
        </w:rPr>
        <w:t>Innovation and entrepreneurship. Practice and principles</w:t>
      </w:r>
      <w:r>
        <w:rPr>
          <w:rFonts w:ascii="Times New Roman" w:eastAsia="Times New Roman" w:hAnsi="Times New Roman" w:cs="Times New Roman"/>
          <w:sz w:val="28"/>
          <w:szCs w:val="28"/>
          <w:lang w:val="en-US"/>
        </w:rPr>
        <w:t>”</w:t>
      </w:r>
      <w:r w:rsidRPr="00244343">
        <w:rPr>
          <w:rFonts w:ascii="Times New Roman" w:eastAsia="Times New Roman" w:hAnsi="Times New Roman" w:cs="Times New Roman"/>
          <w:sz w:val="28"/>
          <w:szCs w:val="28"/>
          <w:lang w:val="en-US"/>
        </w:rPr>
        <w:t xml:space="preserve"> elucidated innovation via entrepreneurship. Being an entrepreneur, according to him, is not just having one's own company but having a business that could give customers a new way of managing or a modified way of applying something. Peter F. Drucker underscores that "innovation" is a particular tool for entrepreneurs to create a new product, opportunity or new market thus not an invention standing out independently</w:t>
      </w:r>
      <w:r>
        <w:rPr>
          <w:rFonts w:ascii="Times New Roman" w:eastAsia="Times New Roman" w:hAnsi="Times New Roman" w:cs="Times New Roman"/>
          <w:sz w:val="28"/>
          <w:szCs w:val="28"/>
          <w:lang w:val="en-US"/>
        </w:rPr>
        <w:t xml:space="preserve"> </w:t>
      </w:r>
      <w:r w:rsidRPr="00244343">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2</w:t>
      </w:r>
      <w:r w:rsidRPr="00244343">
        <w:rPr>
          <w:rFonts w:ascii="Times New Roman" w:eastAsia="Times New Roman" w:hAnsi="Times New Roman" w:cs="Times New Roman"/>
          <w:sz w:val="28"/>
          <w:szCs w:val="28"/>
          <w:lang w:val="en-US"/>
        </w:rPr>
        <w:t>, p. 21].</w:t>
      </w:r>
    </w:p>
    <w:p w14:paraId="236E762B" w14:textId="48794842" w:rsidR="00997DCD" w:rsidRPr="00244343" w:rsidRDefault="00997DCD" w:rsidP="001838B1">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As a rule, we assume entrepreneurs as those who innovate. At least, the US institutions equal innovation to entrepreneurship. Howard Stevenson, who was a director of the Arthur Rock Centre for Entrepreneurship at Harvard Business School did so much to establish entrepreneurship as a discipline there. He defined it as: </w:t>
      </w:r>
      <w:r>
        <w:rPr>
          <w:rFonts w:ascii="Times New Roman" w:eastAsia="Times New Roman" w:hAnsi="Times New Roman" w:cs="Times New Roman"/>
          <w:sz w:val="28"/>
          <w:szCs w:val="28"/>
          <w:lang w:val="en-US"/>
        </w:rPr>
        <w:t>“</w:t>
      </w:r>
      <w:r w:rsidRPr="00244343">
        <w:rPr>
          <w:rFonts w:ascii="Times New Roman" w:eastAsia="Times New Roman" w:hAnsi="Times New Roman" w:cs="Times New Roman"/>
          <w:sz w:val="28"/>
          <w:szCs w:val="28"/>
          <w:lang w:val="en-US"/>
        </w:rPr>
        <w:t>the pursuit of opportunity beyond the recourses you currently control</w:t>
      </w:r>
      <w:r>
        <w:rPr>
          <w:rFonts w:ascii="Times New Roman" w:eastAsia="Times New Roman" w:hAnsi="Times New Roman" w:cs="Times New Roman"/>
          <w:sz w:val="28"/>
          <w:szCs w:val="28"/>
          <w:lang w:val="en-US"/>
        </w:rPr>
        <w:t xml:space="preserve">” </w:t>
      </w:r>
      <w:r w:rsidRPr="00244343">
        <w:rPr>
          <w:rFonts w:ascii="Times New Roman" w:eastAsia="Times New Roman" w:hAnsi="Times New Roman" w:cs="Times New Roman"/>
          <w:sz w:val="28"/>
          <w:szCs w:val="28"/>
          <w:lang w:val="en-US"/>
        </w:rPr>
        <w:t>[</w:t>
      </w:r>
      <w:r w:rsidR="00364C67">
        <w:rPr>
          <w:rFonts w:ascii="Times New Roman" w:eastAsia="Times New Roman" w:hAnsi="Times New Roman" w:cs="Times New Roman"/>
          <w:sz w:val="28"/>
          <w:szCs w:val="28"/>
          <w:lang w:val="en-US"/>
        </w:rPr>
        <w:t>7</w:t>
      </w:r>
      <w:r w:rsidR="00E53266">
        <w:rPr>
          <w:rFonts w:ascii="Times New Roman" w:eastAsia="Times New Roman" w:hAnsi="Times New Roman" w:cs="Times New Roman"/>
          <w:sz w:val="28"/>
          <w:szCs w:val="28"/>
          <w:lang w:val="en-US"/>
        </w:rPr>
        <w:t>5</w:t>
      </w:r>
      <w:r w:rsidRPr="00244343">
        <w:rPr>
          <w:rFonts w:ascii="Times New Roman" w:eastAsia="Times New Roman" w:hAnsi="Times New Roman" w:cs="Times New Roman"/>
          <w:sz w:val="28"/>
          <w:szCs w:val="28"/>
          <w:lang w:val="en-US"/>
        </w:rPr>
        <w:t>].</w:t>
      </w:r>
    </w:p>
    <w:p w14:paraId="5FB8107D" w14:textId="77777777" w:rsidR="00997DCD" w:rsidRDefault="00997DCD" w:rsidP="001838B1">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Earlier, P. Drucker pointed out the importance of entrepreneurship, contending that entrepreneurs are those who innovate [</w:t>
      </w:r>
      <w:r>
        <w:rPr>
          <w:rFonts w:ascii="Times New Roman" w:eastAsia="Times New Roman" w:hAnsi="Times New Roman" w:cs="Times New Roman"/>
          <w:sz w:val="28"/>
          <w:szCs w:val="28"/>
          <w:lang w:val="en-US"/>
        </w:rPr>
        <w:t>2</w:t>
      </w:r>
      <w:r w:rsidRPr="00244343">
        <w:rPr>
          <w:rFonts w:ascii="Times New Roman" w:eastAsia="Times New Roman" w:hAnsi="Times New Roman" w:cs="Times New Roman"/>
          <w:sz w:val="28"/>
          <w:szCs w:val="28"/>
          <w:lang w:val="en-US"/>
        </w:rPr>
        <w:t>, p. 30]. Thus, we made a succinct overview of "entrepreneurship", "entrepreneur", and "innovation" terms definitions given by him, where we clearly observe the interconnection of these terms. The collection of his definitions for these terms are depicted on the next table below.</w:t>
      </w:r>
      <w:bookmarkStart w:id="7" w:name="_Toc146656845"/>
    </w:p>
    <w:p w14:paraId="335D78A8" w14:textId="77777777" w:rsidR="00997DCD" w:rsidRDefault="00997DCD" w:rsidP="00997DCD">
      <w:pPr>
        <w:spacing w:after="0" w:line="240" w:lineRule="auto"/>
        <w:ind w:firstLine="709"/>
        <w:contextualSpacing/>
        <w:jc w:val="both"/>
        <w:rPr>
          <w:rFonts w:ascii="Times New Roman" w:eastAsia="Times New Roman" w:hAnsi="Times New Roman" w:cs="Times New Roman"/>
          <w:sz w:val="28"/>
          <w:szCs w:val="28"/>
          <w:lang w:val="en-US"/>
        </w:rPr>
      </w:pPr>
    </w:p>
    <w:p w14:paraId="23EA986E" w14:textId="7FAC099B" w:rsidR="00997DCD" w:rsidRDefault="00997DCD" w:rsidP="002B2A5B">
      <w:pPr>
        <w:spacing w:after="0" w:line="240" w:lineRule="auto"/>
        <w:ind w:firstLine="709"/>
        <w:contextualSpacing/>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Table </w:t>
      </w:r>
      <w:r w:rsidR="00FE57A7">
        <w:rPr>
          <w:rFonts w:ascii="Times New Roman" w:eastAsia="Times New Roman" w:hAnsi="Times New Roman" w:cs="Times New Roman"/>
          <w:sz w:val="28"/>
          <w:szCs w:val="28"/>
          <w:lang w:val="en-US"/>
        </w:rPr>
        <w:t>3</w:t>
      </w:r>
      <w:r w:rsidRPr="00244343">
        <w:rPr>
          <w:rFonts w:ascii="Times New Roman" w:eastAsia="Times New Roman" w:hAnsi="Times New Roman" w:cs="Times New Roman"/>
          <w:sz w:val="28"/>
          <w:szCs w:val="28"/>
          <w:lang w:val="en-US"/>
        </w:rPr>
        <w:t xml:space="preserve"> </w:t>
      </w:r>
      <w:r w:rsidR="002B2A5B" w:rsidRPr="002B2A5B">
        <w:rPr>
          <w:rFonts w:ascii="Times New Roman" w:eastAsia="Times New Roman" w:hAnsi="Times New Roman" w:cs="Times New Roman"/>
          <w:sz w:val="28"/>
          <w:szCs w:val="28"/>
          <w:lang w:val="en-US"/>
        </w:rPr>
        <w:t>–</w:t>
      </w:r>
      <w:r w:rsidRPr="00244343">
        <w:rPr>
          <w:rFonts w:ascii="Times New Roman" w:eastAsia="Times New Roman" w:hAnsi="Times New Roman" w:cs="Times New Roman"/>
          <w:sz w:val="28"/>
          <w:szCs w:val="28"/>
          <w:lang w:val="en-US"/>
        </w:rPr>
        <w:t xml:space="preserve"> Peter F. Drucker`s definitions for </w:t>
      </w:r>
      <w:r>
        <w:rPr>
          <w:rFonts w:ascii="Times New Roman" w:eastAsia="Times New Roman" w:hAnsi="Times New Roman" w:cs="Times New Roman"/>
          <w:sz w:val="28"/>
          <w:szCs w:val="28"/>
          <w:lang w:val="en-US"/>
        </w:rPr>
        <w:t>“</w:t>
      </w:r>
      <w:r w:rsidRPr="00244343">
        <w:rPr>
          <w:rFonts w:ascii="Times New Roman" w:eastAsia="Times New Roman" w:hAnsi="Times New Roman" w:cs="Times New Roman"/>
          <w:sz w:val="28"/>
          <w:szCs w:val="28"/>
          <w:lang w:val="en-US"/>
        </w:rPr>
        <w:t>innovation</w:t>
      </w:r>
      <w:r>
        <w:rPr>
          <w:rFonts w:ascii="Times New Roman" w:eastAsia="Times New Roman" w:hAnsi="Times New Roman" w:cs="Times New Roman"/>
          <w:sz w:val="28"/>
          <w:szCs w:val="28"/>
          <w:lang w:val="en-US"/>
        </w:rPr>
        <w:t>”</w:t>
      </w:r>
      <w:r w:rsidRPr="00244343">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w:t>
      </w:r>
      <w:r w:rsidRPr="00244343">
        <w:rPr>
          <w:rFonts w:ascii="Times New Roman" w:eastAsia="Times New Roman" w:hAnsi="Times New Roman" w:cs="Times New Roman"/>
          <w:sz w:val="28"/>
          <w:szCs w:val="28"/>
          <w:lang w:val="en-US"/>
        </w:rPr>
        <w:t>entrepreneurship</w:t>
      </w:r>
      <w:r>
        <w:rPr>
          <w:rFonts w:ascii="Times New Roman" w:eastAsia="Times New Roman" w:hAnsi="Times New Roman" w:cs="Times New Roman"/>
          <w:sz w:val="28"/>
          <w:szCs w:val="28"/>
          <w:lang w:val="en-US"/>
        </w:rPr>
        <w:t>”</w:t>
      </w:r>
      <w:r w:rsidRPr="00244343">
        <w:rPr>
          <w:rFonts w:ascii="Times New Roman" w:eastAsia="Times New Roman" w:hAnsi="Times New Roman" w:cs="Times New Roman"/>
          <w:sz w:val="28"/>
          <w:szCs w:val="28"/>
          <w:lang w:val="en-US"/>
        </w:rPr>
        <w:t xml:space="preserve"> and </w:t>
      </w:r>
      <w:r>
        <w:rPr>
          <w:rFonts w:ascii="Times New Roman" w:eastAsia="Times New Roman" w:hAnsi="Times New Roman" w:cs="Times New Roman"/>
          <w:sz w:val="28"/>
          <w:szCs w:val="28"/>
          <w:lang w:val="en-US"/>
        </w:rPr>
        <w:t>“</w:t>
      </w:r>
      <w:r w:rsidRPr="00244343">
        <w:rPr>
          <w:rFonts w:ascii="Times New Roman" w:eastAsia="Times New Roman" w:hAnsi="Times New Roman" w:cs="Times New Roman"/>
          <w:sz w:val="28"/>
          <w:szCs w:val="28"/>
          <w:lang w:val="en-US"/>
        </w:rPr>
        <w:t>entrepreneur</w:t>
      </w:r>
      <w:r>
        <w:rPr>
          <w:rFonts w:ascii="Times New Roman" w:eastAsia="Times New Roman" w:hAnsi="Times New Roman" w:cs="Times New Roman"/>
          <w:sz w:val="28"/>
          <w:szCs w:val="28"/>
          <w:lang w:val="en-US"/>
        </w:rPr>
        <w:t>”</w:t>
      </w:r>
      <w:r w:rsidRPr="00244343">
        <w:rPr>
          <w:rFonts w:ascii="Times New Roman" w:eastAsia="Times New Roman" w:hAnsi="Times New Roman" w:cs="Times New Roman"/>
          <w:sz w:val="28"/>
          <w:szCs w:val="28"/>
          <w:lang w:val="en-US"/>
        </w:rPr>
        <w:t xml:space="preserve"> terms</w:t>
      </w:r>
      <w:bookmarkEnd w:id="7"/>
    </w:p>
    <w:p w14:paraId="240BE74D" w14:textId="77777777" w:rsidR="002B2A5B" w:rsidRPr="00244343" w:rsidRDefault="002B2A5B" w:rsidP="002B2A5B">
      <w:pPr>
        <w:spacing w:after="0" w:line="240" w:lineRule="auto"/>
        <w:ind w:firstLine="709"/>
        <w:contextualSpacing/>
        <w:rPr>
          <w:rFonts w:ascii="Times New Roman" w:eastAsia="Times New Roman" w:hAnsi="Times New Roman" w:cs="Times New Roman"/>
          <w:sz w:val="28"/>
          <w:szCs w:val="28"/>
          <w:lang w:val="en-US"/>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2694"/>
        <w:gridCol w:w="3543"/>
      </w:tblGrid>
      <w:tr w:rsidR="00997DCD" w:rsidRPr="00244343" w14:paraId="522641E5" w14:textId="77777777" w:rsidTr="00FF5B3B">
        <w:trPr>
          <w:trHeight w:val="481"/>
        </w:trPr>
        <w:tc>
          <w:tcPr>
            <w:tcW w:w="3397" w:type="dxa"/>
            <w:tcBorders>
              <w:bottom w:val="single" w:sz="4" w:space="0" w:color="000000"/>
            </w:tcBorders>
            <w:shd w:val="clear" w:color="auto" w:fill="FFFFFF" w:themeFill="background1"/>
            <w:vAlign w:val="center"/>
          </w:tcPr>
          <w:p w14:paraId="79E66DCD" w14:textId="77777777" w:rsidR="00997DCD" w:rsidRPr="00244343" w:rsidRDefault="00997DCD" w:rsidP="004524BE">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eastAsia="ru-RU"/>
              </w:rPr>
              <w:t>Entrepreneurship</w:t>
            </w:r>
          </w:p>
        </w:tc>
        <w:tc>
          <w:tcPr>
            <w:tcW w:w="2694" w:type="dxa"/>
            <w:tcBorders>
              <w:bottom w:val="single" w:sz="4" w:space="0" w:color="000000"/>
            </w:tcBorders>
            <w:shd w:val="clear" w:color="auto" w:fill="FFFFFF" w:themeFill="background1"/>
            <w:vAlign w:val="center"/>
          </w:tcPr>
          <w:p w14:paraId="180F5A5F" w14:textId="77777777" w:rsidR="00997DCD" w:rsidRPr="00244343" w:rsidRDefault="00997DCD" w:rsidP="004524BE">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eastAsia="ru-RU"/>
              </w:rPr>
              <w:t>Entrepreneurs</w:t>
            </w:r>
          </w:p>
        </w:tc>
        <w:tc>
          <w:tcPr>
            <w:tcW w:w="3543" w:type="dxa"/>
            <w:tcBorders>
              <w:bottom w:val="single" w:sz="4" w:space="0" w:color="000000"/>
            </w:tcBorders>
            <w:shd w:val="clear" w:color="auto" w:fill="FFFFFF" w:themeFill="background1"/>
            <w:vAlign w:val="center"/>
          </w:tcPr>
          <w:p w14:paraId="200A9C98" w14:textId="77777777" w:rsidR="00997DCD" w:rsidRPr="00244343" w:rsidRDefault="00997DCD" w:rsidP="004524BE">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eastAsia="ru-RU"/>
              </w:rPr>
              <w:t>Innovation</w:t>
            </w:r>
          </w:p>
        </w:tc>
      </w:tr>
      <w:tr w:rsidR="00997DCD" w:rsidRPr="00C80297" w14:paraId="5E029226" w14:textId="77777777" w:rsidTr="00FF5B3B">
        <w:tc>
          <w:tcPr>
            <w:tcW w:w="3397" w:type="dxa"/>
            <w:tcBorders>
              <w:bottom w:val="nil"/>
            </w:tcBorders>
          </w:tcPr>
          <w:p w14:paraId="20BABD65" w14:textId="77777777" w:rsidR="00997DCD" w:rsidRPr="00244343" w:rsidRDefault="00997DCD" w:rsidP="004524BE">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eastAsia="ru-RU"/>
              </w:rPr>
              <w:t>-creating a new market and new customer</w:t>
            </w:r>
          </w:p>
          <w:p w14:paraId="37007EF1" w14:textId="77777777" w:rsidR="00997DCD" w:rsidRPr="00244343" w:rsidRDefault="00997DCD" w:rsidP="004524BE">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eastAsia="ru-RU"/>
              </w:rPr>
              <w:t>-creating something new, something different, and specific</w:t>
            </w:r>
          </w:p>
          <w:p w14:paraId="2912C6AF" w14:textId="77777777" w:rsidR="00997DCD" w:rsidRPr="00244343" w:rsidRDefault="00997DCD" w:rsidP="004524BE">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eastAsia="ru-RU"/>
              </w:rPr>
              <w:t>-change or transmute values</w:t>
            </w:r>
          </w:p>
          <w:p w14:paraId="505CE6F6" w14:textId="77777777" w:rsidR="00997DCD" w:rsidRPr="00244343" w:rsidRDefault="00997DCD" w:rsidP="004524BE">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eastAsia="ru-RU"/>
              </w:rPr>
              <w:t>- it is a behavior not a personality trait</w:t>
            </w:r>
          </w:p>
          <w:p w14:paraId="17155ED6" w14:textId="77777777" w:rsidR="00997DCD" w:rsidRPr="00244343" w:rsidRDefault="00997DCD" w:rsidP="004524BE">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eastAsia="ru-RU"/>
              </w:rPr>
              <w:t>-searching for change, responding to it and exploiting it as an opportunity</w:t>
            </w:r>
          </w:p>
          <w:p w14:paraId="273C7B19" w14:textId="642B2047" w:rsidR="00997DCD" w:rsidRPr="00244343" w:rsidRDefault="00997DCD" w:rsidP="004524BE">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eastAsia="ru-RU"/>
              </w:rPr>
              <w:t>-risky</w:t>
            </w:r>
          </w:p>
        </w:tc>
        <w:tc>
          <w:tcPr>
            <w:tcW w:w="2694" w:type="dxa"/>
            <w:tcBorders>
              <w:bottom w:val="nil"/>
            </w:tcBorders>
          </w:tcPr>
          <w:p w14:paraId="564B22FB" w14:textId="77777777" w:rsidR="00997DCD" w:rsidRPr="00244343" w:rsidRDefault="00997DCD" w:rsidP="004524BE">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eastAsia="ru-RU"/>
              </w:rPr>
              <w:t>-not investor</w:t>
            </w:r>
          </w:p>
          <w:p w14:paraId="1B89DA2B" w14:textId="77777777" w:rsidR="00997DCD" w:rsidRPr="00244343" w:rsidRDefault="00997DCD" w:rsidP="004524BE">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eastAsia="ru-RU"/>
              </w:rPr>
              <w:t>-not an employer but can be, and often is, an employee</w:t>
            </w:r>
          </w:p>
          <w:p w14:paraId="12835514" w14:textId="77777777" w:rsidR="00997DCD" w:rsidRPr="00244343" w:rsidRDefault="00997DCD" w:rsidP="004524BE">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eastAsia="ru-RU"/>
              </w:rPr>
              <w:t>-someone who works alone and entirely by himself or herself</w:t>
            </w:r>
          </w:p>
          <w:p w14:paraId="53638F3F" w14:textId="77777777" w:rsidR="00997DCD" w:rsidRPr="00244343" w:rsidRDefault="00997DCD" w:rsidP="004524BE">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eastAsia="ru-RU"/>
              </w:rPr>
              <w:t>-they innovate</w:t>
            </w:r>
          </w:p>
          <w:p w14:paraId="2D7B3975" w14:textId="77777777" w:rsidR="00997DCD" w:rsidRPr="00244343" w:rsidRDefault="00997DCD" w:rsidP="004524BE">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eastAsia="ru-RU"/>
              </w:rPr>
              <w:t>-create value and make a contribution.</w:t>
            </w:r>
          </w:p>
          <w:p w14:paraId="6B58019D" w14:textId="77777777" w:rsidR="00997DCD" w:rsidRPr="00244343" w:rsidRDefault="00997DCD" w:rsidP="004524BE">
            <w:pPr>
              <w:spacing w:after="0" w:line="240" w:lineRule="auto"/>
              <w:contextualSpacing/>
              <w:jc w:val="both"/>
              <w:rPr>
                <w:rFonts w:ascii="Times New Roman" w:eastAsia="Times New Roman" w:hAnsi="Times New Roman" w:cs="Times New Roman"/>
                <w:sz w:val="28"/>
                <w:szCs w:val="28"/>
                <w:lang w:val="en-US"/>
              </w:rPr>
            </w:pPr>
          </w:p>
        </w:tc>
        <w:tc>
          <w:tcPr>
            <w:tcW w:w="3543" w:type="dxa"/>
            <w:tcBorders>
              <w:bottom w:val="nil"/>
            </w:tcBorders>
          </w:tcPr>
          <w:p w14:paraId="2A42C226" w14:textId="77777777" w:rsidR="00997DCD" w:rsidRPr="00244343" w:rsidRDefault="00997DCD" w:rsidP="004524BE">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eastAsia="ru-RU"/>
              </w:rPr>
              <w:t>-any changes in the wealth-producing potential of already existing recourses</w:t>
            </w:r>
          </w:p>
          <w:p w14:paraId="5E1EE4AC" w14:textId="77777777" w:rsidR="00997DCD" w:rsidRPr="00244343" w:rsidRDefault="00997DCD" w:rsidP="004524BE">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eastAsia="ru-RU"/>
              </w:rPr>
              <w:t>-new perception of a technology</w:t>
            </w:r>
          </w:p>
          <w:p w14:paraId="62379584" w14:textId="77777777" w:rsidR="00997DCD" w:rsidRPr="00244343" w:rsidRDefault="00997DCD" w:rsidP="004524BE">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eastAsia="ru-RU"/>
              </w:rPr>
              <w:t>-specific instrument of entrepreneurship</w:t>
            </w:r>
          </w:p>
          <w:p w14:paraId="096FCC89" w14:textId="77777777" w:rsidR="00997DCD" w:rsidRPr="00244343" w:rsidRDefault="00997DCD" w:rsidP="004524BE">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eastAsia="ru-RU"/>
              </w:rPr>
              <w:t>-creates recourses</w:t>
            </w:r>
          </w:p>
          <w:p w14:paraId="2106669C" w14:textId="77777777" w:rsidR="00997DCD" w:rsidRPr="00244343" w:rsidRDefault="00997DCD" w:rsidP="004524BE">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eastAsia="ru-RU"/>
              </w:rPr>
              <w:t>-is not a technical term, but economic or social</w:t>
            </w:r>
          </w:p>
          <w:p w14:paraId="0D9B230D" w14:textId="77777777" w:rsidR="00997DCD" w:rsidRPr="00244343" w:rsidRDefault="00997DCD" w:rsidP="004524BE">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eastAsia="ru-RU"/>
              </w:rPr>
              <w:t>-defined in terms of demand not supply</w:t>
            </w:r>
          </w:p>
          <w:p w14:paraId="61C858C6" w14:textId="43DBD946" w:rsidR="00997DCD" w:rsidRPr="00FF5B3B" w:rsidRDefault="00997DCD" w:rsidP="004524BE">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eastAsia="ru-RU"/>
              </w:rPr>
              <w:t>-exploit change</w:t>
            </w:r>
          </w:p>
        </w:tc>
      </w:tr>
      <w:tr w:rsidR="00FF5B3B" w:rsidRPr="00C80297" w14:paraId="22F93651" w14:textId="77777777" w:rsidTr="00FF5B3B">
        <w:tc>
          <w:tcPr>
            <w:tcW w:w="3397" w:type="dxa"/>
            <w:tcBorders>
              <w:top w:val="nil"/>
              <w:left w:val="nil"/>
              <w:bottom w:val="single" w:sz="4" w:space="0" w:color="auto"/>
              <w:right w:val="nil"/>
            </w:tcBorders>
          </w:tcPr>
          <w:p w14:paraId="0FD57F82" w14:textId="653B89CE" w:rsidR="00FF5B3B" w:rsidRPr="00FF5B3B" w:rsidRDefault="00FF5B3B" w:rsidP="004524BE">
            <w:pPr>
              <w:spacing w:after="0" w:line="240" w:lineRule="auto"/>
              <w:contextualSpacing/>
              <w:jc w:val="both"/>
              <w:rPr>
                <w:rFonts w:ascii="Times New Roman" w:hAnsi="Times New Roman" w:cs="Times New Roman"/>
                <w:sz w:val="28"/>
                <w:szCs w:val="28"/>
                <w:lang w:val="kk-KZ"/>
              </w:rPr>
            </w:pPr>
            <w:proofErr w:type="spellStart"/>
            <w:r>
              <w:rPr>
                <w:rFonts w:ascii="Times New Roman" w:hAnsi="Times New Roman" w:cs="Times New Roman"/>
                <w:sz w:val="28"/>
                <w:szCs w:val="28"/>
              </w:rPr>
              <w:lastRenderedPageBreak/>
              <w:t>С</w:t>
            </w:r>
            <w:r w:rsidRPr="00C72C7F">
              <w:rPr>
                <w:rFonts w:ascii="Times New Roman" w:hAnsi="Times New Roman" w:cs="Times New Roman"/>
                <w:sz w:val="28"/>
                <w:szCs w:val="28"/>
              </w:rPr>
              <w:t>ontinuation</w:t>
            </w:r>
            <w:proofErr w:type="spellEnd"/>
            <w:r w:rsidRPr="00C72C7F">
              <w:rPr>
                <w:rFonts w:ascii="Times New Roman" w:hAnsi="Times New Roman" w:cs="Times New Roman"/>
                <w:sz w:val="28"/>
                <w:szCs w:val="28"/>
              </w:rPr>
              <w:t xml:space="preserve"> </w:t>
            </w:r>
            <w:proofErr w:type="spellStart"/>
            <w:r w:rsidRPr="00C72C7F">
              <w:rPr>
                <w:rFonts w:ascii="Times New Roman" w:hAnsi="Times New Roman" w:cs="Times New Roman"/>
                <w:sz w:val="28"/>
                <w:szCs w:val="28"/>
              </w:rPr>
              <w:t>of</w:t>
            </w:r>
            <w:proofErr w:type="spellEnd"/>
            <w:r w:rsidRPr="00C72C7F">
              <w:rPr>
                <w:rFonts w:ascii="Times New Roman" w:hAnsi="Times New Roman" w:cs="Times New Roman"/>
                <w:sz w:val="28"/>
                <w:szCs w:val="28"/>
              </w:rPr>
              <w:t xml:space="preserve"> </w:t>
            </w:r>
            <w:proofErr w:type="spellStart"/>
            <w:r w:rsidRPr="00C72C7F">
              <w:rPr>
                <w:rFonts w:ascii="Times New Roman" w:hAnsi="Times New Roman" w:cs="Times New Roman"/>
                <w:sz w:val="28"/>
                <w:szCs w:val="28"/>
              </w:rPr>
              <w:t>the</w:t>
            </w:r>
            <w:proofErr w:type="spellEnd"/>
            <w:r w:rsidRPr="00C72C7F">
              <w:rPr>
                <w:rFonts w:ascii="Times New Roman" w:hAnsi="Times New Roman" w:cs="Times New Roman"/>
                <w:sz w:val="28"/>
                <w:szCs w:val="28"/>
              </w:rPr>
              <w:t xml:space="preserve"> </w:t>
            </w:r>
            <w:proofErr w:type="spellStart"/>
            <w:r w:rsidRPr="00C72C7F">
              <w:rPr>
                <w:rFonts w:ascii="Times New Roman" w:hAnsi="Times New Roman" w:cs="Times New Roman"/>
                <w:sz w:val="28"/>
                <w:szCs w:val="28"/>
              </w:rPr>
              <w:t>table</w:t>
            </w:r>
            <w:proofErr w:type="spellEnd"/>
            <w:r>
              <w:rPr>
                <w:rFonts w:ascii="Times New Roman" w:hAnsi="Times New Roman" w:cs="Times New Roman"/>
                <w:sz w:val="28"/>
                <w:szCs w:val="28"/>
              </w:rPr>
              <w:t xml:space="preserve"> </w:t>
            </w:r>
            <w:r>
              <w:rPr>
                <w:rFonts w:ascii="Times New Roman" w:hAnsi="Times New Roman" w:cs="Times New Roman"/>
                <w:sz w:val="28"/>
                <w:szCs w:val="28"/>
                <w:lang w:val="kk-KZ"/>
              </w:rPr>
              <w:t xml:space="preserve">3 </w:t>
            </w:r>
          </w:p>
          <w:p w14:paraId="2CC9A0DE" w14:textId="42BAB599" w:rsidR="00FF5B3B" w:rsidRPr="00FF5B3B" w:rsidRDefault="00FF5B3B" w:rsidP="004524BE">
            <w:pPr>
              <w:spacing w:after="0" w:line="240" w:lineRule="auto"/>
              <w:contextualSpacing/>
              <w:jc w:val="both"/>
              <w:rPr>
                <w:rFonts w:ascii="Times New Roman" w:hAnsi="Times New Roman" w:cs="Times New Roman"/>
                <w:sz w:val="16"/>
                <w:szCs w:val="16"/>
              </w:rPr>
            </w:pPr>
          </w:p>
        </w:tc>
        <w:tc>
          <w:tcPr>
            <w:tcW w:w="2694" w:type="dxa"/>
            <w:tcBorders>
              <w:top w:val="nil"/>
              <w:left w:val="nil"/>
              <w:bottom w:val="single" w:sz="4" w:space="0" w:color="auto"/>
              <w:right w:val="nil"/>
            </w:tcBorders>
          </w:tcPr>
          <w:p w14:paraId="4E2D3CEA" w14:textId="77777777" w:rsidR="00FF5B3B" w:rsidRPr="00244343" w:rsidRDefault="00FF5B3B" w:rsidP="004524BE">
            <w:pPr>
              <w:spacing w:after="0" w:line="240" w:lineRule="auto"/>
              <w:contextualSpacing/>
              <w:jc w:val="both"/>
              <w:rPr>
                <w:rFonts w:ascii="Times New Roman" w:hAnsi="Times New Roman" w:cs="Times New Roman"/>
                <w:sz w:val="28"/>
                <w:szCs w:val="28"/>
                <w:lang w:val="en-US" w:eastAsia="ru-RU"/>
              </w:rPr>
            </w:pPr>
          </w:p>
        </w:tc>
        <w:tc>
          <w:tcPr>
            <w:tcW w:w="3543" w:type="dxa"/>
            <w:tcBorders>
              <w:top w:val="nil"/>
              <w:left w:val="nil"/>
              <w:bottom w:val="single" w:sz="4" w:space="0" w:color="auto"/>
              <w:right w:val="nil"/>
            </w:tcBorders>
          </w:tcPr>
          <w:p w14:paraId="3886B5CC" w14:textId="77777777" w:rsidR="00FF5B3B" w:rsidRPr="00244343" w:rsidRDefault="00FF5B3B" w:rsidP="004524BE">
            <w:pPr>
              <w:spacing w:after="0" w:line="240" w:lineRule="auto"/>
              <w:contextualSpacing/>
              <w:jc w:val="both"/>
              <w:rPr>
                <w:rFonts w:ascii="Times New Roman" w:hAnsi="Times New Roman" w:cs="Times New Roman"/>
                <w:sz w:val="28"/>
                <w:szCs w:val="28"/>
                <w:lang w:val="en-US" w:eastAsia="ru-RU"/>
              </w:rPr>
            </w:pPr>
          </w:p>
        </w:tc>
      </w:tr>
      <w:tr w:rsidR="00FF5B3B" w:rsidRPr="005544BB" w14:paraId="2548653D" w14:textId="77777777" w:rsidTr="00FF5B3B">
        <w:tc>
          <w:tcPr>
            <w:tcW w:w="3397" w:type="dxa"/>
            <w:tcBorders>
              <w:top w:val="single" w:sz="4" w:space="0" w:color="auto"/>
            </w:tcBorders>
          </w:tcPr>
          <w:p w14:paraId="6A643F6D" w14:textId="767D66C0" w:rsidR="00FF5B3B" w:rsidRPr="00244343" w:rsidRDefault="00FF5B3B" w:rsidP="004524BE">
            <w:pPr>
              <w:spacing w:after="0" w:line="240" w:lineRule="auto"/>
              <w:contextualSpacing/>
              <w:jc w:val="both"/>
              <w:rPr>
                <w:rFonts w:ascii="Times New Roman" w:hAnsi="Times New Roman" w:cs="Times New Roman"/>
                <w:sz w:val="28"/>
                <w:szCs w:val="28"/>
                <w:lang w:val="en-US" w:eastAsia="ru-RU"/>
              </w:rPr>
            </w:pPr>
            <w:r w:rsidRPr="00244343">
              <w:rPr>
                <w:rFonts w:ascii="Times New Roman" w:hAnsi="Times New Roman" w:cs="Times New Roman"/>
                <w:sz w:val="28"/>
                <w:szCs w:val="28"/>
                <w:lang w:val="en-US" w:eastAsia="ru-RU"/>
              </w:rPr>
              <w:t xml:space="preserve">- it needs to be </w:t>
            </w:r>
            <w:proofErr w:type="gramStart"/>
            <w:r w:rsidRPr="00244343">
              <w:rPr>
                <w:rFonts w:ascii="Times New Roman" w:hAnsi="Times New Roman" w:cs="Times New Roman"/>
                <w:sz w:val="28"/>
                <w:szCs w:val="28"/>
                <w:lang w:val="en-US" w:eastAsia="ru-RU"/>
              </w:rPr>
              <w:t>systematic</w:t>
            </w:r>
            <w:r>
              <w:rPr>
                <w:rFonts w:ascii="Times New Roman" w:hAnsi="Times New Roman" w:cs="Times New Roman"/>
                <w:sz w:val="28"/>
                <w:szCs w:val="28"/>
                <w:lang w:val="en-US" w:eastAsia="ru-RU"/>
              </w:rPr>
              <w:t>,</w:t>
            </w:r>
            <w:proofErr w:type="gramEnd"/>
            <w:r>
              <w:rPr>
                <w:rFonts w:ascii="Times New Roman" w:hAnsi="Times New Roman" w:cs="Times New Roman"/>
                <w:sz w:val="28"/>
                <w:szCs w:val="28"/>
                <w:lang w:val="en-US" w:eastAsia="ru-RU"/>
              </w:rPr>
              <w:t xml:space="preserve"> </w:t>
            </w:r>
            <w:r w:rsidRPr="00244343">
              <w:rPr>
                <w:rFonts w:ascii="Times New Roman" w:hAnsi="Times New Roman" w:cs="Times New Roman"/>
                <w:sz w:val="28"/>
                <w:szCs w:val="28"/>
                <w:lang w:val="en-US" w:eastAsia="ru-RU"/>
              </w:rPr>
              <w:t>it needs to be managed, it needs to be based on purposeful innovation.</w:t>
            </w:r>
          </w:p>
        </w:tc>
        <w:tc>
          <w:tcPr>
            <w:tcW w:w="2694" w:type="dxa"/>
            <w:tcBorders>
              <w:top w:val="single" w:sz="4" w:space="0" w:color="auto"/>
            </w:tcBorders>
          </w:tcPr>
          <w:p w14:paraId="22E23727" w14:textId="0C89584D" w:rsidR="00FF5B3B" w:rsidRPr="00FF5B3B" w:rsidRDefault="00FF5B3B" w:rsidP="004524BE">
            <w:pPr>
              <w:spacing w:after="0" w:line="240" w:lineRule="auto"/>
              <w:contextualSpacing/>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p>
        </w:tc>
        <w:tc>
          <w:tcPr>
            <w:tcW w:w="3543" w:type="dxa"/>
            <w:tcBorders>
              <w:top w:val="single" w:sz="4" w:space="0" w:color="auto"/>
            </w:tcBorders>
          </w:tcPr>
          <w:p w14:paraId="0B40EF36" w14:textId="77777777" w:rsidR="00FF5B3B" w:rsidRPr="00244343" w:rsidRDefault="00FF5B3B" w:rsidP="00FF5B3B">
            <w:pPr>
              <w:spacing w:after="0" w:line="240" w:lineRule="auto"/>
              <w:contextualSpacing/>
              <w:jc w:val="both"/>
              <w:rPr>
                <w:rFonts w:ascii="Times New Roman" w:hAnsi="Times New Roman" w:cs="Times New Roman"/>
                <w:sz w:val="28"/>
                <w:szCs w:val="28"/>
                <w:lang w:val="en-US" w:eastAsia="ru-RU"/>
              </w:rPr>
            </w:pPr>
            <w:r w:rsidRPr="00244343">
              <w:rPr>
                <w:rFonts w:ascii="Times New Roman" w:hAnsi="Times New Roman" w:cs="Times New Roman"/>
                <w:sz w:val="28"/>
                <w:szCs w:val="28"/>
                <w:lang w:val="en-US" w:eastAsia="ru-RU"/>
              </w:rPr>
              <w:t>-hidden opportunity offered by unexpected success</w:t>
            </w:r>
          </w:p>
          <w:p w14:paraId="5B6AA4FD" w14:textId="5525B146" w:rsidR="00FF5B3B" w:rsidRPr="00244343" w:rsidRDefault="00FF5B3B" w:rsidP="00FF5B3B">
            <w:pPr>
              <w:spacing w:after="0" w:line="240" w:lineRule="auto"/>
              <w:contextualSpacing/>
              <w:jc w:val="both"/>
              <w:rPr>
                <w:rFonts w:ascii="Times New Roman" w:hAnsi="Times New Roman" w:cs="Times New Roman"/>
                <w:sz w:val="28"/>
                <w:szCs w:val="28"/>
                <w:lang w:val="en-US" w:eastAsia="ru-RU"/>
              </w:rPr>
            </w:pPr>
            <w:r w:rsidRPr="00244343">
              <w:rPr>
                <w:rFonts w:ascii="Times New Roman" w:hAnsi="Times New Roman" w:cs="Times New Roman"/>
                <w:sz w:val="28"/>
                <w:szCs w:val="28"/>
                <w:lang w:val="en-US" w:eastAsia="ru-RU"/>
              </w:rPr>
              <w:t>-opportunity and the need are the sources of innovation.</w:t>
            </w:r>
          </w:p>
        </w:tc>
      </w:tr>
      <w:tr w:rsidR="00997DCD" w:rsidRPr="005544BB" w14:paraId="566F3FCF" w14:textId="77777777" w:rsidTr="004524BE">
        <w:trPr>
          <w:trHeight w:val="418"/>
        </w:trPr>
        <w:tc>
          <w:tcPr>
            <w:tcW w:w="9634" w:type="dxa"/>
            <w:gridSpan w:val="3"/>
          </w:tcPr>
          <w:p w14:paraId="23AD9D10" w14:textId="13B925CD" w:rsidR="00997DCD" w:rsidRPr="002B2A5B" w:rsidRDefault="00997DCD" w:rsidP="004524BE">
            <w:pPr>
              <w:spacing w:after="0" w:line="240" w:lineRule="auto"/>
              <w:ind w:firstLine="596"/>
              <w:contextualSpacing/>
              <w:jc w:val="both"/>
              <w:rPr>
                <w:rFonts w:ascii="Times New Roman" w:hAnsi="Times New Roman" w:cs="Times New Roman"/>
                <w:sz w:val="24"/>
                <w:szCs w:val="24"/>
                <w:lang w:val="en-US" w:eastAsia="ru-RU"/>
              </w:rPr>
            </w:pPr>
            <w:r w:rsidRPr="002B2A5B">
              <w:rPr>
                <w:rFonts w:ascii="Times New Roman" w:hAnsi="Times New Roman" w:cs="Times New Roman"/>
                <w:sz w:val="24"/>
                <w:szCs w:val="24"/>
                <w:lang w:val="en-US" w:eastAsia="ru-RU"/>
              </w:rPr>
              <w:t>Note - compiled by the author based on [2, p. 1-100]</w:t>
            </w:r>
          </w:p>
        </w:tc>
      </w:tr>
    </w:tbl>
    <w:p w14:paraId="608F0807" w14:textId="77777777" w:rsidR="00715C92" w:rsidRDefault="00715C92" w:rsidP="00997DCD">
      <w:pPr>
        <w:spacing w:after="0" w:line="240" w:lineRule="auto"/>
        <w:ind w:firstLine="709"/>
        <w:contextualSpacing/>
        <w:jc w:val="both"/>
        <w:rPr>
          <w:rFonts w:ascii="Times New Roman" w:eastAsia="Times New Roman" w:hAnsi="Times New Roman" w:cs="Times New Roman"/>
          <w:sz w:val="28"/>
          <w:szCs w:val="28"/>
          <w:lang w:val="en-US"/>
        </w:rPr>
      </w:pPr>
    </w:p>
    <w:p w14:paraId="7EFC13E5" w14:textId="1951574E"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According to </w:t>
      </w:r>
      <w:r w:rsidRPr="00B20C3E">
        <w:rPr>
          <w:rFonts w:ascii="Times New Roman" w:eastAsia="Times New Roman" w:hAnsi="Times New Roman" w:cs="Times New Roman"/>
          <w:sz w:val="28"/>
          <w:szCs w:val="28"/>
          <w:lang w:val="en-US"/>
        </w:rPr>
        <w:t xml:space="preserve">table </w:t>
      </w:r>
      <w:r w:rsidR="00FE57A7" w:rsidRPr="00B20C3E">
        <w:rPr>
          <w:rFonts w:ascii="Times New Roman" w:eastAsia="Times New Roman" w:hAnsi="Times New Roman" w:cs="Times New Roman"/>
          <w:sz w:val="28"/>
          <w:szCs w:val="28"/>
          <w:lang w:val="en-US"/>
        </w:rPr>
        <w:t>3</w:t>
      </w:r>
      <w:r w:rsidRPr="00244343">
        <w:rPr>
          <w:rFonts w:ascii="Times New Roman" w:eastAsia="Times New Roman" w:hAnsi="Times New Roman" w:cs="Times New Roman"/>
          <w:sz w:val="28"/>
          <w:szCs w:val="28"/>
          <w:lang w:val="en-US"/>
        </w:rPr>
        <w:t xml:space="preserve">, innovation can be regarded as a particular tool to employ changes to build new values in the socio-economic market. </w:t>
      </w:r>
    </w:p>
    <w:p w14:paraId="279426F0" w14:textId="2EB77679"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Paul Trott gives the other interesting explanation of innovation in his book </w:t>
      </w:r>
      <w:r>
        <w:rPr>
          <w:rFonts w:ascii="Times New Roman" w:eastAsia="Times New Roman" w:hAnsi="Times New Roman" w:cs="Times New Roman"/>
          <w:sz w:val="28"/>
          <w:szCs w:val="28"/>
          <w:lang w:val="en-US"/>
        </w:rPr>
        <w:t>“</w:t>
      </w:r>
      <w:r w:rsidRPr="00244343">
        <w:rPr>
          <w:rFonts w:ascii="Times New Roman" w:eastAsia="Times New Roman" w:hAnsi="Times New Roman" w:cs="Times New Roman"/>
          <w:sz w:val="28"/>
          <w:szCs w:val="28"/>
          <w:lang w:val="en-US"/>
        </w:rPr>
        <w:t>Innovation management and new product development</w:t>
      </w:r>
      <w:r>
        <w:rPr>
          <w:rFonts w:ascii="Times New Roman" w:eastAsia="Times New Roman" w:hAnsi="Times New Roman" w:cs="Times New Roman"/>
          <w:sz w:val="28"/>
          <w:szCs w:val="28"/>
          <w:lang w:val="en-US"/>
        </w:rPr>
        <w:t>”</w:t>
      </w:r>
      <w:r w:rsidRPr="00244343">
        <w:rPr>
          <w:rFonts w:ascii="Times New Roman" w:eastAsia="Times New Roman" w:hAnsi="Times New Roman" w:cs="Times New Roman"/>
          <w:sz w:val="28"/>
          <w:szCs w:val="28"/>
          <w:lang w:val="en-US"/>
        </w:rPr>
        <w:t>. He emphasized to view innovation as a management process. By citing the famous innovation researcher scientist Christopher Freeman: ".... not to innovate is to die", Paul Trott accentuated the importance of new technologies; consequently, it was considered a fuel for the nineteenth century's industrial revolution. He supports the idea of Schumpeter, the famous Austrian economist, who emphasized the role of new technologies and product development for economic growth [</w:t>
      </w:r>
      <w:r w:rsidR="00364C67">
        <w:rPr>
          <w:rFonts w:ascii="Times New Roman" w:eastAsia="Times New Roman" w:hAnsi="Times New Roman" w:cs="Times New Roman"/>
          <w:sz w:val="28"/>
          <w:szCs w:val="28"/>
          <w:lang w:val="en-US"/>
        </w:rPr>
        <w:t>7</w:t>
      </w:r>
      <w:r w:rsidR="00E53266">
        <w:rPr>
          <w:rFonts w:ascii="Times New Roman" w:eastAsia="Times New Roman" w:hAnsi="Times New Roman" w:cs="Times New Roman"/>
          <w:sz w:val="28"/>
          <w:szCs w:val="28"/>
          <w:lang w:val="en-US"/>
        </w:rPr>
        <w:t>6</w:t>
      </w:r>
      <w:r w:rsidRPr="00244343">
        <w:rPr>
          <w:rFonts w:ascii="Times New Roman" w:eastAsia="Times New Roman" w:hAnsi="Times New Roman" w:cs="Times New Roman"/>
          <w:sz w:val="28"/>
          <w:szCs w:val="28"/>
          <w:lang w:val="en-US"/>
        </w:rPr>
        <w:t>]. Moreover, based on diverse definitions of innovation, he concluded it as the new concept idea utilized in a commercial or practical way [</w:t>
      </w:r>
      <w:r w:rsidR="00364C67">
        <w:rPr>
          <w:rFonts w:ascii="Times New Roman" w:eastAsia="Times New Roman" w:hAnsi="Times New Roman" w:cs="Times New Roman"/>
          <w:sz w:val="28"/>
          <w:szCs w:val="28"/>
          <w:lang w:val="en-US"/>
        </w:rPr>
        <w:t>7</w:t>
      </w:r>
      <w:r w:rsidR="00E53266">
        <w:rPr>
          <w:rFonts w:ascii="Times New Roman" w:eastAsia="Times New Roman" w:hAnsi="Times New Roman" w:cs="Times New Roman"/>
          <w:sz w:val="28"/>
          <w:szCs w:val="28"/>
          <w:lang w:val="en-US"/>
        </w:rPr>
        <w:t>5</w:t>
      </w:r>
      <w:r w:rsidRPr="00244343">
        <w:rPr>
          <w:rFonts w:ascii="Times New Roman" w:eastAsia="Times New Roman" w:hAnsi="Times New Roman" w:cs="Times New Roman"/>
          <w:sz w:val="28"/>
          <w:szCs w:val="28"/>
          <w:lang w:val="en-US"/>
        </w:rPr>
        <w:t>, p. 15].</w:t>
      </w:r>
      <w:r>
        <w:rPr>
          <w:rFonts w:ascii="Times New Roman" w:eastAsia="Times New Roman" w:hAnsi="Times New Roman" w:cs="Times New Roman"/>
          <w:sz w:val="28"/>
          <w:szCs w:val="28"/>
          <w:lang w:val="en-US"/>
        </w:rPr>
        <w:t xml:space="preserve"> </w:t>
      </w:r>
    </w:p>
    <w:p w14:paraId="79A68AA5" w14:textId="364036A8"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 We can clearly observe how P. Trott views innovation as a chain of activities, where the first invention as a concept idea appears first, then there should be a clear way of marketing the idea into product development, finally to make invented idea to be applied in that market. Seeing the innovation as a process of management gives us an opportunity to connect it to the idea of the triple helix spiral model, which has almost the same sequence of steps in the process. As was told by Godin, we are not to address innovation as a concept. In his book "Innovation contested. The idea of innovation over the centuries", cited Farr ideas states (1989:24) that concepts and actions go together and alter together. Therefore, the concept of innovation does not merely represent but serves to perform actions: changing the world [</w:t>
      </w:r>
      <w:r w:rsidR="00364C67">
        <w:rPr>
          <w:rFonts w:ascii="Times New Roman" w:eastAsia="Times New Roman" w:hAnsi="Times New Roman" w:cs="Times New Roman"/>
          <w:sz w:val="28"/>
          <w:szCs w:val="28"/>
          <w:lang w:val="en-US"/>
        </w:rPr>
        <w:t>7</w:t>
      </w:r>
      <w:r w:rsidR="00E53266">
        <w:rPr>
          <w:rFonts w:ascii="Times New Roman" w:eastAsia="Times New Roman" w:hAnsi="Times New Roman" w:cs="Times New Roman"/>
          <w:sz w:val="28"/>
          <w:szCs w:val="28"/>
          <w:lang w:val="en-US"/>
        </w:rPr>
        <w:t>1</w:t>
      </w:r>
      <w:r w:rsidRPr="00244343">
        <w:rPr>
          <w:rFonts w:ascii="Times New Roman" w:eastAsia="Times New Roman" w:hAnsi="Times New Roman" w:cs="Times New Roman"/>
          <w:sz w:val="28"/>
          <w:szCs w:val="28"/>
          <w:lang w:val="en-US"/>
        </w:rPr>
        <w:t xml:space="preserve">, p. 20]. </w:t>
      </w:r>
    </w:p>
    <w:p w14:paraId="0521C465" w14:textId="77777777"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We cannot vision each step separately since all the agents of change in the process of creating innovation bring novelty into our world.</w:t>
      </w:r>
    </w:p>
    <w:p w14:paraId="7B781242" w14:textId="77777777"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Innovation is not merely a new product or idea; it is supposed to bring economic and political profit. Any new idea or changed view of the idea should be commercialized. </w:t>
      </w:r>
    </w:p>
    <w:p w14:paraId="48615753" w14:textId="77777777"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To innovate, the entrepreneur needs a certain knowledge base or experience. Consequently, we aim to explore how important knowledge for economic growth. </w:t>
      </w:r>
    </w:p>
    <w:p w14:paraId="595FF3FA" w14:textId="66087DBE"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New knowledge is a huge source of innovation. According to P. Drucker, the knowledge-based innovation is the </w:t>
      </w:r>
      <w:r>
        <w:rPr>
          <w:rFonts w:ascii="Times New Roman" w:eastAsia="Times New Roman" w:hAnsi="Times New Roman" w:cs="Times New Roman"/>
          <w:sz w:val="28"/>
          <w:szCs w:val="28"/>
          <w:lang w:val="en-US"/>
        </w:rPr>
        <w:t>“</w:t>
      </w:r>
      <w:r w:rsidRPr="00244343">
        <w:rPr>
          <w:rFonts w:ascii="Times New Roman" w:eastAsia="Times New Roman" w:hAnsi="Times New Roman" w:cs="Times New Roman"/>
          <w:sz w:val="28"/>
          <w:szCs w:val="28"/>
          <w:lang w:val="en-US"/>
        </w:rPr>
        <w:t>super-star</w:t>
      </w:r>
      <w:r>
        <w:rPr>
          <w:rFonts w:ascii="Times New Roman" w:eastAsia="Times New Roman" w:hAnsi="Times New Roman" w:cs="Times New Roman"/>
          <w:sz w:val="28"/>
          <w:szCs w:val="28"/>
          <w:lang w:val="en-US"/>
        </w:rPr>
        <w:t>”</w:t>
      </w:r>
      <w:r w:rsidRPr="00244343">
        <w:rPr>
          <w:rFonts w:ascii="Times New Roman" w:eastAsia="Times New Roman" w:hAnsi="Times New Roman" w:cs="Times New Roman"/>
          <w:sz w:val="28"/>
          <w:szCs w:val="28"/>
          <w:lang w:val="en-US"/>
        </w:rPr>
        <w:t xml:space="preserve"> of entrepreneurship [</w:t>
      </w:r>
      <w:r>
        <w:rPr>
          <w:rFonts w:ascii="Times New Roman" w:eastAsia="Times New Roman" w:hAnsi="Times New Roman" w:cs="Times New Roman"/>
          <w:sz w:val="28"/>
          <w:szCs w:val="28"/>
          <w:lang w:val="en-US"/>
        </w:rPr>
        <w:t>2</w:t>
      </w:r>
      <w:r w:rsidRPr="00244343">
        <w:rPr>
          <w:rFonts w:ascii="Times New Roman" w:eastAsia="Times New Roman" w:hAnsi="Times New Roman" w:cs="Times New Roman"/>
          <w:sz w:val="28"/>
          <w:szCs w:val="28"/>
          <w:lang w:val="en-US"/>
        </w:rPr>
        <w:t>, p.107]. There are three broad sub-processes of innovation identified as the production of knowledge. The other two are the transformation of that knowledge into a product, then the continuous matching of the product (or service) to market needs [</w:t>
      </w:r>
      <w:r w:rsidR="00364C67">
        <w:rPr>
          <w:rFonts w:ascii="Times New Roman" w:eastAsia="Times New Roman" w:hAnsi="Times New Roman" w:cs="Times New Roman"/>
          <w:sz w:val="28"/>
          <w:szCs w:val="28"/>
          <w:lang w:val="en-US"/>
        </w:rPr>
        <w:t>7</w:t>
      </w:r>
      <w:r w:rsidR="00E53266">
        <w:rPr>
          <w:rFonts w:ascii="Times New Roman" w:eastAsia="Times New Roman" w:hAnsi="Times New Roman" w:cs="Times New Roman"/>
          <w:sz w:val="28"/>
          <w:szCs w:val="28"/>
          <w:lang w:val="en-US"/>
        </w:rPr>
        <w:t>6</w:t>
      </w:r>
      <w:r w:rsidRPr="00244343">
        <w:rPr>
          <w:rFonts w:ascii="Times New Roman" w:eastAsia="Times New Roman" w:hAnsi="Times New Roman" w:cs="Times New Roman"/>
          <w:sz w:val="28"/>
          <w:szCs w:val="28"/>
          <w:lang w:val="en-US"/>
        </w:rPr>
        <w:t xml:space="preserve">, p. 86].  The success of these sub-processes relies on a specific team. The team that involves the actors to implement each process. As a rule, these actors are universities (or </w:t>
      </w:r>
      <w:r w:rsidRPr="00244343">
        <w:rPr>
          <w:rFonts w:ascii="Times New Roman" w:eastAsia="Times New Roman" w:hAnsi="Times New Roman" w:cs="Times New Roman"/>
          <w:sz w:val="28"/>
          <w:szCs w:val="28"/>
          <w:lang w:val="en-US"/>
        </w:rPr>
        <w:lastRenderedPageBreak/>
        <w:t xml:space="preserve">research institutions), industry (companies) and government. And the interaction of these three agents is considered a triple spiral model in innovative output production. In other words, these three actors are cooperated to make a novel product or service for market demands. </w:t>
      </w:r>
    </w:p>
    <w:p w14:paraId="511F9C14" w14:textId="2CFDD5C7" w:rsidR="00997DCD" w:rsidRDefault="00997DCD" w:rsidP="00997DCD">
      <w:pPr>
        <w:spacing w:after="0" w:line="240" w:lineRule="auto"/>
        <w:ind w:firstLine="709"/>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Initially triple spiral model has been used as a biological jargon, borrowed from the language of cell biology [</w:t>
      </w:r>
      <w:r w:rsidR="00E53266">
        <w:rPr>
          <w:rFonts w:ascii="Times New Roman" w:eastAsia="Times New Roman" w:hAnsi="Times New Roman" w:cs="Times New Roman"/>
          <w:sz w:val="28"/>
          <w:szCs w:val="28"/>
          <w:lang w:val="en-US"/>
        </w:rPr>
        <w:t>77</w:t>
      </w:r>
      <w:r w:rsidRPr="00244343">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244343">
        <w:rPr>
          <w:rFonts w:ascii="Times New Roman" w:eastAsia="Times New Roman" w:hAnsi="Times New Roman" w:cs="Times New Roman"/>
          <w:sz w:val="28"/>
          <w:szCs w:val="28"/>
          <w:lang w:val="en-US"/>
        </w:rPr>
        <w:t>p.</w:t>
      </w:r>
      <w:r>
        <w:rPr>
          <w:rFonts w:ascii="Times New Roman" w:eastAsia="Times New Roman" w:hAnsi="Times New Roman" w:cs="Times New Roman"/>
          <w:sz w:val="28"/>
          <w:szCs w:val="28"/>
          <w:lang w:val="en-US"/>
        </w:rPr>
        <w:t xml:space="preserve"> </w:t>
      </w:r>
      <w:r w:rsidRPr="00244343">
        <w:rPr>
          <w:rFonts w:ascii="Times New Roman" w:eastAsia="Times New Roman" w:hAnsi="Times New Roman" w:cs="Times New Roman"/>
          <w:sz w:val="28"/>
          <w:szCs w:val="28"/>
          <w:lang w:val="en-US"/>
        </w:rPr>
        <w:t xml:space="preserve">239]. The discovery of triplex forms of oligonucleotides that can be used to modify DNA and control gene expression led to their commercialization. Figure 1 below displays and elucidates the process of product development and profit-making via a biological triangle model. Biological triangle model was first to be used as the triple helix spiral model for economic purposes. </w:t>
      </w:r>
    </w:p>
    <w:p w14:paraId="44B39870" w14:textId="77777777" w:rsidR="00997DCD" w:rsidRDefault="00997DCD" w:rsidP="00997DCD">
      <w:pPr>
        <w:spacing w:after="0" w:line="240" w:lineRule="auto"/>
        <w:ind w:firstLine="709"/>
        <w:contextualSpacing/>
        <w:jc w:val="both"/>
        <w:rPr>
          <w:rFonts w:ascii="Times New Roman" w:eastAsia="Times New Roman" w:hAnsi="Times New Roman" w:cs="Times New Roman"/>
          <w:sz w:val="28"/>
          <w:szCs w:val="28"/>
          <w:lang w:val="en-US"/>
        </w:rPr>
      </w:pPr>
    </w:p>
    <w:p w14:paraId="38EBCD1D" w14:textId="77777777" w:rsidR="00997DCD" w:rsidRDefault="00997DCD" w:rsidP="00997DCD">
      <w:pPr>
        <w:spacing w:after="0" w:line="240" w:lineRule="auto"/>
        <w:contextualSpacing/>
        <w:rPr>
          <w:rFonts w:ascii="Times New Roman" w:eastAsia="Times New Roman" w:hAnsi="Times New Roman" w:cs="Times New Roman"/>
          <w:sz w:val="28"/>
          <w:szCs w:val="28"/>
          <w:lang w:val="en-US"/>
        </w:rPr>
      </w:pPr>
      <w:r w:rsidRPr="00244343">
        <w:rPr>
          <w:rFonts w:ascii="Times New Roman" w:eastAsia="Times New Roman" w:hAnsi="Times New Roman" w:cs="Times New Roman"/>
          <w:noProof/>
          <w:sz w:val="28"/>
          <w:szCs w:val="28"/>
          <w:lang w:eastAsia="ru-RU"/>
        </w:rPr>
        <w:drawing>
          <wp:inline distT="0" distB="0" distL="0" distR="0" wp14:anchorId="4F81C719" wp14:editId="33B33072">
            <wp:extent cx="5805170" cy="3959742"/>
            <wp:effectExtent l="0" t="38100" r="0" b="41275"/>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928B5DD" w14:textId="77777777" w:rsidR="00997DCD" w:rsidRPr="00244343" w:rsidRDefault="00997DCD" w:rsidP="00997DCD">
      <w:pPr>
        <w:spacing w:after="0" w:line="240" w:lineRule="auto"/>
        <w:ind w:firstLine="720"/>
        <w:contextualSpacing/>
        <w:jc w:val="both"/>
        <w:rPr>
          <w:rFonts w:ascii="Times New Roman" w:eastAsia="Times New Roman" w:hAnsi="Times New Roman" w:cs="Times New Roman"/>
          <w:noProof/>
          <w:sz w:val="28"/>
          <w:szCs w:val="28"/>
          <w:lang w:val="en-US" w:eastAsia="ru-RU"/>
        </w:rPr>
      </w:pPr>
    </w:p>
    <w:p w14:paraId="39D5C171" w14:textId="144DD815" w:rsidR="00997DCD" w:rsidRPr="006D799B" w:rsidRDefault="00997DCD" w:rsidP="006D799B">
      <w:pPr>
        <w:spacing w:after="0" w:line="240" w:lineRule="auto"/>
        <w:ind w:firstLine="709"/>
        <w:contextualSpacing/>
        <w:jc w:val="center"/>
        <w:rPr>
          <w:rFonts w:ascii="Times New Roman" w:eastAsia="Times New Roman" w:hAnsi="Times New Roman" w:cs="Times New Roman"/>
          <w:sz w:val="28"/>
          <w:szCs w:val="28"/>
          <w:lang w:val="en-US" w:eastAsia="ru-RU"/>
        </w:rPr>
      </w:pPr>
      <w:r w:rsidRPr="006D799B">
        <w:rPr>
          <w:rFonts w:ascii="Times New Roman" w:eastAsia="Times New Roman" w:hAnsi="Times New Roman" w:cs="Times New Roman"/>
          <w:sz w:val="28"/>
          <w:szCs w:val="28"/>
          <w:lang w:val="en-US" w:eastAsia="ru-RU"/>
        </w:rPr>
        <w:t xml:space="preserve">Figure </w:t>
      </w:r>
      <w:r w:rsidRPr="006D799B">
        <w:rPr>
          <w:rFonts w:ascii="Times New Roman" w:eastAsia="Times New Roman" w:hAnsi="Times New Roman" w:cs="Times New Roman"/>
          <w:sz w:val="28"/>
          <w:szCs w:val="28"/>
          <w:lang w:val="en-US" w:eastAsia="ru-RU"/>
        </w:rPr>
        <w:fldChar w:fldCharType="begin"/>
      </w:r>
      <w:r w:rsidRPr="006D799B">
        <w:rPr>
          <w:rFonts w:ascii="Times New Roman" w:eastAsia="Times New Roman" w:hAnsi="Times New Roman" w:cs="Times New Roman"/>
          <w:sz w:val="28"/>
          <w:szCs w:val="28"/>
          <w:lang w:val="en-US" w:eastAsia="ru-RU"/>
        </w:rPr>
        <w:instrText xml:space="preserve"> SEQ Рисунок \* ARABIC </w:instrText>
      </w:r>
      <w:r w:rsidRPr="006D799B">
        <w:rPr>
          <w:rFonts w:ascii="Times New Roman" w:eastAsia="Times New Roman" w:hAnsi="Times New Roman" w:cs="Times New Roman"/>
          <w:sz w:val="28"/>
          <w:szCs w:val="28"/>
          <w:lang w:val="en-US" w:eastAsia="ru-RU"/>
        </w:rPr>
        <w:fldChar w:fldCharType="separate"/>
      </w:r>
      <w:r w:rsidR="008D50B7">
        <w:rPr>
          <w:rFonts w:ascii="Times New Roman" w:eastAsia="Times New Roman" w:hAnsi="Times New Roman" w:cs="Times New Roman"/>
          <w:noProof/>
          <w:sz w:val="28"/>
          <w:szCs w:val="28"/>
          <w:lang w:val="en-US" w:eastAsia="ru-RU"/>
        </w:rPr>
        <w:t>1</w:t>
      </w:r>
      <w:r w:rsidRPr="006D799B">
        <w:rPr>
          <w:rFonts w:ascii="Times New Roman" w:eastAsia="Times New Roman" w:hAnsi="Times New Roman" w:cs="Times New Roman"/>
          <w:sz w:val="28"/>
          <w:szCs w:val="28"/>
          <w:lang w:val="en-US" w:eastAsia="ru-RU"/>
        </w:rPr>
        <w:fldChar w:fldCharType="end"/>
      </w:r>
      <w:r w:rsidRPr="006D799B">
        <w:rPr>
          <w:rFonts w:ascii="Times New Roman" w:eastAsia="Times New Roman" w:hAnsi="Times New Roman" w:cs="Times New Roman"/>
          <w:sz w:val="28"/>
          <w:szCs w:val="28"/>
          <w:lang w:val="en-US" w:eastAsia="ru-RU"/>
        </w:rPr>
        <w:t xml:space="preserve"> </w:t>
      </w:r>
      <w:r w:rsidR="00956FE9" w:rsidRPr="006D799B">
        <w:rPr>
          <w:rFonts w:ascii="Times New Roman" w:eastAsia="Times New Roman" w:hAnsi="Times New Roman" w:cs="Times New Roman"/>
          <w:sz w:val="28"/>
          <w:szCs w:val="28"/>
          <w:lang w:val="en-US" w:eastAsia="ru-RU"/>
        </w:rPr>
        <w:t>–</w:t>
      </w:r>
      <w:r w:rsidRPr="006D799B">
        <w:rPr>
          <w:rFonts w:ascii="Times New Roman" w:eastAsia="Times New Roman" w:hAnsi="Times New Roman" w:cs="Times New Roman"/>
          <w:sz w:val="28"/>
          <w:szCs w:val="28"/>
          <w:lang w:val="en-US" w:eastAsia="ru-RU"/>
        </w:rPr>
        <w:t xml:space="preserve"> The first emergence of biological triangle model for business purposes</w:t>
      </w:r>
    </w:p>
    <w:p w14:paraId="586AE3F1" w14:textId="77777777" w:rsidR="00997DCD" w:rsidRPr="00244343" w:rsidRDefault="00997DCD" w:rsidP="00DF0E36">
      <w:pPr>
        <w:pStyle w:val="aa"/>
      </w:pPr>
    </w:p>
    <w:p w14:paraId="17B770DD" w14:textId="03DFD488" w:rsidR="00997DCD" w:rsidRPr="00B4623F" w:rsidRDefault="00997DCD" w:rsidP="00956FE9">
      <w:pPr>
        <w:spacing w:after="0" w:line="240" w:lineRule="auto"/>
        <w:ind w:firstLine="709"/>
        <w:contextualSpacing/>
        <w:jc w:val="both"/>
        <w:rPr>
          <w:rFonts w:ascii="Times New Roman" w:hAnsi="Times New Roman" w:cs="Times New Roman"/>
          <w:sz w:val="24"/>
          <w:szCs w:val="24"/>
          <w:lang w:val="en-US"/>
        </w:rPr>
      </w:pPr>
      <w:r w:rsidRPr="00B4623F">
        <w:rPr>
          <w:rFonts w:ascii="Times New Roman" w:hAnsi="Times New Roman" w:cs="Times New Roman"/>
          <w:sz w:val="24"/>
          <w:szCs w:val="24"/>
          <w:lang w:val="en-US"/>
        </w:rPr>
        <w:t>Note – Compiled by the author based on [</w:t>
      </w:r>
      <w:r w:rsidR="00E53266" w:rsidRPr="00B4623F">
        <w:rPr>
          <w:rFonts w:ascii="Times New Roman" w:hAnsi="Times New Roman" w:cs="Times New Roman"/>
          <w:sz w:val="24"/>
          <w:szCs w:val="24"/>
          <w:lang w:val="en-US"/>
        </w:rPr>
        <w:t>77</w:t>
      </w:r>
      <w:r w:rsidRPr="00B4623F">
        <w:rPr>
          <w:rFonts w:ascii="Times New Roman" w:hAnsi="Times New Roman" w:cs="Times New Roman"/>
          <w:sz w:val="24"/>
          <w:szCs w:val="24"/>
          <w:lang w:val="en-US"/>
        </w:rPr>
        <w:t>, p.239]</w:t>
      </w:r>
    </w:p>
    <w:p w14:paraId="73719FBB" w14:textId="77777777" w:rsidR="00997DCD" w:rsidRPr="00244343" w:rsidRDefault="00997DCD" w:rsidP="00997DCD">
      <w:pPr>
        <w:spacing w:after="0" w:line="240" w:lineRule="auto"/>
        <w:rPr>
          <w:rFonts w:ascii="Times New Roman" w:hAnsi="Times New Roman" w:cs="Times New Roman"/>
          <w:sz w:val="28"/>
          <w:szCs w:val="28"/>
          <w:lang w:val="en-US"/>
        </w:rPr>
      </w:pPr>
    </w:p>
    <w:p w14:paraId="6909B3C7" w14:textId="77777777" w:rsidR="00997DCD" w:rsidRPr="00241001" w:rsidRDefault="00997DCD" w:rsidP="00997DCD">
      <w:pPr>
        <w:spacing w:after="0" w:line="240" w:lineRule="auto"/>
        <w:ind w:firstLine="709"/>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Figure 1 elucidates how gene splicing has first started to be used for commercial purposes. One can clearly see the management of the processes among the three sub-processes. The term </w:t>
      </w:r>
      <w:r>
        <w:rPr>
          <w:rFonts w:ascii="Times New Roman" w:eastAsia="Times New Roman" w:hAnsi="Times New Roman" w:cs="Times New Roman"/>
          <w:sz w:val="28"/>
          <w:szCs w:val="28"/>
          <w:lang w:val="en-US" w:eastAsia="ru-RU"/>
        </w:rPr>
        <w:t>“</w:t>
      </w:r>
      <w:r w:rsidRPr="00244343">
        <w:rPr>
          <w:rFonts w:ascii="Times New Roman" w:eastAsia="Times New Roman" w:hAnsi="Times New Roman" w:cs="Times New Roman"/>
          <w:sz w:val="28"/>
          <w:szCs w:val="28"/>
          <w:lang w:val="en-US" w:eastAsia="ru-RU"/>
        </w:rPr>
        <w:t>triple helix</w:t>
      </w:r>
      <w:r>
        <w:rPr>
          <w:rFonts w:ascii="Times New Roman" w:eastAsia="Times New Roman" w:hAnsi="Times New Roman" w:cs="Times New Roman"/>
          <w:sz w:val="28"/>
          <w:szCs w:val="28"/>
          <w:lang w:val="en-US" w:eastAsia="ru-RU"/>
        </w:rPr>
        <w:t>”</w:t>
      </w:r>
      <w:r w:rsidRPr="00244343">
        <w:rPr>
          <w:rFonts w:ascii="Times New Roman" w:eastAsia="Times New Roman" w:hAnsi="Times New Roman" w:cs="Times New Roman"/>
          <w:sz w:val="28"/>
          <w:szCs w:val="28"/>
          <w:lang w:val="en-US" w:eastAsia="ru-RU"/>
        </w:rPr>
        <w:t xml:space="preserve"> (CTHRC1) is also widely used in chronic auto-immune disease as a biomarker for rheumatoid arthritis.  Emanating from the biological model, the same process started its application in the economic field called the </w:t>
      </w:r>
      <w:r>
        <w:rPr>
          <w:rFonts w:ascii="Times New Roman" w:eastAsia="Times New Roman" w:hAnsi="Times New Roman" w:cs="Times New Roman"/>
          <w:sz w:val="28"/>
          <w:szCs w:val="28"/>
          <w:lang w:val="en-US" w:eastAsia="ru-RU"/>
        </w:rPr>
        <w:t>“</w:t>
      </w:r>
      <w:r w:rsidRPr="00244343">
        <w:rPr>
          <w:rFonts w:ascii="Times New Roman" w:eastAsia="Times New Roman" w:hAnsi="Times New Roman" w:cs="Times New Roman"/>
          <w:sz w:val="28"/>
          <w:szCs w:val="28"/>
          <w:lang w:val="en-US" w:eastAsia="ru-RU"/>
        </w:rPr>
        <w:t>triple helix</w:t>
      </w:r>
      <w:r>
        <w:rPr>
          <w:rFonts w:ascii="Times New Roman" w:eastAsia="Times New Roman" w:hAnsi="Times New Roman" w:cs="Times New Roman"/>
          <w:sz w:val="28"/>
          <w:szCs w:val="28"/>
          <w:lang w:val="en-US" w:eastAsia="ru-RU"/>
        </w:rPr>
        <w:t>”</w:t>
      </w:r>
      <w:r w:rsidRPr="00244343">
        <w:rPr>
          <w:rFonts w:ascii="Times New Roman" w:eastAsia="Times New Roman" w:hAnsi="Times New Roman" w:cs="Times New Roman"/>
          <w:sz w:val="28"/>
          <w:szCs w:val="28"/>
          <w:lang w:val="en-US" w:eastAsia="ru-RU"/>
        </w:rPr>
        <w:t xml:space="preserve"> model of innovation or product development. A prime example is illustrated in figure 2.</w:t>
      </w:r>
    </w:p>
    <w:p w14:paraId="3442DA65" w14:textId="77777777" w:rsidR="00997DCD" w:rsidRPr="00244343" w:rsidRDefault="00997DCD" w:rsidP="00997DCD">
      <w:pPr>
        <w:spacing w:after="0" w:line="240" w:lineRule="auto"/>
        <w:contextualSpacing/>
        <w:jc w:val="both"/>
        <w:rPr>
          <w:rFonts w:ascii="Times New Roman" w:eastAsia="Times New Roman" w:hAnsi="Times New Roman" w:cs="Times New Roman"/>
          <w:noProof/>
          <w:sz w:val="28"/>
          <w:szCs w:val="28"/>
          <w:lang w:val="en-US" w:eastAsia="ru-RU"/>
        </w:rPr>
      </w:pPr>
      <w:r w:rsidRPr="00244343">
        <w:rPr>
          <w:rFonts w:ascii="Times New Roman" w:eastAsia="Times New Roman" w:hAnsi="Times New Roman" w:cs="Times New Roman"/>
          <w:noProof/>
          <w:sz w:val="28"/>
          <w:szCs w:val="28"/>
          <w:lang w:eastAsia="ru-RU"/>
        </w:rPr>
        <w:lastRenderedPageBreak/>
        <w:drawing>
          <wp:inline distT="0" distB="0" distL="0" distR="0" wp14:anchorId="1F77854D" wp14:editId="4C3171E2">
            <wp:extent cx="5747658" cy="3675413"/>
            <wp:effectExtent l="0" t="0" r="0" b="1270"/>
            <wp:docPr id="2"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3C12D43" w14:textId="77777777"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eastAsia="ru-RU"/>
        </w:rPr>
      </w:pPr>
    </w:p>
    <w:p w14:paraId="24F20B47" w14:textId="0524FB03" w:rsidR="00997DCD" w:rsidRPr="006D799B" w:rsidRDefault="00997DCD" w:rsidP="006D799B">
      <w:pPr>
        <w:spacing w:after="0" w:line="240" w:lineRule="auto"/>
        <w:ind w:firstLine="709"/>
        <w:contextualSpacing/>
        <w:jc w:val="center"/>
        <w:rPr>
          <w:rFonts w:ascii="Times New Roman" w:eastAsia="Times New Roman" w:hAnsi="Times New Roman" w:cs="Times New Roman"/>
          <w:sz w:val="28"/>
          <w:szCs w:val="28"/>
          <w:lang w:val="en-US" w:eastAsia="ru-RU"/>
        </w:rPr>
      </w:pPr>
      <w:bookmarkStart w:id="8" w:name="_Toc146656862"/>
      <w:r w:rsidRPr="006D799B">
        <w:rPr>
          <w:rFonts w:ascii="Times New Roman" w:eastAsia="Times New Roman" w:hAnsi="Times New Roman" w:cs="Times New Roman"/>
          <w:sz w:val="28"/>
          <w:szCs w:val="28"/>
          <w:lang w:val="en-US" w:eastAsia="ru-RU"/>
        </w:rPr>
        <w:t xml:space="preserve">Figure </w:t>
      </w:r>
      <w:r w:rsidRPr="006D799B">
        <w:rPr>
          <w:rFonts w:ascii="Times New Roman" w:eastAsia="Times New Roman" w:hAnsi="Times New Roman" w:cs="Times New Roman"/>
          <w:sz w:val="28"/>
          <w:szCs w:val="28"/>
          <w:lang w:val="en-US" w:eastAsia="ru-RU"/>
        </w:rPr>
        <w:fldChar w:fldCharType="begin"/>
      </w:r>
      <w:r w:rsidRPr="006D799B">
        <w:rPr>
          <w:rFonts w:ascii="Times New Roman" w:eastAsia="Times New Roman" w:hAnsi="Times New Roman" w:cs="Times New Roman"/>
          <w:sz w:val="28"/>
          <w:szCs w:val="28"/>
          <w:lang w:val="en-US" w:eastAsia="ru-RU"/>
        </w:rPr>
        <w:instrText xml:space="preserve"> SEQ Рисунок \* ARABIC </w:instrText>
      </w:r>
      <w:r w:rsidRPr="006D799B">
        <w:rPr>
          <w:rFonts w:ascii="Times New Roman" w:eastAsia="Times New Roman" w:hAnsi="Times New Roman" w:cs="Times New Roman"/>
          <w:sz w:val="28"/>
          <w:szCs w:val="28"/>
          <w:lang w:val="en-US" w:eastAsia="ru-RU"/>
        </w:rPr>
        <w:fldChar w:fldCharType="separate"/>
      </w:r>
      <w:r w:rsidR="008D50B7">
        <w:rPr>
          <w:rFonts w:ascii="Times New Roman" w:eastAsia="Times New Roman" w:hAnsi="Times New Roman" w:cs="Times New Roman"/>
          <w:noProof/>
          <w:sz w:val="28"/>
          <w:szCs w:val="28"/>
          <w:lang w:val="en-US" w:eastAsia="ru-RU"/>
        </w:rPr>
        <w:t>2</w:t>
      </w:r>
      <w:r w:rsidRPr="006D799B">
        <w:rPr>
          <w:rFonts w:ascii="Times New Roman" w:eastAsia="Times New Roman" w:hAnsi="Times New Roman" w:cs="Times New Roman"/>
          <w:sz w:val="28"/>
          <w:szCs w:val="28"/>
          <w:lang w:val="en-US" w:eastAsia="ru-RU"/>
        </w:rPr>
        <w:fldChar w:fldCharType="end"/>
      </w:r>
      <w:r w:rsidRPr="006D799B">
        <w:rPr>
          <w:rFonts w:ascii="Times New Roman" w:eastAsia="Times New Roman" w:hAnsi="Times New Roman" w:cs="Times New Roman"/>
          <w:sz w:val="28"/>
          <w:szCs w:val="28"/>
          <w:lang w:val="en-US" w:eastAsia="ru-RU"/>
        </w:rPr>
        <w:t xml:space="preserve"> </w:t>
      </w:r>
      <w:r w:rsidR="00A8745E" w:rsidRPr="006D799B">
        <w:rPr>
          <w:rFonts w:ascii="Times New Roman" w:eastAsia="Times New Roman" w:hAnsi="Times New Roman" w:cs="Times New Roman"/>
          <w:sz w:val="28"/>
          <w:szCs w:val="28"/>
          <w:lang w:val="en-US" w:eastAsia="ru-RU"/>
        </w:rPr>
        <w:t>–</w:t>
      </w:r>
      <w:r w:rsidRPr="006D799B">
        <w:rPr>
          <w:rFonts w:ascii="Times New Roman" w:eastAsia="Times New Roman" w:hAnsi="Times New Roman" w:cs="Times New Roman"/>
          <w:sz w:val="28"/>
          <w:szCs w:val="28"/>
          <w:lang w:val="en-US" w:eastAsia="ru-RU"/>
        </w:rPr>
        <w:t xml:space="preserve"> TH model circulation agents</w:t>
      </w:r>
      <w:bookmarkEnd w:id="8"/>
    </w:p>
    <w:p w14:paraId="74A77583" w14:textId="77777777" w:rsidR="00997DCD" w:rsidRPr="00244343" w:rsidRDefault="00997DCD" w:rsidP="00DF0E36">
      <w:pPr>
        <w:pStyle w:val="aa"/>
      </w:pPr>
    </w:p>
    <w:p w14:paraId="575410CF" w14:textId="60B8BA3E" w:rsidR="00997DCD" w:rsidRPr="00244343" w:rsidRDefault="00997DCD" w:rsidP="00B4623F">
      <w:pPr>
        <w:pStyle w:val="aa"/>
        <w:jc w:val="left"/>
      </w:pPr>
      <w:r w:rsidRPr="00244343">
        <w:t>Note – Compiled by the author based on [</w:t>
      </w:r>
      <w:r w:rsidR="00E53266">
        <w:t>78</w:t>
      </w:r>
      <w:r w:rsidRPr="00244343">
        <w:t>, p 19]</w:t>
      </w:r>
    </w:p>
    <w:p w14:paraId="4F15B688" w14:textId="77777777" w:rsidR="00997DCD" w:rsidRPr="00244343" w:rsidRDefault="00997DCD" w:rsidP="00997DCD">
      <w:pPr>
        <w:spacing w:after="0" w:line="240" w:lineRule="auto"/>
        <w:rPr>
          <w:rFonts w:ascii="Times New Roman" w:hAnsi="Times New Roman" w:cs="Times New Roman"/>
          <w:sz w:val="28"/>
          <w:szCs w:val="28"/>
          <w:lang w:val="en-US"/>
        </w:rPr>
      </w:pPr>
    </w:p>
    <w:p w14:paraId="0F085760" w14:textId="27B5B44E"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As depicted in figure 2, the circulation of the triple helix fields is closely interconnected. Initially the idea/knowledge (university)is converted to the real service/product (with the help of industry/company) supported by the government. However, these three dependent actors of innovation process, can act separately or in the model like: university - industry collaborations. In university-industry collaborations the main financial support may come from different sources. Although some theories emphasize the role of government or companies in innovation, the triple helix model concentrates on the university as a source of entrepreneurship and innovation. Both universities and government can act as entrepreneurs, not just industry agents [</w:t>
      </w:r>
      <w:r w:rsidR="00E53266">
        <w:rPr>
          <w:rFonts w:ascii="Times New Roman" w:eastAsia="Times New Roman" w:hAnsi="Times New Roman" w:cs="Times New Roman"/>
          <w:sz w:val="28"/>
          <w:szCs w:val="28"/>
          <w:lang w:val="en-US" w:eastAsia="ru-RU"/>
        </w:rPr>
        <w:t>78</w:t>
      </w:r>
      <w:r w:rsidRPr="00244343">
        <w:rPr>
          <w:rFonts w:ascii="Times New Roman" w:eastAsia="Times New Roman" w:hAnsi="Times New Roman" w:cs="Times New Roman"/>
          <w:sz w:val="28"/>
          <w:szCs w:val="28"/>
          <w:lang w:val="en-US" w:eastAsia="ru-RU"/>
        </w:rPr>
        <w:t>, p. 1]. This role transforms universities into entrepreneurial identities. Therefore, knowledge is being capitalized on to reach a new mission.</w:t>
      </w:r>
      <w:r>
        <w:rPr>
          <w:rFonts w:ascii="Times New Roman" w:eastAsia="Times New Roman" w:hAnsi="Times New Roman" w:cs="Times New Roman"/>
          <w:sz w:val="28"/>
          <w:szCs w:val="28"/>
          <w:lang w:val="en-US" w:eastAsia="ru-RU"/>
        </w:rPr>
        <w:t xml:space="preserve"> </w:t>
      </w:r>
      <w:r w:rsidRPr="00244343">
        <w:rPr>
          <w:rFonts w:ascii="Times New Roman" w:eastAsia="Times New Roman" w:hAnsi="Times New Roman" w:cs="Times New Roman"/>
          <w:sz w:val="28"/>
          <w:szCs w:val="28"/>
          <w:lang w:val="en-US" w:eastAsia="ru-RU"/>
        </w:rPr>
        <w:t xml:space="preserve"> </w:t>
      </w:r>
    </w:p>
    <w:p w14:paraId="4E0CBACB" w14:textId="2A2F08EE"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To analyze the THM of innovative development, the Russian scientists </w:t>
      </w:r>
      <w:proofErr w:type="spellStart"/>
      <w:r w:rsidRPr="00244343">
        <w:rPr>
          <w:rFonts w:ascii="Times New Roman" w:eastAsia="Times New Roman" w:hAnsi="Times New Roman" w:cs="Times New Roman"/>
          <w:sz w:val="28"/>
          <w:szCs w:val="28"/>
          <w:lang w:val="en-US" w:eastAsia="ru-RU"/>
        </w:rPr>
        <w:t>Drobot</w:t>
      </w:r>
      <w:proofErr w:type="spellEnd"/>
      <w:r w:rsidRPr="00244343">
        <w:rPr>
          <w:rFonts w:ascii="Times New Roman" w:eastAsia="Times New Roman" w:hAnsi="Times New Roman" w:cs="Times New Roman"/>
          <w:sz w:val="28"/>
          <w:szCs w:val="28"/>
          <w:lang w:val="en-US" w:eastAsia="ru-RU"/>
        </w:rPr>
        <w:t xml:space="preserve"> D.A and </w:t>
      </w:r>
      <w:proofErr w:type="spellStart"/>
      <w:r w:rsidRPr="00244343">
        <w:rPr>
          <w:rFonts w:ascii="Times New Roman" w:eastAsia="Times New Roman" w:hAnsi="Times New Roman" w:cs="Times New Roman"/>
          <w:sz w:val="28"/>
          <w:szCs w:val="28"/>
          <w:lang w:val="en-US" w:eastAsia="ru-RU"/>
        </w:rPr>
        <w:t>Drobot</w:t>
      </w:r>
      <w:proofErr w:type="spellEnd"/>
      <w:r w:rsidRPr="00244343">
        <w:rPr>
          <w:rFonts w:ascii="Times New Roman" w:eastAsia="Times New Roman" w:hAnsi="Times New Roman" w:cs="Times New Roman"/>
          <w:sz w:val="28"/>
          <w:szCs w:val="28"/>
          <w:lang w:val="en-US" w:eastAsia="ru-RU"/>
        </w:rPr>
        <w:t xml:space="preserve"> P.N., by analogy method, chose the physical effect of spiral plasma density waves in instability of the flowing current. They employed the consistency pattern obtained precisely in the analysis of spiral instability in plasma of semiconductors. The explanation of these spiral instability patterns could describe the Triple Helix model patterns analysis in U-spiral, B-spiral, G-spiral forms. Besides, how these spirals could accumulate power and how they are characterized [</w:t>
      </w:r>
      <w:r w:rsidR="00E53266">
        <w:rPr>
          <w:rFonts w:ascii="Times New Roman" w:eastAsia="Times New Roman" w:hAnsi="Times New Roman" w:cs="Times New Roman"/>
          <w:sz w:val="28"/>
          <w:szCs w:val="28"/>
          <w:lang w:val="en-US" w:eastAsia="ru-RU"/>
        </w:rPr>
        <w:t>79</w:t>
      </w:r>
      <w:r w:rsidRPr="00244343">
        <w:rPr>
          <w:rFonts w:ascii="Times New Roman" w:eastAsia="Times New Roman" w:hAnsi="Times New Roman" w:cs="Times New Roman"/>
          <w:sz w:val="28"/>
          <w:szCs w:val="28"/>
          <w:lang w:val="en-US" w:eastAsia="ru-RU"/>
        </w:rPr>
        <w:t xml:space="preserve">]. They concluded that the TH model allows making the universities a center of invention and creating high-tech business. </w:t>
      </w:r>
    </w:p>
    <w:p w14:paraId="5966CB12" w14:textId="77777777"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lastRenderedPageBreak/>
        <w:t xml:space="preserve">The Triple Helix model's different views for innovation do not urge us to adhere to a specific rule; vice versa, it allows us to act flexibly in the entrepreneurship journey. </w:t>
      </w:r>
    </w:p>
    <w:p w14:paraId="57895CC3" w14:textId="5C689E86"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Hence, the triple helix model is not something fixed, and it is rather flexible in the way it performs its role in the economic field. The way the triple helix is functioning has two different paths: a statist model and laissez-faire. If the government controls academia and industry, it is called the statist model, while in a laissez-faire model, three actors of the TH function separately and apart from each other [</w:t>
      </w:r>
      <w:r w:rsidR="00E53266">
        <w:rPr>
          <w:rFonts w:ascii="Times New Roman" w:eastAsia="Times New Roman" w:hAnsi="Times New Roman" w:cs="Times New Roman"/>
          <w:sz w:val="28"/>
          <w:szCs w:val="28"/>
          <w:lang w:val="en-US" w:eastAsia="ru-RU"/>
        </w:rPr>
        <w:t>78</w:t>
      </w:r>
      <w:r w:rsidRPr="00244343">
        <w:rPr>
          <w:rFonts w:ascii="Times New Roman" w:eastAsia="Times New Roman" w:hAnsi="Times New Roman" w:cs="Times New Roman"/>
          <w:sz w:val="28"/>
          <w:szCs w:val="28"/>
          <w:lang w:val="en-US" w:eastAsia="ru-RU"/>
        </w:rPr>
        <w:t xml:space="preserve">, p.12]. The work we are taking will show how flexible and multifaceted the TH model is. </w:t>
      </w:r>
    </w:p>
    <w:p w14:paraId="4BB87BE8" w14:textId="77777777"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While there has been much research on the triple helix model realization, explanations, entrepreneurship, entrepreneurs, university-industry collaborations or other linkages observations, few researchers have considered the innovation model (the Triple Helix model) management within the University context. Generally, those articles that have mentioned the TH model's managerial aspects are too broad and not profound. </w:t>
      </w:r>
    </w:p>
    <w:p w14:paraId="7F764FAA" w14:textId="77777777"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Innovation is multifaceted, and given that, one key element of innovation is organization.</w:t>
      </w:r>
      <w:r w:rsidRPr="00244343">
        <w:rPr>
          <w:rFonts w:ascii="Times New Roman" w:eastAsia="Times New Roman" w:hAnsi="Times New Roman" w:cs="Times New Roman"/>
          <w:noProof/>
          <w:sz w:val="28"/>
          <w:szCs w:val="28"/>
          <w:lang w:eastAsia="ru-RU"/>
        </w:rPr>
        <w:drawing>
          <wp:inline distT="0" distB="0" distL="0" distR="0" wp14:anchorId="3BD1431E" wp14:editId="22A52A06">
            <wp:extent cx="6103916" cy="4393870"/>
            <wp:effectExtent l="0" t="0" r="0" b="45085"/>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8DB2B89" w14:textId="77777777" w:rsidR="00997DCD" w:rsidRPr="00244343" w:rsidRDefault="00997DCD" w:rsidP="00997DCD">
      <w:pPr>
        <w:spacing w:after="0" w:line="240" w:lineRule="auto"/>
        <w:ind w:firstLine="720"/>
        <w:contextualSpacing/>
        <w:jc w:val="both"/>
        <w:rPr>
          <w:rFonts w:ascii="Times New Roman" w:eastAsia="Times New Roman" w:hAnsi="Times New Roman" w:cs="Times New Roman"/>
          <w:sz w:val="28"/>
          <w:szCs w:val="28"/>
          <w:lang w:val="en-US" w:eastAsia="ru-RU"/>
        </w:rPr>
      </w:pPr>
    </w:p>
    <w:p w14:paraId="0B220D80" w14:textId="4AD9897B" w:rsidR="00997DCD" w:rsidRPr="006D799B" w:rsidRDefault="00997DCD" w:rsidP="006D799B">
      <w:pPr>
        <w:spacing w:after="0" w:line="240" w:lineRule="auto"/>
        <w:ind w:firstLine="709"/>
        <w:contextualSpacing/>
        <w:jc w:val="center"/>
        <w:rPr>
          <w:rFonts w:ascii="Times New Roman" w:eastAsia="Times New Roman" w:hAnsi="Times New Roman" w:cs="Times New Roman"/>
          <w:sz w:val="28"/>
          <w:szCs w:val="28"/>
          <w:lang w:val="en-US" w:eastAsia="ru-RU"/>
        </w:rPr>
      </w:pPr>
      <w:bookmarkStart w:id="9" w:name="_Toc146656863"/>
      <w:r w:rsidRPr="006D799B">
        <w:rPr>
          <w:rFonts w:ascii="Times New Roman" w:eastAsia="Times New Roman" w:hAnsi="Times New Roman" w:cs="Times New Roman"/>
          <w:sz w:val="28"/>
          <w:szCs w:val="28"/>
          <w:lang w:val="en-US" w:eastAsia="ru-RU"/>
        </w:rPr>
        <w:t xml:space="preserve">Figure </w:t>
      </w:r>
      <w:r w:rsidRPr="006D799B">
        <w:rPr>
          <w:rFonts w:ascii="Times New Roman" w:eastAsia="Times New Roman" w:hAnsi="Times New Roman" w:cs="Times New Roman"/>
          <w:sz w:val="28"/>
          <w:szCs w:val="28"/>
          <w:lang w:val="en-US" w:eastAsia="ru-RU"/>
        </w:rPr>
        <w:fldChar w:fldCharType="begin"/>
      </w:r>
      <w:r w:rsidRPr="006D799B">
        <w:rPr>
          <w:rFonts w:ascii="Times New Roman" w:eastAsia="Times New Roman" w:hAnsi="Times New Roman" w:cs="Times New Roman"/>
          <w:sz w:val="28"/>
          <w:szCs w:val="28"/>
          <w:lang w:val="en-US" w:eastAsia="ru-RU"/>
        </w:rPr>
        <w:instrText xml:space="preserve"> SEQ Рисунок \* ARABIC </w:instrText>
      </w:r>
      <w:r w:rsidRPr="006D799B">
        <w:rPr>
          <w:rFonts w:ascii="Times New Roman" w:eastAsia="Times New Roman" w:hAnsi="Times New Roman" w:cs="Times New Roman"/>
          <w:sz w:val="28"/>
          <w:szCs w:val="28"/>
          <w:lang w:val="en-US" w:eastAsia="ru-RU"/>
        </w:rPr>
        <w:fldChar w:fldCharType="separate"/>
      </w:r>
      <w:r w:rsidR="008D50B7">
        <w:rPr>
          <w:rFonts w:ascii="Times New Roman" w:eastAsia="Times New Roman" w:hAnsi="Times New Roman" w:cs="Times New Roman"/>
          <w:noProof/>
          <w:sz w:val="28"/>
          <w:szCs w:val="28"/>
          <w:lang w:val="en-US" w:eastAsia="ru-RU"/>
        </w:rPr>
        <w:t>3</w:t>
      </w:r>
      <w:r w:rsidRPr="006D799B">
        <w:rPr>
          <w:rFonts w:ascii="Times New Roman" w:eastAsia="Times New Roman" w:hAnsi="Times New Roman" w:cs="Times New Roman"/>
          <w:sz w:val="28"/>
          <w:szCs w:val="28"/>
          <w:lang w:val="en-US" w:eastAsia="ru-RU"/>
        </w:rPr>
        <w:fldChar w:fldCharType="end"/>
      </w:r>
      <w:r w:rsidRPr="006D799B">
        <w:rPr>
          <w:rFonts w:ascii="Times New Roman" w:eastAsia="Times New Roman" w:hAnsi="Times New Roman" w:cs="Times New Roman"/>
          <w:sz w:val="28"/>
          <w:szCs w:val="28"/>
          <w:lang w:val="en-US" w:eastAsia="ru-RU"/>
        </w:rPr>
        <w:t xml:space="preserve"> - The processes implemented by organizations</w:t>
      </w:r>
      <w:bookmarkEnd w:id="9"/>
    </w:p>
    <w:p w14:paraId="346C9C2D" w14:textId="77777777" w:rsidR="00997DCD" w:rsidRPr="00244343" w:rsidRDefault="00997DCD" w:rsidP="00DF0E36">
      <w:pPr>
        <w:pStyle w:val="aa"/>
      </w:pPr>
    </w:p>
    <w:p w14:paraId="45B0386C" w14:textId="3EA8BACE" w:rsidR="00997DCD" w:rsidRPr="00244343" w:rsidRDefault="00997DCD" w:rsidP="001D54EC">
      <w:pPr>
        <w:pStyle w:val="aa"/>
        <w:jc w:val="left"/>
      </w:pPr>
      <w:r w:rsidRPr="00244343">
        <w:t>Note – Compiled by the author based on [</w:t>
      </w:r>
      <w:r w:rsidR="00E53266">
        <w:t>78</w:t>
      </w:r>
      <w:r w:rsidRPr="00244343">
        <w:t>, p.7-27]</w:t>
      </w:r>
    </w:p>
    <w:p w14:paraId="14716B6B" w14:textId="77777777"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eastAsia="ru-RU"/>
        </w:rPr>
      </w:pPr>
    </w:p>
    <w:p w14:paraId="5E3295BA" w14:textId="77777777" w:rsidR="00997DCD" w:rsidRDefault="00997DCD" w:rsidP="00997DCD">
      <w:pPr>
        <w:spacing w:after="0" w:line="240" w:lineRule="auto"/>
        <w:ind w:firstLine="709"/>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lastRenderedPageBreak/>
        <w:t xml:space="preserve">As shown in the figure 3 the everyday processes that are mainly implemented by organizations are mainly intangible. These intangible assets together make up the learning capacity (see the figure 4). </w:t>
      </w:r>
    </w:p>
    <w:p w14:paraId="55A6E0B4" w14:textId="77777777"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eastAsia="ru-RU"/>
        </w:rPr>
      </w:pPr>
    </w:p>
    <w:p w14:paraId="7E0734F3" w14:textId="77777777" w:rsidR="00997DCD" w:rsidRPr="00244343" w:rsidRDefault="00997DCD" w:rsidP="00997DCD">
      <w:pPr>
        <w:spacing w:after="0" w:line="240" w:lineRule="auto"/>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noProof/>
          <w:sz w:val="28"/>
          <w:szCs w:val="28"/>
          <w:lang w:eastAsia="ru-RU"/>
        </w:rPr>
        <w:drawing>
          <wp:inline distT="0" distB="0" distL="0" distR="0" wp14:anchorId="770E2E89" wp14:editId="472FA41A">
            <wp:extent cx="5925787" cy="3218213"/>
            <wp:effectExtent l="0" t="0" r="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5874D21" w14:textId="77777777"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eastAsia="ru-RU"/>
        </w:rPr>
      </w:pPr>
    </w:p>
    <w:p w14:paraId="62A6D8C2" w14:textId="4E251865" w:rsidR="00997DCD" w:rsidRPr="00416C4F" w:rsidRDefault="00997DCD" w:rsidP="006D799B">
      <w:pPr>
        <w:spacing w:after="0" w:line="240" w:lineRule="auto"/>
        <w:ind w:firstLine="709"/>
        <w:contextualSpacing/>
        <w:jc w:val="center"/>
        <w:rPr>
          <w:rFonts w:ascii="Times New Roman" w:eastAsia="Times New Roman" w:hAnsi="Times New Roman" w:cs="Times New Roman"/>
          <w:sz w:val="28"/>
          <w:szCs w:val="28"/>
          <w:lang w:val="en-US" w:eastAsia="ru-RU"/>
        </w:rPr>
      </w:pPr>
      <w:bookmarkStart w:id="10" w:name="_Toc146656864"/>
      <w:r w:rsidRPr="00416C4F">
        <w:rPr>
          <w:rFonts w:ascii="Times New Roman" w:eastAsia="Times New Roman" w:hAnsi="Times New Roman" w:cs="Times New Roman"/>
          <w:sz w:val="28"/>
          <w:szCs w:val="28"/>
          <w:lang w:val="en-US" w:eastAsia="ru-RU"/>
        </w:rPr>
        <w:t xml:space="preserve">Figure </w:t>
      </w:r>
      <w:r w:rsidRPr="00416C4F">
        <w:rPr>
          <w:rFonts w:ascii="Times New Roman" w:eastAsia="Times New Roman" w:hAnsi="Times New Roman" w:cs="Times New Roman"/>
          <w:sz w:val="28"/>
          <w:szCs w:val="28"/>
          <w:lang w:val="en-US" w:eastAsia="ru-RU"/>
        </w:rPr>
        <w:fldChar w:fldCharType="begin"/>
      </w:r>
      <w:r w:rsidRPr="00416C4F">
        <w:rPr>
          <w:rFonts w:ascii="Times New Roman" w:eastAsia="Times New Roman" w:hAnsi="Times New Roman" w:cs="Times New Roman"/>
          <w:sz w:val="28"/>
          <w:szCs w:val="28"/>
          <w:lang w:val="en-US" w:eastAsia="ru-RU"/>
        </w:rPr>
        <w:instrText xml:space="preserve"> SEQ Рисунок \* ARABIC </w:instrText>
      </w:r>
      <w:r w:rsidRPr="00416C4F">
        <w:rPr>
          <w:rFonts w:ascii="Times New Roman" w:eastAsia="Times New Roman" w:hAnsi="Times New Roman" w:cs="Times New Roman"/>
          <w:sz w:val="28"/>
          <w:szCs w:val="28"/>
          <w:lang w:val="en-US" w:eastAsia="ru-RU"/>
        </w:rPr>
        <w:fldChar w:fldCharType="separate"/>
      </w:r>
      <w:r w:rsidR="008D50B7">
        <w:rPr>
          <w:rFonts w:ascii="Times New Roman" w:eastAsia="Times New Roman" w:hAnsi="Times New Roman" w:cs="Times New Roman"/>
          <w:noProof/>
          <w:sz w:val="28"/>
          <w:szCs w:val="28"/>
          <w:lang w:val="en-US" w:eastAsia="ru-RU"/>
        </w:rPr>
        <w:t>4</w:t>
      </w:r>
      <w:r w:rsidRPr="00416C4F">
        <w:rPr>
          <w:rFonts w:ascii="Times New Roman" w:eastAsia="Times New Roman" w:hAnsi="Times New Roman" w:cs="Times New Roman"/>
          <w:sz w:val="28"/>
          <w:szCs w:val="28"/>
          <w:lang w:val="en-US" w:eastAsia="ru-RU"/>
        </w:rPr>
        <w:fldChar w:fldCharType="end"/>
      </w:r>
      <w:r w:rsidRPr="00416C4F">
        <w:rPr>
          <w:rFonts w:ascii="Times New Roman" w:eastAsia="Times New Roman" w:hAnsi="Times New Roman" w:cs="Times New Roman"/>
          <w:sz w:val="28"/>
          <w:szCs w:val="28"/>
          <w:lang w:val="en-US" w:eastAsia="ru-RU"/>
        </w:rPr>
        <w:t xml:space="preserve"> - How Innovation dimensions are created?</w:t>
      </w:r>
      <w:bookmarkEnd w:id="10"/>
    </w:p>
    <w:p w14:paraId="21DCAADD" w14:textId="77777777" w:rsidR="00416C4F" w:rsidRDefault="00416C4F" w:rsidP="00DF0E36">
      <w:pPr>
        <w:pStyle w:val="aa"/>
      </w:pPr>
    </w:p>
    <w:p w14:paraId="7D6E821C" w14:textId="3E487C5E" w:rsidR="00997DCD" w:rsidRPr="00416C4F" w:rsidRDefault="00997DCD" w:rsidP="001D54EC">
      <w:pPr>
        <w:pStyle w:val="aa"/>
        <w:jc w:val="left"/>
      </w:pPr>
      <w:r w:rsidRPr="00416C4F">
        <w:t>Note – Compiled by the author based on [</w:t>
      </w:r>
      <w:r w:rsidR="00364C67" w:rsidRPr="00416C4F">
        <w:t>8</w:t>
      </w:r>
      <w:r w:rsidR="00E53266" w:rsidRPr="00416C4F">
        <w:t>0</w:t>
      </w:r>
      <w:r w:rsidRPr="00416C4F">
        <w:t>]</w:t>
      </w:r>
    </w:p>
    <w:p w14:paraId="13827392" w14:textId="77777777"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eastAsia="ru-RU"/>
        </w:rPr>
      </w:pPr>
    </w:p>
    <w:p w14:paraId="0E986436" w14:textId="77777777"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Both figures demonstrate how organization innovation dimensions are created. According to OSLO manual, the organization is a fundamental aspect of creativity, measuring its innovation looks highly challenging, both philosophically and practically. Additionally, organizational change is highly firm-specific, complicating its summarization in the aggregate, sector, or economy-wide statistics. </w:t>
      </w:r>
    </w:p>
    <w:p w14:paraId="074919A0" w14:textId="1D29BF06"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As a result, organizational innovation has been excluded from the measures proposed in the manual's body. Measuring the scope of innovation activities, the characteristics of innovative organizations, and the internal and systemic factors affecting innovation is a precondition for developing and analyzing policies aimed at supporting technological innovation. The Oslo Manual, published in 1997, is the most authoritative international source for gathering and using data on industrial innovation activities. This second edition has been revised to reflect advances in our understanding of the innovation process, lessons learned from previous rounds of innovation surveys, the expansion of the field of study to other sectors of industry, and the most recent revisions to international standard classifications [</w:t>
      </w:r>
      <w:r w:rsidR="00364C67">
        <w:rPr>
          <w:rFonts w:ascii="Times New Roman" w:eastAsia="Times New Roman" w:hAnsi="Times New Roman" w:cs="Times New Roman"/>
          <w:sz w:val="28"/>
          <w:szCs w:val="28"/>
          <w:lang w:val="en-US" w:eastAsia="ru-RU"/>
        </w:rPr>
        <w:t>8</w:t>
      </w:r>
      <w:r w:rsidR="00E53266">
        <w:rPr>
          <w:rFonts w:ascii="Times New Roman" w:eastAsia="Times New Roman" w:hAnsi="Times New Roman" w:cs="Times New Roman"/>
          <w:sz w:val="28"/>
          <w:szCs w:val="28"/>
          <w:lang w:val="en-US" w:eastAsia="ru-RU"/>
        </w:rPr>
        <w:t>0</w:t>
      </w:r>
      <w:r w:rsidRPr="00244343">
        <w:rPr>
          <w:rFonts w:ascii="Times New Roman" w:eastAsia="Times New Roman" w:hAnsi="Times New Roman" w:cs="Times New Roman"/>
          <w:sz w:val="28"/>
          <w:szCs w:val="28"/>
          <w:lang w:val="en-US" w:eastAsia="ru-RU"/>
        </w:rPr>
        <w:t>, p.13-14]. These survey-based methodologies have revolutionized our comprehension of the characteristics and factors influencing innovation and enhanced our insight into its significance in economic growth [</w:t>
      </w:r>
      <w:r w:rsidR="00364C67">
        <w:rPr>
          <w:rFonts w:ascii="Times New Roman" w:eastAsia="Times New Roman" w:hAnsi="Times New Roman" w:cs="Times New Roman"/>
          <w:sz w:val="28"/>
          <w:szCs w:val="28"/>
          <w:lang w:val="en-US" w:eastAsia="ru-RU"/>
        </w:rPr>
        <w:t>8</w:t>
      </w:r>
      <w:r w:rsidR="00E840B1">
        <w:rPr>
          <w:rFonts w:ascii="Times New Roman" w:eastAsia="Times New Roman" w:hAnsi="Times New Roman" w:cs="Times New Roman"/>
          <w:sz w:val="28"/>
          <w:szCs w:val="28"/>
          <w:lang w:val="en-US" w:eastAsia="ru-RU"/>
        </w:rPr>
        <w:t>1</w:t>
      </w:r>
      <w:r w:rsidRPr="00244343">
        <w:rPr>
          <w:rFonts w:ascii="Times New Roman" w:eastAsia="Times New Roman" w:hAnsi="Times New Roman" w:cs="Times New Roman"/>
          <w:sz w:val="28"/>
          <w:szCs w:val="28"/>
          <w:lang w:val="en-US" w:eastAsia="ru-RU"/>
        </w:rPr>
        <w:t xml:space="preserve">]. There are various types of innovation surveys: the Innovation Index, GUESSS, and GEM are among the most widely </w:t>
      </w:r>
      <w:proofErr w:type="spellStart"/>
      <w:r w:rsidRPr="00244343">
        <w:rPr>
          <w:rFonts w:ascii="Times New Roman" w:eastAsia="Times New Roman" w:hAnsi="Times New Roman" w:cs="Times New Roman"/>
          <w:sz w:val="28"/>
          <w:szCs w:val="28"/>
          <w:lang w:val="en-US" w:eastAsia="ru-RU"/>
        </w:rPr>
        <w:t>recognised</w:t>
      </w:r>
      <w:proofErr w:type="spellEnd"/>
      <w:r w:rsidRPr="00244343">
        <w:rPr>
          <w:rFonts w:ascii="Times New Roman" w:eastAsia="Times New Roman" w:hAnsi="Times New Roman" w:cs="Times New Roman"/>
          <w:sz w:val="28"/>
          <w:szCs w:val="28"/>
          <w:lang w:val="en-US" w:eastAsia="ru-RU"/>
        </w:rPr>
        <w:t xml:space="preserve"> </w:t>
      </w:r>
      <w:r w:rsidRPr="00244343">
        <w:rPr>
          <w:rFonts w:ascii="Times New Roman" w:eastAsia="Times New Roman" w:hAnsi="Times New Roman" w:cs="Times New Roman"/>
          <w:sz w:val="28"/>
          <w:szCs w:val="28"/>
          <w:lang w:val="en-US" w:eastAsia="ru-RU"/>
        </w:rPr>
        <w:lastRenderedPageBreak/>
        <w:t>ones.</w:t>
      </w:r>
      <w:r w:rsidRPr="00244343">
        <w:rPr>
          <w:rFonts w:ascii="Times New Roman" w:hAnsi="Times New Roman" w:cs="Times New Roman"/>
          <w:sz w:val="28"/>
          <w:szCs w:val="28"/>
          <w:lang w:val="en-US"/>
        </w:rPr>
        <w:t xml:space="preserve"> </w:t>
      </w:r>
      <w:r w:rsidRPr="00244343">
        <w:rPr>
          <w:rFonts w:ascii="Times New Roman" w:eastAsia="Times New Roman" w:hAnsi="Times New Roman" w:cs="Times New Roman"/>
          <w:sz w:val="28"/>
          <w:szCs w:val="28"/>
          <w:lang w:val="en-US" w:eastAsia="ru-RU"/>
        </w:rPr>
        <w:t>The intricate nature of innovation and its close intertwining with multiple agents (e.g., Triple Helix and more) complicate its management.</w:t>
      </w:r>
    </w:p>
    <w:p w14:paraId="1A68D6D6" w14:textId="77777777"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The evolution of the innovation concept in innovation management in the context of universities should also carry its unique way, not only as an organization but also as a knowledge-managing organization. These concepts cannot be detachable since one cannot coexist without the other to impact innovation.</w:t>
      </w:r>
    </w:p>
    <w:p w14:paraId="43067CB3" w14:textId="6716000B"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eastAsia="ru-RU"/>
        </w:rPr>
        <w:t xml:space="preserve">The underlying innovation transformation of the present concept is that the path that leads to the development of innovation evolution is the path that studies the possibilities of the evolution of interrelated or resulting models and concepts, the THM and entrepreneurship and that the historical reconstruction of its conceptual trajectory will shed light into potential and unexploited prospects. By possibilities, the university graduates' potential could be used for economic growth. Efficient governance is crucial for overseeing these interactions. </w:t>
      </w:r>
      <w:proofErr w:type="spellStart"/>
      <w:r w:rsidRPr="00244343">
        <w:rPr>
          <w:rFonts w:ascii="Times New Roman" w:eastAsia="Times New Roman" w:hAnsi="Times New Roman" w:cs="Times New Roman"/>
          <w:sz w:val="28"/>
          <w:szCs w:val="28"/>
          <w:lang w:val="en-US" w:eastAsia="ru-RU"/>
        </w:rPr>
        <w:t>Todeva's</w:t>
      </w:r>
      <w:proofErr w:type="spellEnd"/>
      <w:r w:rsidRPr="00244343">
        <w:rPr>
          <w:rFonts w:ascii="Times New Roman" w:eastAsia="Times New Roman" w:hAnsi="Times New Roman" w:cs="Times New Roman"/>
          <w:sz w:val="28"/>
          <w:szCs w:val="28"/>
          <w:lang w:val="en-US" w:eastAsia="ru-RU"/>
        </w:rPr>
        <w:t xml:space="preserve"> research underscores the significance of intermediaries in promoting collaboration and maintaining an acceptable equilibrium in government engagement [</w:t>
      </w:r>
      <w:r w:rsidR="00364C67">
        <w:rPr>
          <w:rFonts w:ascii="Times New Roman" w:eastAsia="Times New Roman" w:hAnsi="Times New Roman" w:cs="Times New Roman"/>
          <w:sz w:val="28"/>
          <w:szCs w:val="28"/>
          <w:lang w:val="en-US" w:eastAsia="ru-RU"/>
        </w:rPr>
        <w:t>8</w:t>
      </w:r>
      <w:r w:rsidR="00E840B1">
        <w:rPr>
          <w:rFonts w:ascii="Times New Roman" w:eastAsia="Times New Roman" w:hAnsi="Times New Roman" w:cs="Times New Roman"/>
          <w:sz w:val="28"/>
          <w:szCs w:val="28"/>
          <w:lang w:val="en-US" w:eastAsia="ru-RU"/>
        </w:rPr>
        <w:t>2</w:t>
      </w:r>
      <w:r w:rsidRPr="00244343">
        <w:rPr>
          <w:rFonts w:ascii="Times New Roman" w:eastAsia="Times New Roman" w:hAnsi="Times New Roman" w:cs="Times New Roman"/>
          <w:sz w:val="28"/>
          <w:szCs w:val="28"/>
          <w:lang w:val="en-US" w:eastAsia="ru-RU"/>
        </w:rPr>
        <w:t>]. Universities are assigned a crucial role as the principal source of new knowledge, ideas, creativity, and innovation [</w:t>
      </w:r>
      <w:r w:rsidR="00364C67">
        <w:rPr>
          <w:rFonts w:ascii="Times New Roman" w:eastAsia="Times New Roman" w:hAnsi="Times New Roman" w:cs="Times New Roman"/>
          <w:sz w:val="28"/>
          <w:szCs w:val="28"/>
          <w:lang w:val="en-US" w:eastAsia="ru-RU"/>
        </w:rPr>
        <w:t>8</w:t>
      </w:r>
      <w:r w:rsidR="00E840B1">
        <w:rPr>
          <w:rFonts w:ascii="Times New Roman" w:eastAsia="Times New Roman" w:hAnsi="Times New Roman" w:cs="Times New Roman"/>
          <w:sz w:val="28"/>
          <w:szCs w:val="28"/>
          <w:lang w:val="en-US" w:eastAsia="ru-RU"/>
        </w:rPr>
        <w:t>3</w:t>
      </w:r>
      <w:r w:rsidRPr="00244343">
        <w:rPr>
          <w:rFonts w:ascii="Times New Roman" w:eastAsia="Times New Roman" w:hAnsi="Times New Roman" w:cs="Times New Roman"/>
          <w:sz w:val="28"/>
          <w:szCs w:val="28"/>
          <w:lang w:val="en-US" w:eastAsia="ru-RU"/>
        </w:rPr>
        <w:t xml:space="preserve">]. </w:t>
      </w:r>
    </w:p>
    <w:p w14:paraId="6AEAB844" w14:textId="77777777"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rPr>
        <w:t>To sum up, t</w:t>
      </w:r>
      <w:r w:rsidRPr="00244343">
        <w:rPr>
          <w:rFonts w:ascii="Times New Roman" w:eastAsia="Times New Roman" w:hAnsi="Times New Roman" w:cs="Times New Roman"/>
          <w:sz w:val="28"/>
          <w:szCs w:val="28"/>
          <w:lang w:val="en-US" w:eastAsia="ru-RU"/>
        </w:rPr>
        <w:t xml:space="preserve">he depicted trajectory of the innovation concept leads to the innovation management concept, showing the interplay of Innovation Management, Entrepreneurship, Triple Helix, and UIC. Innovation management is a systematic approach to bringing new ideas to market.  It provides the framework and tools to identify, develop, and commercialize innovative ideas. It ensures that innovation efforts are aligned with government </w:t>
      </w:r>
      <w:proofErr w:type="spellStart"/>
      <w:r w:rsidRPr="00244343">
        <w:rPr>
          <w:rFonts w:ascii="Times New Roman" w:eastAsia="Times New Roman" w:hAnsi="Times New Roman" w:cs="Times New Roman"/>
          <w:sz w:val="28"/>
          <w:szCs w:val="28"/>
          <w:lang w:val="en-US" w:eastAsia="ru-RU"/>
        </w:rPr>
        <w:t>initatives</w:t>
      </w:r>
      <w:proofErr w:type="spellEnd"/>
      <w:r w:rsidRPr="00244343">
        <w:rPr>
          <w:rFonts w:ascii="Times New Roman" w:eastAsia="Times New Roman" w:hAnsi="Times New Roman" w:cs="Times New Roman"/>
          <w:sz w:val="28"/>
          <w:szCs w:val="28"/>
          <w:lang w:val="en-US" w:eastAsia="ru-RU"/>
        </w:rPr>
        <w:t xml:space="preserve"> goals and that resources are allocated efficiently.   </w:t>
      </w:r>
    </w:p>
    <w:p w14:paraId="49ABEF5B" w14:textId="77777777"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Entrepreneurship is the process of creating new businesses and ventures. Entrepreneurs often drive innovation by identifying market opportunities and developing new products or services. They play a crucial role in commercializing the outcomes of research and development.</w:t>
      </w:r>
    </w:p>
    <w:p w14:paraId="640A4A34" w14:textId="77777777"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The THM illustrates the interaction between three key institutions: universities, industry, and government. It delivers a framework for fostering innovation by encouraging collaboration among these three sectors. Universities generate knowledge; the industry applies that knowledge to create products and services, and the state provides supportive policies and funding.   </w:t>
      </w:r>
    </w:p>
    <w:p w14:paraId="79CD860D" w14:textId="77777777"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University-industry collaboration involves partnerships between universities and businesses to share knowledge, resources, and expertise. It is a critical component of the Triple Helix model. By working together, universities and industry can accelerate innovation, construct new jobs, and stimulate economic growth.   </w:t>
      </w:r>
    </w:p>
    <w:p w14:paraId="5C9CA6C5" w14:textId="77777777" w:rsidR="00997DCD" w:rsidRPr="00244343" w:rsidRDefault="00997DCD" w:rsidP="00997DCD">
      <w:pPr>
        <w:spacing w:after="0" w:line="240" w:lineRule="auto"/>
        <w:ind w:firstLine="709"/>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How these Concepts Intersect:</w:t>
      </w:r>
    </w:p>
    <w:p w14:paraId="00B6ABC3" w14:textId="77777777" w:rsidR="00997DCD" w:rsidRPr="00244343" w:rsidRDefault="00997DCD" w:rsidP="00997DCD">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b/>
          <w:bCs/>
          <w:sz w:val="28"/>
          <w:szCs w:val="28"/>
          <w:lang w:val="en-US"/>
        </w:rPr>
        <w:t>Innovation Management and Entrepreneurship:</w:t>
      </w:r>
      <w:r w:rsidRPr="00244343">
        <w:rPr>
          <w:rFonts w:ascii="Times New Roman" w:eastAsia="Times New Roman" w:hAnsi="Times New Roman" w:cs="Times New Roman"/>
          <w:sz w:val="28"/>
          <w:szCs w:val="28"/>
          <w:lang w:val="en-US"/>
        </w:rPr>
        <w:t xml:space="preserve"> Innovation management provides the structure for entrepreneurs to identify, develop, and commercialize innovative ideas.   </w:t>
      </w:r>
    </w:p>
    <w:p w14:paraId="7AE8034C" w14:textId="77777777" w:rsidR="00997DCD" w:rsidRPr="00244343" w:rsidRDefault="00997DCD" w:rsidP="00997DCD">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b/>
          <w:bCs/>
          <w:sz w:val="28"/>
          <w:szCs w:val="28"/>
          <w:lang w:val="en-US"/>
        </w:rPr>
        <w:t>Triple Helix and Entrepreneurship:</w:t>
      </w:r>
      <w:r w:rsidRPr="00244343">
        <w:rPr>
          <w:rFonts w:ascii="Times New Roman" w:eastAsia="Times New Roman" w:hAnsi="Times New Roman" w:cs="Times New Roman"/>
          <w:sz w:val="28"/>
          <w:szCs w:val="28"/>
          <w:lang w:val="en-US"/>
        </w:rPr>
        <w:t xml:space="preserve"> The Triple Helix model creates an environment conducive to entrepreneurship by fostering collaboration between </w:t>
      </w:r>
      <w:r w:rsidRPr="00244343">
        <w:rPr>
          <w:rFonts w:ascii="Times New Roman" w:eastAsia="Times New Roman" w:hAnsi="Times New Roman" w:cs="Times New Roman"/>
          <w:sz w:val="28"/>
          <w:szCs w:val="28"/>
          <w:lang w:val="en-US"/>
        </w:rPr>
        <w:lastRenderedPageBreak/>
        <w:t xml:space="preserve">universities, industry, and government. This collaboration can lead to new ventures and innovative products and services.   </w:t>
      </w:r>
    </w:p>
    <w:p w14:paraId="31D361F0" w14:textId="77777777" w:rsidR="00997DCD" w:rsidRPr="00244343" w:rsidRDefault="00997DCD" w:rsidP="00997DCD">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b/>
          <w:bCs/>
          <w:sz w:val="28"/>
          <w:szCs w:val="28"/>
          <w:lang w:val="en-US"/>
        </w:rPr>
        <w:t>University-Industry Collaboration and Innovation Management:</w:t>
      </w:r>
      <w:r w:rsidRPr="00244343">
        <w:rPr>
          <w:rFonts w:ascii="Times New Roman" w:eastAsia="Times New Roman" w:hAnsi="Times New Roman" w:cs="Times New Roman"/>
          <w:sz w:val="28"/>
          <w:szCs w:val="28"/>
          <w:lang w:val="en-US"/>
        </w:rPr>
        <w:t xml:space="preserve"> University-industry collaborations can lead to developing new technologies and processes. Innovation management can help commercialize these innovations and bring them to market.   </w:t>
      </w:r>
    </w:p>
    <w:p w14:paraId="4627C271" w14:textId="2A2C3FD8" w:rsidR="00997DCD" w:rsidRDefault="00997DCD" w:rsidP="006D799B">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These concepts work together to create a dynamic ecosystem for innovation and its management in universities. Organizations and policymakers can drive economic growth, create jobs, and improve society by understanding and leveraging these interconnections.</w:t>
      </w:r>
    </w:p>
    <w:p w14:paraId="7E9A1D67" w14:textId="77777777" w:rsidR="00D02C9C" w:rsidRPr="00244343" w:rsidRDefault="00D02C9C" w:rsidP="006D799B">
      <w:pPr>
        <w:spacing w:after="0" w:line="240" w:lineRule="auto"/>
        <w:ind w:firstLine="720"/>
        <w:jc w:val="both"/>
        <w:rPr>
          <w:rFonts w:ascii="Times New Roman" w:eastAsia="Times New Roman" w:hAnsi="Times New Roman" w:cs="Times New Roman"/>
          <w:sz w:val="28"/>
          <w:szCs w:val="28"/>
          <w:lang w:val="en-US"/>
        </w:rPr>
      </w:pPr>
    </w:p>
    <w:p w14:paraId="7E5B3B65" w14:textId="1345A0E0" w:rsidR="00997DCD" w:rsidRPr="00244343" w:rsidRDefault="006D799B" w:rsidP="00124149">
      <w:pPr>
        <w:spacing w:after="0" w:line="240" w:lineRule="auto"/>
        <w:contextualSpacing/>
        <w:rPr>
          <w:rFonts w:ascii="Times New Roman" w:eastAsia="Times New Roman" w:hAnsi="Times New Roman" w:cs="Times New Roman"/>
          <w:noProof/>
          <w:sz w:val="28"/>
          <w:szCs w:val="28"/>
          <w:lang w:val="en-US" w:eastAsia="ru-RU"/>
        </w:rPr>
      </w:pPr>
      <w:r>
        <w:rPr>
          <w:rFonts w:ascii="Times New Roman" w:eastAsia="Times New Roman" w:hAnsi="Times New Roman" w:cs="Times New Roman"/>
          <w:noProof/>
          <w:sz w:val="28"/>
          <w:szCs w:val="28"/>
          <w:lang w:val="en-US" w:eastAsia="ru-RU"/>
        </w:rPr>
        <w:drawing>
          <wp:inline distT="0" distB="0" distL="0" distR="0" wp14:anchorId="6EC34174" wp14:editId="57432CEE">
            <wp:extent cx="5886995" cy="22320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622" cy="2250841"/>
                    </a:xfrm>
                    <a:prstGeom prst="rect">
                      <a:avLst/>
                    </a:prstGeom>
                    <a:noFill/>
                    <a:ln>
                      <a:noFill/>
                    </a:ln>
                  </pic:spPr>
                </pic:pic>
              </a:graphicData>
            </a:graphic>
          </wp:inline>
        </w:drawing>
      </w:r>
    </w:p>
    <w:p w14:paraId="0D028370" w14:textId="77777777" w:rsidR="00997DCD" w:rsidRDefault="00997DCD" w:rsidP="00997DCD">
      <w:pPr>
        <w:spacing w:after="0" w:line="240" w:lineRule="auto"/>
        <w:contextualSpacing/>
        <w:jc w:val="center"/>
        <w:rPr>
          <w:rFonts w:ascii="Times New Roman" w:eastAsia="Times New Roman" w:hAnsi="Times New Roman" w:cs="Times New Roman"/>
          <w:noProof/>
          <w:sz w:val="28"/>
          <w:szCs w:val="28"/>
          <w:lang w:val="en-US" w:eastAsia="ru-RU"/>
        </w:rPr>
      </w:pPr>
    </w:p>
    <w:p w14:paraId="225A1585" w14:textId="37741619" w:rsidR="00997DCD" w:rsidRDefault="00997DCD" w:rsidP="008838AE">
      <w:pPr>
        <w:pStyle w:val="ad"/>
        <w:jc w:val="center"/>
        <w:rPr>
          <w:rFonts w:ascii="Times New Roman" w:eastAsia="Times New Roman" w:hAnsi="Times New Roman" w:cs="Times New Roman"/>
          <w:noProof/>
          <w:sz w:val="28"/>
          <w:szCs w:val="28"/>
          <w:lang w:val="en-US" w:eastAsia="ru-RU"/>
        </w:rPr>
      </w:pPr>
      <w:r w:rsidRPr="003A6F12">
        <w:rPr>
          <w:rFonts w:ascii="Times New Roman" w:eastAsia="Times New Roman" w:hAnsi="Times New Roman" w:cs="Times New Roman"/>
          <w:noProof/>
          <w:sz w:val="28"/>
          <w:szCs w:val="28"/>
          <w:lang w:val="en-US" w:eastAsia="ru-RU"/>
        </w:rPr>
        <w:t>Figure 5</w:t>
      </w:r>
      <w:r w:rsidRPr="00244343">
        <w:rPr>
          <w:rFonts w:ascii="Times New Roman" w:eastAsia="Times New Roman" w:hAnsi="Times New Roman" w:cs="Times New Roman"/>
          <w:noProof/>
          <w:sz w:val="28"/>
          <w:szCs w:val="28"/>
          <w:lang w:val="en-US" w:eastAsia="ru-RU"/>
        </w:rPr>
        <w:t xml:space="preserve"> - </w:t>
      </w:r>
      <w:r w:rsidR="001A424E" w:rsidRPr="001A424E">
        <w:rPr>
          <w:rFonts w:ascii="Times New Roman" w:eastAsia="Times New Roman" w:hAnsi="Times New Roman" w:cs="Times New Roman"/>
          <w:noProof/>
          <w:sz w:val="28"/>
          <w:szCs w:val="28"/>
          <w:lang w:val="en-US" w:eastAsia="ru-RU"/>
        </w:rPr>
        <w:t>Concept of university innovation management under the Triple Helix, emphasizing entrepreneurial development</w:t>
      </w:r>
    </w:p>
    <w:p w14:paraId="7B809352" w14:textId="77777777" w:rsidR="001A424E" w:rsidRPr="001A424E" w:rsidRDefault="001A424E" w:rsidP="001A424E">
      <w:pPr>
        <w:pStyle w:val="ad"/>
        <w:rPr>
          <w:rFonts w:ascii="Times New Roman" w:hAnsi="Times New Roman" w:cs="Times New Roman"/>
          <w:sz w:val="20"/>
          <w:szCs w:val="20"/>
          <w:lang w:val="en-US"/>
        </w:rPr>
      </w:pPr>
    </w:p>
    <w:p w14:paraId="74F859B8" w14:textId="2CED99B0" w:rsidR="00997DCD" w:rsidRPr="006D799B" w:rsidRDefault="00997DCD" w:rsidP="00416C4F">
      <w:pPr>
        <w:spacing w:after="0" w:line="240" w:lineRule="auto"/>
        <w:ind w:firstLine="720"/>
        <w:contextualSpacing/>
        <w:jc w:val="both"/>
        <w:rPr>
          <w:rFonts w:ascii="Times New Roman" w:eastAsia="Times New Roman" w:hAnsi="Times New Roman" w:cs="Times New Roman"/>
          <w:noProof/>
          <w:sz w:val="24"/>
          <w:szCs w:val="24"/>
          <w:lang w:val="en-US" w:eastAsia="ru-RU"/>
        </w:rPr>
      </w:pPr>
      <w:r w:rsidRPr="006D799B">
        <w:rPr>
          <w:rFonts w:ascii="Times New Roman" w:hAnsi="Times New Roman" w:cs="Times New Roman"/>
          <w:sz w:val="24"/>
          <w:szCs w:val="24"/>
          <w:lang w:val="en-US"/>
        </w:rPr>
        <w:t>Note – Compiled by the author</w:t>
      </w:r>
    </w:p>
    <w:p w14:paraId="7696CFD7" w14:textId="77777777" w:rsidR="00997DCD" w:rsidRPr="00244343" w:rsidRDefault="00997DCD" w:rsidP="00997DCD">
      <w:pPr>
        <w:spacing w:after="0" w:line="240" w:lineRule="auto"/>
        <w:ind w:firstLine="720"/>
        <w:contextualSpacing/>
        <w:jc w:val="both"/>
        <w:rPr>
          <w:rFonts w:ascii="Times New Roman" w:eastAsia="Times New Roman" w:hAnsi="Times New Roman" w:cs="Times New Roman"/>
          <w:sz w:val="28"/>
          <w:szCs w:val="28"/>
          <w:lang w:val="en-US" w:eastAsia="ru-RU"/>
        </w:rPr>
      </w:pPr>
    </w:p>
    <w:p w14:paraId="12B06FCE" w14:textId="77777777" w:rsidR="00997DCD" w:rsidRPr="00244343" w:rsidRDefault="00997DCD" w:rsidP="00997DCD">
      <w:pPr>
        <w:spacing w:after="0" w:line="240" w:lineRule="auto"/>
        <w:ind w:firstLine="720"/>
        <w:contextualSpacing/>
        <w:jc w:val="both"/>
        <w:rPr>
          <w:rFonts w:ascii="Times New Roman" w:eastAsia="Times New Roman" w:hAnsi="Times New Roman" w:cs="Times New Roman"/>
          <w:sz w:val="28"/>
          <w:szCs w:val="28"/>
          <w:lang w:val="en-US" w:eastAsia="ru-RU"/>
        </w:rPr>
      </w:pPr>
      <w:r w:rsidRPr="003A6F12">
        <w:rPr>
          <w:rFonts w:ascii="Times New Roman" w:eastAsia="Times New Roman" w:hAnsi="Times New Roman" w:cs="Times New Roman"/>
          <w:sz w:val="28"/>
          <w:szCs w:val="28"/>
          <w:lang w:val="en-US" w:eastAsia="ru-RU"/>
        </w:rPr>
        <w:t>Figure 5</w:t>
      </w:r>
      <w:r w:rsidRPr="00244343">
        <w:rPr>
          <w:rFonts w:ascii="Times New Roman" w:eastAsia="Times New Roman" w:hAnsi="Times New Roman" w:cs="Times New Roman"/>
          <w:sz w:val="28"/>
          <w:szCs w:val="28"/>
          <w:lang w:val="en-US" w:eastAsia="ru-RU"/>
        </w:rPr>
        <w:t xml:space="preserve"> illustrates the theoretical development of the innovation management concept as put forth by the author. This framework identifies the interconnected elements of innovation, entrepreneurship, and the triple helix model. Subsequent chapters will explore additional manifestations of the triple helix model (THM), specifically the University-Industry Collaboration (UIC). Drawing parallels from biological concepts such as DNA and the physical properties of spiral plasma, we have integrated the output of UIC within a framework of joint spirals—namely, the U-spiral, S-spiral, and C-spiral. The U-spiral embodies university learning programs and career centers, wherein companies' engagement is comparatively limited, positioning the university as the principal actor.</w:t>
      </w:r>
    </w:p>
    <w:p w14:paraId="15BDFFB0" w14:textId="77777777" w:rsidR="00997DCD" w:rsidRPr="00244343" w:rsidRDefault="00997DCD" w:rsidP="00997DCD">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In contrast, the S-spiral signifies graduates with a pronounced locus of control or those who exhibit entrepreneurial potential, thereby focusing primarily on the student demographic. This spiral is characterized by the production of knowledge generated at the university and the outcomes of targeted entrepreneurial endeavors. The C-spiral, representing collaboration between companies and educational institutions, facilitates training programs and opportunities aimed at students.</w:t>
      </w:r>
    </w:p>
    <w:p w14:paraId="3506D236" w14:textId="77777777" w:rsidR="00997DCD" w:rsidRPr="00244343" w:rsidRDefault="00997DCD" w:rsidP="00997DCD">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lastRenderedPageBreak/>
        <w:t xml:space="preserve">Since businesses contribute significantly to this spiral, it is recognized as the most impactful within this triadic framework. The illustrative figure presented by the author elucidates the interconnected nature of these three spirals within the university context, framing it as a paradigm of university triple collaboration. This collaborative engagement among the U-S-C spirals, whether in isolation or conjunction, culminates in tangible innovation outputs. Such outputs may manifest as distinct or independent innovative services and products, yet the university's involvement remains pivotal throughout the innovation process. Thus, universities must manage this innovation output effectively. The ultimate outcomes of the UIC collaboration model can manifest in one or both of the following avenues: successful employment of graduates and fostering student entrepreneurship. When both these trajectories are successfully executed, they collectively contribute to advancing innovation. Innovation management within academic institutions may pertain either to the administration of new innovative products or services introduced into the university environment, whether considered within or outside the framework of THM. Given that these interactions encapsulate the principal innovative outputs generated by universities, it is posited that innovation is already being managed within academic settings, as depicted in Figure 5. Successful implementation of UIC or THM frameworks engenders clusters and regional ecosystems that coalesce around high innovation output, thereby facilitating regional development. </w:t>
      </w:r>
    </w:p>
    <w:p w14:paraId="61BB4233" w14:textId="77777777" w:rsidR="00997DCD" w:rsidRPr="00244343" w:rsidRDefault="00997DCD" w:rsidP="00997DCD">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This chapter presents the notion of innovation management in universities, emphasizing its development and relation to the triple helix model (THM) and entrepreneurship. </w:t>
      </w:r>
    </w:p>
    <w:p w14:paraId="67E77D89" w14:textId="3C30439B" w:rsidR="00997DCD" w:rsidRPr="00244343" w:rsidRDefault="00997DCD" w:rsidP="00997DCD">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It is comprehensively</w:t>
      </w:r>
      <w:r w:rsidR="00467AB5" w:rsidRPr="00467AB5">
        <w:rPr>
          <w:rFonts w:ascii="Times New Roman" w:eastAsia="Times New Roman" w:hAnsi="Times New Roman" w:cs="Times New Roman"/>
          <w:sz w:val="28"/>
          <w:szCs w:val="28"/>
          <w:lang w:val="en-US"/>
        </w:rPr>
        <w:t xml:space="preserve"> </w:t>
      </w:r>
      <w:proofErr w:type="gramStart"/>
      <w:r w:rsidRPr="00244343">
        <w:rPr>
          <w:rFonts w:ascii="Times New Roman" w:eastAsia="Times New Roman" w:hAnsi="Times New Roman" w:cs="Times New Roman"/>
          <w:sz w:val="28"/>
          <w:szCs w:val="28"/>
          <w:lang w:val="en-US"/>
        </w:rPr>
        <w:t>delineates</w:t>
      </w:r>
      <w:proofErr w:type="gramEnd"/>
      <w:r w:rsidR="00026766">
        <w:rPr>
          <w:rFonts w:ascii="Times New Roman" w:eastAsia="Times New Roman" w:hAnsi="Times New Roman" w:cs="Times New Roman"/>
          <w:sz w:val="28"/>
          <w:szCs w:val="28"/>
          <w:lang w:val="en-US"/>
        </w:rPr>
        <w:t xml:space="preserve"> </w:t>
      </w:r>
      <w:r w:rsidRPr="00244343">
        <w:rPr>
          <w:rFonts w:ascii="Times New Roman" w:eastAsia="Times New Roman" w:hAnsi="Times New Roman" w:cs="Times New Roman"/>
          <w:sz w:val="28"/>
          <w:szCs w:val="28"/>
          <w:lang w:val="en-US"/>
        </w:rPr>
        <w:t>innovation, including novel goods, processes, and applications. It delineates the historical comprehension of innovation, emphasizing the contributions of Marx, Schumpeter, and Freeman. It also explores the intertwined concepts of entrepreneurship and entrepreneurs, drawing heavily on Drucker's definitions.</w:t>
      </w:r>
    </w:p>
    <w:p w14:paraId="36C7D6E6" w14:textId="77777777" w:rsidR="00997DCD" w:rsidRPr="00244343" w:rsidRDefault="00997DCD" w:rsidP="00997DCD">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The </w:t>
      </w:r>
      <w:r>
        <w:rPr>
          <w:rFonts w:ascii="Times New Roman" w:eastAsia="Times New Roman" w:hAnsi="Times New Roman" w:cs="Times New Roman"/>
          <w:sz w:val="28"/>
          <w:szCs w:val="28"/>
          <w:lang w:val="en-US"/>
        </w:rPr>
        <w:t>subsection</w:t>
      </w:r>
      <w:r w:rsidRPr="00244343">
        <w:rPr>
          <w:rFonts w:ascii="Times New Roman" w:eastAsia="Times New Roman" w:hAnsi="Times New Roman" w:cs="Times New Roman"/>
          <w:sz w:val="28"/>
          <w:szCs w:val="28"/>
          <w:lang w:val="en-US"/>
        </w:rPr>
        <w:t xml:space="preserve"> explains the THM as a framework for understanding innovation through university, industry, and government interaction. 1 It uses the analogy of a biological triple helix to illustrate how these three actors collaborate to generate innovation. It also distinguishes between statist and laissez-faire models of THM implementation.   </w:t>
      </w:r>
    </w:p>
    <w:p w14:paraId="2B8BFF23" w14:textId="77777777" w:rsidR="00997DCD" w:rsidRPr="00244343" w:rsidRDefault="00997DCD" w:rsidP="00997DCD">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The </w:t>
      </w:r>
      <w:r>
        <w:rPr>
          <w:rFonts w:ascii="Times New Roman" w:eastAsia="Times New Roman" w:hAnsi="Times New Roman" w:cs="Times New Roman"/>
          <w:sz w:val="28"/>
          <w:szCs w:val="28"/>
          <w:lang w:val="en-US"/>
        </w:rPr>
        <w:t>subsection</w:t>
      </w:r>
      <w:r w:rsidRPr="00244343">
        <w:rPr>
          <w:rFonts w:ascii="Times New Roman" w:eastAsia="Times New Roman" w:hAnsi="Times New Roman" w:cs="Times New Roman"/>
          <w:sz w:val="28"/>
          <w:szCs w:val="28"/>
          <w:lang w:val="en-US"/>
        </w:rPr>
        <w:t xml:space="preserve"> argues that while much research exists on the THM and related concepts, there is a gap in understanding </w:t>
      </w:r>
      <w:r w:rsidRPr="00244343">
        <w:rPr>
          <w:rFonts w:ascii="Times New Roman" w:eastAsia="Times New Roman" w:hAnsi="Times New Roman" w:cs="Times New Roman"/>
          <w:i/>
          <w:iCs/>
          <w:sz w:val="28"/>
          <w:szCs w:val="28"/>
          <w:lang w:val="en-US"/>
        </w:rPr>
        <w:t>innovation management</w:t>
      </w:r>
      <w:r w:rsidRPr="00244343">
        <w:rPr>
          <w:rFonts w:ascii="Times New Roman" w:eastAsia="Times New Roman" w:hAnsi="Times New Roman" w:cs="Times New Roman"/>
          <w:sz w:val="28"/>
          <w:szCs w:val="28"/>
          <w:lang w:val="en-US"/>
        </w:rPr>
        <w:t>, specifically within universities. It emphasizes that universities are not just knowledge producers but also entrepreneurial actors.</w:t>
      </w:r>
    </w:p>
    <w:p w14:paraId="34C7A36E" w14:textId="77777777" w:rsidR="00997DCD" w:rsidRPr="00244343" w:rsidRDefault="00997DCD" w:rsidP="00997DCD">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i/>
          <w:iCs/>
          <w:sz w:val="28"/>
          <w:szCs w:val="28"/>
          <w:lang w:val="en-US"/>
        </w:rPr>
        <w:t>Connecting the Concepts:</w:t>
      </w:r>
      <w:r w:rsidRPr="00244343">
        <w:rPr>
          <w:rFonts w:ascii="Times New Roman" w:eastAsia="Times New Roman" w:hAnsi="Times New Roman" w:cs="Times New Roman"/>
          <w:sz w:val="28"/>
          <w:szCs w:val="28"/>
          <w:lang w:val="en-US"/>
        </w:rPr>
        <w:t xml:space="preserve"> The chapter emphasizes the interconnectedness of innovation management, entrepreneurship, and the THM. It argues that innovation management provides the structure for entrepreneurs operating within the THM framework. University-industry collaboration is highlighted as a key component of this interaction.</w:t>
      </w:r>
    </w:p>
    <w:p w14:paraId="69D571E6" w14:textId="77777777" w:rsidR="00997DCD" w:rsidRPr="00244343" w:rsidRDefault="00997DCD" w:rsidP="00997DCD">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i/>
          <w:iCs/>
          <w:sz w:val="28"/>
          <w:szCs w:val="28"/>
          <w:lang w:val="en-US"/>
        </w:rPr>
        <w:t>A New Framework (U-S-C Spirals):</w:t>
      </w:r>
      <w:r w:rsidRPr="00244343">
        <w:rPr>
          <w:rFonts w:ascii="Times New Roman" w:eastAsia="Times New Roman" w:hAnsi="Times New Roman" w:cs="Times New Roman"/>
          <w:sz w:val="28"/>
          <w:szCs w:val="28"/>
          <w:lang w:val="en-US"/>
        </w:rPr>
        <w:t xml:space="preserve"> The chapter proposes a new framework for understanding university-based innovation using the concept of U-S-C spirals:</w:t>
      </w:r>
    </w:p>
    <w:p w14:paraId="3C7F7493" w14:textId="77777777" w:rsidR="00997DCD" w:rsidRPr="00244343" w:rsidRDefault="00997DCD" w:rsidP="00997DCD">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lastRenderedPageBreak/>
        <w:t xml:space="preserve">U-spiral: University-led activities (learning programs, career </w:t>
      </w:r>
      <w:proofErr w:type="spellStart"/>
      <w:r w:rsidRPr="00244343">
        <w:rPr>
          <w:rFonts w:ascii="Times New Roman" w:eastAsia="Times New Roman" w:hAnsi="Times New Roman" w:cs="Times New Roman"/>
          <w:sz w:val="28"/>
          <w:szCs w:val="28"/>
          <w:lang w:val="en-US"/>
        </w:rPr>
        <w:t>centres</w:t>
      </w:r>
      <w:proofErr w:type="spellEnd"/>
      <w:r w:rsidRPr="00244343">
        <w:rPr>
          <w:rFonts w:ascii="Times New Roman" w:eastAsia="Times New Roman" w:hAnsi="Times New Roman" w:cs="Times New Roman"/>
          <w:sz w:val="28"/>
          <w:szCs w:val="28"/>
          <w:lang w:val="en-US"/>
        </w:rPr>
        <w:t>).</w:t>
      </w:r>
    </w:p>
    <w:p w14:paraId="00A7F416" w14:textId="77777777" w:rsidR="00997DCD" w:rsidRPr="00244343" w:rsidRDefault="00997DCD" w:rsidP="00997DCD">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S-spiral</w:t>
      </w:r>
      <w:r w:rsidRPr="00244343">
        <w:rPr>
          <w:rFonts w:ascii="Times New Roman" w:eastAsia="Times New Roman" w:hAnsi="Times New Roman" w:cs="Times New Roman"/>
          <w:b/>
          <w:bCs/>
          <w:sz w:val="28"/>
          <w:szCs w:val="28"/>
          <w:lang w:val="en-US"/>
        </w:rPr>
        <w:t>:</w:t>
      </w:r>
      <w:r w:rsidRPr="00244343">
        <w:rPr>
          <w:rFonts w:ascii="Times New Roman" w:eastAsia="Times New Roman" w:hAnsi="Times New Roman" w:cs="Times New Roman"/>
          <w:sz w:val="28"/>
          <w:szCs w:val="28"/>
          <w:lang w:val="en-US"/>
        </w:rPr>
        <w:t xml:space="preserve"> Student entrepreneurship and knowledge creation.</w:t>
      </w:r>
    </w:p>
    <w:p w14:paraId="464BAAD0" w14:textId="77777777" w:rsidR="00997DCD" w:rsidRPr="00244343" w:rsidRDefault="00997DCD" w:rsidP="00997DCD">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C-spiral: Collaborative activities between universities and companies (training programs, opportunities). </w:t>
      </w:r>
    </w:p>
    <w:p w14:paraId="5FE4B797" w14:textId="77777777" w:rsidR="00997DCD" w:rsidRPr="00244343" w:rsidRDefault="00997DCD" w:rsidP="00997DCD">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i/>
          <w:iCs/>
          <w:sz w:val="28"/>
          <w:szCs w:val="28"/>
          <w:lang w:val="en-US"/>
        </w:rPr>
        <w:t xml:space="preserve">Innovation Outputs and Management: </w:t>
      </w:r>
      <w:r w:rsidRPr="00244343">
        <w:rPr>
          <w:rFonts w:ascii="Times New Roman" w:eastAsia="Times New Roman" w:hAnsi="Times New Roman" w:cs="Times New Roman"/>
          <w:sz w:val="28"/>
          <w:szCs w:val="28"/>
          <w:lang w:val="en-US"/>
        </w:rPr>
        <w:t xml:space="preserve">The work findings argues that these U-S-C spirals, individually or combined, generate innovation outputs (new products, services). It posits that universities </w:t>
      </w:r>
      <w:r w:rsidRPr="00244343">
        <w:rPr>
          <w:rFonts w:ascii="Times New Roman" w:eastAsia="Times New Roman" w:hAnsi="Times New Roman" w:cs="Times New Roman"/>
          <w:i/>
          <w:iCs/>
          <w:sz w:val="28"/>
          <w:szCs w:val="28"/>
          <w:lang w:val="en-US"/>
        </w:rPr>
        <w:t>already</w:t>
      </w:r>
      <w:r w:rsidRPr="00244343">
        <w:rPr>
          <w:rFonts w:ascii="Times New Roman" w:eastAsia="Times New Roman" w:hAnsi="Times New Roman" w:cs="Times New Roman"/>
          <w:sz w:val="28"/>
          <w:szCs w:val="28"/>
          <w:lang w:val="en-US"/>
        </w:rPr>
        <w:t xml:space="preserve"> manage innovation, even if not explicitly recognized, and that effective management of these outputs is crucial.</w:t>
      </w:r>
    </w:p>
    <w:p w14:paraId="646412D7" w14:textId="77777777" w:rsidR="00997DCD" w:rsidRPr="00244343" w:rsidRDefault="00997DCD" w:rsidP="00997DCD">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i/>
          <w:iCs/>
          <w:sz w:val="28"/>
          <w:szCs w:val="28"/>
          <w:lang w:val="en-US"/>
        </w:rPr>
        <w:t>Regional Development:</w:t>
      </w:r>
      <w:r w:rsidRPr="00244343">
        <w:rPr>
          <w:rFonts w:ascii="Times New Roman" w:eastAsia="Times New Roman" w:hAnsi="Times New Roman" w:cs="Times New Roman"/>
          <w:sz w:val="28"/>
          <w:szCs w:val="28"/>
          <w:lang w:val="en-US"/>
        </w:rPr>
        <w:t xml:space="preserve"> The chapter suggests that the successful implementation of UIC or THM frameworks leads to the development of high-innovation clusters and regional ecosystems.</w:t>
      </w:r>
    </w:p>
    <w:p w14:paraId="2A6D7A4D" w14:textId="532AAD73" w:rsidR="00A97E55" w:rsidRPr="00B52B62" w:rsidRDefault="00997DCD" w:rsidP="00B52B62">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This chapter establishes the foundation for an in-depth examination of innovation management in universities, particularly emphasizing the role of THM and entrepreneurial initiatives in generating innovation outputs and fostering </w:t>
      </w:r>
      <w:r w:rsidRPr="00B52B62">
        <w:rPr>
          <w:rFonts w:ascii="Times New Roman" w:eastAsia="Times New Roman" w:hAnsi="Times New Roman" w:cs="Times New Roman"/>
          <w:sz w:val="28"/>
          <w:szCs w:val="28"/>
          <w:lang w:val="en-US"/>
        </w:rPr>
        <w:t>regional growth. It presents a novel framework (U-S-C spirals) for analyzing these processes inside the academic setting.</w:t>
      </w:r>
    </w:p>
    <w:p w14:paraId="19EBC60C" w14:textId="77777777" w:rsidR="00B52B62" w:rsidRPr="00B52B62" w:rsidRDefault="00B52B62" w:rsidP="00364C67">
      <w:pPr>
        <w:spacing w:after="0" w:line="240" w:lineRule="auto"/>
        <w:ind w:firstLine="720"/>
        <w:jc w:val="both"/>
        <w:rPr>
          <w:rFonts w:ascii="Times New Roman" w:eastAsia="Times New Roman" w:hAnsi="Times New Roman" w:cs="Times New Roman"/>
          <w:color w:val="0E101A"/>
          <w:sz w:val="28"/>
          <w:szCs w:val="28"/>
          <w:lang w:val="en-US"/>
        </w:rPr>
      </w:pPr>
      <w:r w:rsidRPr="00B52B62">
        <w:rPr>
          <w:rFonts w:ascii="Times New Roman" w:eastAsia="Times New Roman" w:hAnsi="Times New Roman" w:cs="Times New Roman"/>
          <w:i/>
          <w:iCs/>
          <w:color w:val="0E101A"/>
          <w:sz w:val="28"/>
          <w:szCs w:val="28"/>
          <w:lang w:val="en-US"/>
        </w:rPr>
        <w:t>Framing Innovation in Cross-Sectoral Contexts</w:t>
      </w:r>
    </w:p>
    <w:p w14:paraId="05196D9D" w14:textId="77777777" w:rsidR="00B52B62" w:rsidRPr="00B52B62" w:rsidRDefault="00B52B62" w:rsidP="00364C67">
      <w:pPr>
        <w:spacing w:after="0" w:line="240" w:lineRule="auto"/>
        <w:ind w:firstLine="720"/>
        <w:jc w:val="both"/>
        <w:rPr>
          <w:rFonts w:ascii="Times New Roman" w:eastAsia="Times New Roman" w:hAnsi="Times New Roman" w:cs="Times New Roman"/>
          <w:color w:val="0E101A"/>
          <w:sz w:val="28"/>
          <w:szCs w:val="28"/>
          <w:lang w:val="en-US"/>
        </w:rPr>
      </w:pPr>
      <w:r w:rsidRPr="00B52B62">
        <w:rPr>
          <w:rFonts w:ascii="Times New Roman" w:eastAsia="Times New Roman" w:hAnsi="Times New Roman" w:cs="Times New Roman"/>
          <w:i/>
          <w:iCs/>
          <w:color w:val="0E101A"/>
          <w:sz w:val="28"/>
          <w:szCs w:val="28"/>
          <w:lang w:val="en-US"/>
        </w:rPr>
        <w:t>Incorporating the Cross-Sectoral Model into the Innovation Framework</w:t>
      </w:r>
    </w:p>
    <w:p w14:paraId="3B8EDCCD" w14:textId="77777777" w:rsidR="00B52B62" w:rsidRPr="00B52B62" w:rsidRDefault="00B52B62" w:rsidP="00364C67">
      <w:pPr>
        <w:spacing w:after="0" w:line="240" w:lineRule="auto"/>
        <w:ind w:firstLine="720"/>
        <w:jc w:val="both"/>
        <w:rPr>
          <w:rFonts w:ascii="Times New Roman" w:eastAsia="Times New Roman" w:hAnsi="Times New Roman" w:cs="Times New Roman"/>
          <w:color w:val="0E101A"/>
          <w:sz w:val="28"/>
          <w:szCs w:val="28"/>
          <w:lang w:val="en-US"/>
        </w:rPr>
      </w:pPr>
      <w:r w:rsidRPr="00B52B62">
        <w:rPr>
          <w:rFonts w:ascii="Times New Roman" w:eastAsia="Times New Roman" w:hAnsi="Times New Roman" w:cs="Times New Roman"/>
          <w:color w:val="0E101A"/>
          <w:sz w:val="28"/>
          <w:szCs w:val="28"/>
          <w:lang w:val="en-US"/>
        </w:rPr>
        <w:t>This dissertation frames a distinctive theoretical advancement in innovation management within the higher education sector by providing an innovative interpretation of the Triple Helix model grounded in the internal dynamics of institutions. This study delineates a trilateral spiral operating within the university context, diverging from conventional applications of the TH, which predominantly underscores the macro-level interactions among universities, industry, and governmental entities.</w:t>
      </w:r>
    </w:p>
    <w:p w14:paraId="72B98A39" w14:textId="77777777" w:rsidR="00B52B62" w:rsidRPr="00B52B62" w:rsidRDefault="00B52B62" w:rsidP="00364C67">
      <w:pPr>
        <w:spacing w:after="0" w:line="240" w:lineRule="auto"/>
        <w:ind w:firstLine="720"/>
        <w:jc w:val="both"/>
        <w:rPr>
          <w:rFonts w:ascii="Times New Roman" w:eastAsia="Times New Roman" w:hAnsi="Times New Roman" w:cs="Times New Roman"/>
          <w:color w:val="0E101A"/>
          <w:sz w:val="28"/>
          <w:szCs w:val="28"/>
          <w:lang w:val="en-US"/>
        </w:rPr>
      </w:pPr>
      <w:r w:rsidRPr="00B52B62">
        <w:rPr>
          <w:rFonts w:ascii="Times New Roman" w:eastAsia="Times New Roman" w:hAnsi="Times New Roman" w:cs="Times New Roman"/>
          <w:color w:val="0E101A"/>
          <w:sz w:val="28"/>
          <w:szCs w:val="28"/>
          <w:lang w:val="en-US"/>
        </w:rPr>
        <w:t>In contrast to the traditional usage of the TH, which prioritizes the institutional interactions among universities, industry, and government at the macro scale, this study illuminates a trilateral spiral intrinsic to the university environment. In this framework, students are positioned as central agents in operationalizing and enhancing university-industry-government collaboration from within the academic institution.</w:t>
      </w:r>
    </w:p>
    <w:p w14:paraId="52F8A02C" w14:textId="1059DC78" w:rsidR="00B52B62" w:rsidRPr="00B52B62" w:rsidRDefault="00B52B62" w:rsidP="00364C67">
      <w:pPr>
        <w:spacing w:after="0" w:line="240" w:lineRule="auto"/>
        <w:ind w:firstLine="720"/>
        <w:jc w:val="both"/>
        <w:rPr>
          <w:rFonts w:ascii="Times New Roman" w:eastAsia="Times New Roman" w:hAnsi="Times New Roman" w:cs="Times New Roman"/>
          <w:color w:val="0E101A"/>
          <w:sz w:val="28"/>
          <w:szCs w:val="28"/>
          <w:lang w:val="en-US"/>
        </w:rPr>
      </w:pPr>
      <w:r w:rsidRPr="00B52B62">
        <w:rPr>
          <w:rFonts w:ascii="Times New Roman" w:eastAsia="Times New Roman" w:hAnsi="Times New Roman" w:cs="Times New Roman"/>
          <w:color w:val="0E101A"/>
          <w:sz w:val="28"/>
          <w:szCs w:val="28"/>
          <w:lang w:val="en-US"/>
        </w:rPr>
        <w:t>The novelty lies in developing a student-</w:t>
      </w:r>
      <w:proofErr w:type="spellStart"/>
      <w:r w:rsidRPr="00B52B62">
        <w:rPr>
          <w:rFonts w:ascii="Times New Roman" w:eastAsia="Times New Roman" w:hAnsi="Times New Roman" w:cs="Times New Roman"/>
          <w:color w:val="0E101A"/>
          <w:sz w:val="28"/>
          <w:szCs w:val="28"/>
          <w:lang w:val="en-US"/>
        </w:rPr>
        <w:t>centred</w:t>
      </w:r>
      <w:proofErr w:type="spellEnd"/>
      <w:r w:rsidRPr="00B52B62">
        <w:rPr>
          <w:rFonts w:ascii="Times New Roman" w:eastAsia="Times New Roman" w:hAnsi="Times New Roman" w:cs="Times New Roman"/>
          <w:color w:val="0E101A"/>
          <w:sz w:val="28"/>
          <w:szCs w:val="28"/>
          <w:lang w:val="en-US"/>
        </w:rPr>
        <w:t xml:space="preserve"> innovation management model that integrates entrepreneurial education, employability enhancement, and stakeholder engagement into a unified internal mechanism of innovation generation. This model reflects a rethinking of how innovation is structured and governed at the university level, with students serving as beneficiaries and co-creators of innovation processes</w:t>
      </w:r>
      <w:r w:rsidR="00FC73E7">
        <w:rPr>
          <w:rFonts w:ascii="Times New Roman" w:eastAsia="Times New Roman" w:hAnsi="Times New Roman" w:cs="Times New Roman"/>
          <w:color w:val="0E101A"/>
          <w:sz w:val="28"/>
          <w:szCs w:val="28"/>
          <w:lang w:val="en-US"/>
        </w:rPr>
        <w:t xml:space="preserve"> [32]</w:t>
      </w:r>
      <w:r w:rsidRPr="00B52B62">
        <w:rPr>
          <w:rFonts w:ascii="Times New Roman" w:eastAsia="Times New Roman" w:hAnsi="Times New Roman" w:cs="Times New Roman"/>
          <w:color w:val="0E101A"/>
          <w:sz w:val="28"/>
          <w:szCs w:val="28"/>
          <w:lang w:val="en-US"/>
        </w:rPr>
        <w:t>. It provides a novel perspective on academic entrepreneurship by emphasizing the role of students not only as prospective employees or entrepreneurs but also as active contributors integrated within the innovation ecosystem.</w:t>
      </w:r>
    </w:p>
    <w:p w14:paraId="27258E61" w14:textId="034DC978" w:rsidR="00B52B62" w:rsidRPr="00B52B62" w:rsidRDefault="00B52B62" w:rsidP="00364C67">
      <w:pPr>
        <w:spacing w:after="0" w:line="240" w:lineRule="auto"/>
        <w:ind w:firstLine="720"/>
        <w:jc w:val="both"/>
        <w:rPr>
          <w:rFonts w:ascii="Times New Roman" w:eastAsia="Times New Roman" w:hAnsi="Times New Roman" w:cs="Times New Roman"/>
          <w:color w:val="0E101A"/>
          <w:sz w:val="28"/>
          <w:szCs w:val="28"/>
          <w:lang w:val="en-US"/>
        </w:rPr>
      </w:pPr>
      <w:r w:rsidRPr="00B52B62">
        <w:rPr>
          <w:rFonts w:ascii="Times New Roman" w:eastAsia="Times New Roman" w:hAnsi="Times New Roman" w:cs="Times New Roman"/>
          <w:color w:val="0E101A"/>
          <w:sz w:val="28"/>
          <w:szCs w:val="28"/>
          <w:lang w:val="en-US"/>
        </w:rPr>
        <w:t>To strengthen its theoretical grounding, the dissertation draws on the cross-sectoral model of science and innovation and Mode 2 knowledge production</w:t>
      </w:r>
      <w:r w:rsidR="00E840B1">
        <w:rPr>
          <w:rFonts w:ascii="Times New Roman" w:eastAsia="Times New Roman" w:hAnsi="Times New Roman" w:cs="Times New Roman"/>
          <w:color w:val="0E101A"/>
          <w:sz w:val="28"/>
          <w:szCs w:val="28"/>
          <w:lang w:val="en-US"/>
        </w:rPr>
        <w:t xml:space="preserve"> [70]. </w:t>
      </w:r>
      <w:r w:rsidRPr="00B52B62">
        <w:rPr>
          <w:rFonts w:ascii="Times New Roman" w:eastAsia="Times New Roman" w:hAnsi="Times New Roman" w:cs="Times New Roman"/>
          <w:color w:val="0E101A"/>
          <w:sz w:val="28"/>
          <w:szCs w:val="28"/>
          <w:lang w:val="en-US"/>
        </w:rPr>
        <w:t>These models, however, are not portrayed as innovations in themselves. Instead, they are used to support and place the original conceptual paradigm suggested in this work in perspective.  </w:t>
      </w:r>
    </w:p>
    <w:p w14:paraId="66D3E345" w14:textId="77777777" w:rsidR="00B52B62" w:rsidRPr="00B52B62" w:rsidRDefault="00B52B62" w:rsidP="00E840B1">
      <w:pPr>
        <w:spacing w:after="0" w:line="240" w:lineRule="auto"/>
        <w:ind w:firstLine="720"/>
        <w:jc w:val="both"/>
        <w:rPr>
          <w:rFonts w:ascii="Times New Roman" w:eastAsia="Times New Roman" w:hAnsi="Times New Roman" w:cs="Times New Roman"/>
          <w:color w:val="0E101A"/>
          <w:sz w:val="28"/>
          <w:szCs w:val="28"/>
          <w:lang w:val="en-US"/>
        </w:rPr>
      </w:pPr>
      <w:r w:rsidRPr="00B52B62">
        <w:rPr>
          <w:rFonts w:ascii="Times New Roman" w:eastAsia="Times New Roman" w:hAnsi="Times New Roman" w:cs="Times New Roman"/>
          <w:color w:val="0E101A"/>
          <w:sz w:val="28"/>
          <w:szCs w:val="28"/>
          <w:lang w:val="en-US"/>
        </w:rPr>
        <w:lastRenderedPageBreak/>
        <w:t>This combination strategy retains the dissertation's originality and uniqueness and guarantees congruence with modern global debates on innovation ecosystems.</w:t>
      </w:r>
    </w:p>
    <w:p w14:paraId="69C2CB92" w14:textId="6B3EC7A5" w:rsidR="00B52B62" w:rsidRPr="00B52B62" w:rsidRDefault="00B52B62" w:rsidP="00E840B1">
      <w:pPr>
        <w:spacing w:after="0" w:line="240" w:lineRule="auto"/>
        <w:ind w:firstLine="720"/>
        <w:jc w:val="both"/>
        <w:rPr>
          <w:rFonts w:ascii="Times New Roman" w:eastAsia="Times New Roman" w:hAnsi="Times New Roman" w:cs="Times New Roman"/>
          <w:color w:val="0E101A"/>
          <w:sz w:val="28"/>
          <w:szCs w:val="28"/>
          <w:lang w:val="en-US"/>
        </w:rPr>
      </w:pPr>
      <w:r w:rsidRPr="00B52B62">
        <w:rPr>
          <w:rFonts w:ascii="Times New Roman" w:eastAsia="Times New Roman" w:hAnsi="Times New Roman" w:cs="Times New Roman"/>
          <w:color w:val="0E101A"/>
          <w:sz w:val="28"/>
          <w:szCs w:val="28"/>
          <w:lang w:val="en-US"/>
        </w:rPr>
        <w:t>Furthermore, the model is formulated and executed within Kazakhstan's distinct institutional and policy mili</w:t>
      </w:r>
      <w:r>
        <w:rPr>
          <w:rFonts w:ascii="Times New Roman" w:eastAsia="Times New Roman" w:hAnsi="Times New Roman" w:cs="Times New Roman"/>
          <w:color w:val="0E101A"/>
          <w:sz w:val="28"/>
          <w:szCs w:val="28"/>
          <w:lang w:val="en-US"/>
        </w:rPr>
        <w:t>eu</w:t>
      </w:r>
      <w:r w:rsidRPr="00B52B62">
        <w:rPr>
          <w:rFonts w:ascii="Times New Roman" w:eastAsia="Times New Roman" w:hAnsi="Times New Roman" w:cs="Times New Roman"/>
          <w:color w:val="0E101A"/>
          <w:sz w:val="28"/>
          <w:szCs w:val="28"/>
          <w:lang w:val="en-US"/>
        </w:rPr>
        <w:t xml:space="preserve"> and is designed and operationalized within Kazakhstan's specific institutional and policy architecture. This localized application adds further novelty by offering theoretical and empirical insights into how internal university innovation processes can be restructured to meet national goals related to graduate employability, academic entrepreneurship, and sustainable university-industry collaboration.</w:t>
      </w:r>
    </w:p>
    <w:p w14:paraId="288B46C3" w14:textId="3D7697DB" w:rsidR="00DC5CC7" w:rsidRDefault="00DC5CC7" w:rsidP="00533B37">
      <w:pPr>
        <w:spacing w:after="0" w:line="240" w:lineRule="auto"/>
        <w:rPr>
          <w:rFonts w:ascii="Times New Roman" w:eastAsia="Times New Roman" w:hAnsi="Times New Roman" w:cs="Times New Roman"/>
          <w:sz w:val="28"/>
          <w:szCs w:val="28"/>
          <w:lang w:val="en-US"/>
        </w:rPr>
      </w:pPr>
    </w:p>
    <w:p w14:paraId="4FCB3A68" w14:textId="3FD90015" w:rsidR="00B52B62" w:rsidRDefault="00DC5CC7" w:rsidP="00026766">
      <w:pPr>
        <w:spacing w:after="0" w:line="240" w:lineRule="auto"/>
        <w:ind w:firstLine="720"/>
        <w:contextualSpacing/>
        <w:jc w:val="both"/>
        <w:rPr>
          <w:rStyle w:val="selectable-text"/>
          <w:rFonts w:ascii="Times New Roman" w:hAnsi="Times New Roman" w:cs="Times New Roman"/>
          <w:b/>
          <w:bCs/>
          <w:sz w:val="28"/>
          <w:szCs w:val="28"/>
          <w:lang w:val="en-US"/>
        </w:rPr>
      </w:pPr>
      <w:r w:rsidRPr="00DC5CC7">
        <w:rPr>
          <w:rFonts w:ascii="Times New Roman" w:eastAsia="Times New Roman" w:hAnsi="Times New Roman" w:cs="Times New Roman"/>
          <w:b/>
          <w:bCs/>
          <w:sz w:val="28"/>
          <w:szCs w:val="28"/>
          <w:lang w:val="en-US" w:eastAsia="ru-RU"/>
        </w:rPr>
        <w:t>1.4</w:t>
      </w:r>
      <w:r w:rsidR="00467AB5" w:rsidRPr="00467AB5">
        <w:rPr>
          <w:rFonts w:ascii="Times New Roman" w:eastAsia="Times New Roman" w:hAnsi="Times New Roman" w:cs="Times New Roman"/>
          <w:b/>
          <w:bCs/>
          <w:sz w:val="28"/>
          <w:szCs w:val="28"/>
          <w:lang w:val="en-US" w:eastAsia="ru-RU"/>
        </w:rPr>
        <w:t xml:space="preserve"> </w:t>
      </w:r>
      <w:r w:rsidRPr="00DC5CC7">
        <w:rPr>
          <w:rStyle w:val="selectable-text"/>
          <w:rFonts w:ascii="Times New Roman" w:hAnsi="Times New Roman" w:cs="Times New Roman"/>
          <w:b/>
          <w:bCs/>
          <w:sz w:val="28"/>
          <w:szCs w:val="28"/>
          <w:lang w:val="en-US"/>
        </w:rPr>
        <w:t>Regional Innovation and University-Industry Collaboration</w:t>
      </w:r>
      <w:r w:rsidR="00124149">
        <w:rPr>
          <w:rStyle w:val="selectable-text"/>
          <w:rFonts w:ascii="Times New Roman" w:hAnsi="Times New Roman" w:cs="Times New Roman"/>
          <w:b/>
          <w:bCs/>
          <w:sz w:val="28"/>
          <w:szCs w:val="28"/>
          <w:lang w:val="en-US"/>
        </w:rPr>
        <w:t xml:space="preserve"> </w:t>
      </w:r>
      <w:r w:rsidRPr="00DC5CC7">
        <w:rPr>
          <w:rStyle w:val="selectable-text"/>
          <w:rFonts w:ascii="Times New Roman" w:hAnsi="Times New Roman" w:cs="Times New Roman"/>
          <w:b/>
          <w:bCs/>
          <w:sz w:val="28"/>
          <w:szCs w:val="28"/>
          <w:lang w:val="en-US"/>
        </w:rPr>
        <w:t>Dynamics</w:t>
      </w:r>
    </w:p>
    <w:p w14:paraId="0EECCE25" w14:textId="77777777" w:rsidR="00124149" w:rsidRPr="00B52B62" w:rsidRDefault="00124149" w:rsidP="00B52B62">
      <w:pPr>
        <w:spacing w:after="0" w:line="240" w:lineRule="auto"/>
        <w:ind w:firstLine="720"/>
        <w:contextualSpacing/>
        <w:rPr>
          <w:rFonts w:ascii="Times New Roman" w:eastAsia="Times New Roman" w:hAnsi="Times New Roman" w:cs="Times New Roman"/>
          <w:b/>
          <w:bCs/>
          <w:sz w:val="28"/>
          <w:szCs w:val="28"/>
          <w:lang w:val="en-US" w:eastAsia="ru-RU"/>
        </w:rPr>
      </w:pPr>
    </w:p>
    <w:p w14:paraId="043D6C7C" w14:textId="77777777" w:rsidR="00DC5CC7" w:rsidRPr="00244343" w:rsidRDefault="00DC5CC7" w:rsidP="00B52B62">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This research seeks to analyze scientific literature concerning regional innovation within the framework of the Triple Helix model, including Kazakhstan. A bibliometric analysis was conducted to achieve the purpose, utilizing four principal search strings: “</w:t>
      </w:r>
      <w:r>
        <w:rPr>
          <w:rFonts w:ascii="Times New Roman" w:hAnsi="Times New Roman" w:cs="Times New Roman"/>
          <w:sz w:val="28"/>
          <w:szCs w:val="28"/>
          <w:lang w:val="en-US"/>
        </w:rPr>
        <w:t>TH</w:t>
      </w:r>
      <w:r w:rsidRPr="00244343">
        <w:rPr>
          <w:rFonts w:ascii="Times New Roman" w:hAnsi="Times New Roman" w:cs="Times New Roman"/>
          <w:sz w:val="28"/>
          <w:szCs w:val="28"/>
          <w:lang w:val="en-US"/>
        </w:rPr>
        <w:t xml:space="preserve"> </w:t>
      </w:r>
      <w:r>
        <w:rPr>
          <w:rFonts w:ascii="Times New Roman" w:hAnsi="Times New Roman" w:cs="Times New Roman"/>
          <w:sz w:val="28"/>
          <w:szCs w:val="28"/>
          <w:lang w:val="en-US"/>
        </w:rPr>
        <w:t>&amp;</w:t>
      </w:r>
      <w:r w:rsidRPr="00244343">
        <w:rPr>
          <w:rFonts w:ascii="Times New Roman" w:hAnsi="Times New Roman" w:cs="Times New Roman"/>
          <w:sz w:val="28"/>
          <w:szCs w:val="28"/>
          <w:lang w:val="en-US"/>
        </w:rPr>
        <w:t xml:space="preserve"> Kazakhstan,” “Kazakhstan regional innovation,” “Regional Innovation and </w:t>
      </w:r>
      <w:r>
        <w:rPr>
          <w:rFonts w:ascii="Times New Roman" w:hAnsi="Times New Roman" w:cs="Times New Roman"/>
          <w:sz w:val="28"/>
          <w:szCs w:val="28"/>
          <w:lang w:val="en-US"/>
        </w:rPr>
        <w:t>TH</w:t>
      </w:r>
      <w:r w:rsidRPr="00244343">
        <w:rPr>
          <w:rFonts w:ascii="Times New Roman" w:hAnsi="Times New Roman" w:cs="Times New Roman"/>
          <w:sz w:val="28"/>
          <w:szCs w:val="28"/>
          <w:lang w:val="en-US"/>
        </w:rPr>
        <w:t>,” and “Regional Innovation.”</w:t>
      </w:r>
    </w:p>
    <w:p w14:paraId="43778785"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Bibliometric analysis is a powerful tool that empowers researchers and institutions to understand the development and influence of research across many disciplines. It provides insights into publication trends, author partnerships, and theme advancements, enabling them to identify burgeoning fields and knowledge deficiencies. This method is not just about assessment, but about taking control of a discipline's present condition and predicting future trajectories, making it an essential instrument for proactive strategic planning in research and policy formulation.</w:t>
      </w:r>
    </w:p>
    <w:p w14:paraId="5B96D52D"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Bibliometric analysis serves as a crucial instrument for researchers, academics, and policymakers by offering insights into various domains:</w:t>
      </w:r>
    </w:p>
    <w:p w14:paraId="447D13B6"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 Bibliometric analysis can uncover rising research trends, prominent themes, and areas of waning interest by examining publishing patterns, citation frequencies, and co-authorship networks. It enables researchers to remain current with recent advancements in their discipline and discern possible research deficiencies.</w:t>
      </w:r>
    </w:p>
    <w:p w14:paraId="0D6A0A55"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2) Scholarly Impact: Bibliometric indicators, including the h-index, citation count, and impact factor, evaluate the scholarly influence of individual scholars, institutions, and journals. These metrics offer a quantitative assessment of the quality and impact of research output.</w:t>
      </w:r>
    </w:p>
    <w:p w14:paraId="381B10DB"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3) Research Collaboration: Bibliometric analysis helps elucidate collaboration patterns across scholars, institutions, and nations. This information can assist in identifying prospective partners for research initiatives and collaborations and elucidate the elements that affect scientific collaboration.</w:t>
      </w:r>
    </w:p>
    <w:p w14:paraId="01628152"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4) Policy Formulation: Bibliometric analysis can guide policy decisions about research funding, education, and innovation. By comprehending the trends and </w:t>
      </w:r>
      <w:r w:rsidRPr="00244343">
        <w:rPr>
          <w:rFonts w:ascii="Times New Roman" w:eastAsia="Times New Roman" w:hAnsi="Times New Roman" w:cs="Times New Roman"/>
          <w:sz w:val="28"/>
          <w:szCs w:val="28"/>
          <w:lang w:val="en-US"/>
        </w:rPr>
        <w:lastRenderedPageBreak/>
        <w:t>priorities within a specific domain, policymakers can efficiently deploy resources and endorse research poised to have substantial effects.</w:t>
      </w:r>
    </w:p>
    <w:p w14:paraId="3B07DF83"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Assessment of Research Performance through bibliometric analysis pinpoints areas for enhancement and achieving excellence. It can help guarantee that resources are utilized efficiently and motivate researchers and institutions to strive for the best.</w:t>
      </w:r>
    </w:p>
    <w:p w14:paraId="38166B53"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In conclusion, bibliometric analysis is essential for comprehending research trends, evaluating scholarly influence, identifying collaborative opportunities, guiding policy decisions, and reviewing research performance. It offers a quantitative and objective method for assessing the quality and impact of research output.</w:t>
      </w:r>
    </w:p>
    <w:p w14:paraId="4F202013"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A bibliometric analysis was performed utilizing the software </w:t>
      </w:r>
      <w:proofErr w:type="spellStart"/>
      <w:r w:rsidRPr="00244343">
        <w:rPr>
          <w:rFonts w:ascii="Times New Roman" w:eastAsia="Times New Roman" w:hAnsi="Times New Roman" w:cs="Times New Roman"/>
          <w:sz w:val="28"/>
          <w:szCs w:val="28"/>
          <w:lang w:val="en-US"/>
        </w:rPr>
        <w:t>VOSviewer</w:t>
      </w:r>
      <w:proofErr w:type="spellEnd"/>
      <w:r w:rsidRPr="00244343">
        <w:rPr>
          <w:rFonts w:ascii="Times New Roman" w:eastAsia="Times New Roman" w:hAnsi="Times New Roman" w:cs="Times New Roman"/>
          <w:sz w:val="28"/>
          <w:szCs w:val="28"/>
          <w:lang w:val="en-US"/>
        </w:rPr>
        <w:t xml:space="preserve">, with data sourced from the Scopus and Web of Science databases. The findings from the above fields are constrained and markedly disparate, particularly concerning Kazakhstan's publication output and linkages within the Triple Helix structure. Connections and correlations were established using </w:t>
      </w:r>
      <w:proofErr w:type="spellStart"/>
      <w:r w:rsidRPr="00244343">
        <w:rPr>
          <w:rFonts w:ascii="Times New Roman" w:eastAsia="Times New Roman" w:hAnsi="Times New Roman" w:cs="Times New Roman"/>
          <w:sz w:val="28"/>
          <w:szCs w:val="28"/>
          <w:lang w:val="en-US"/>
        </w:rPr>
        <w:t>VOSViewer</w:t>
      </w:r>
      <w:proofErr w:type="spellEnd"/>
      <w:r w:rsidRPr="00244343">
        <w:rPr>
          <w:rFonts w:ascii="Times New Roman" w:eastAsia="Times New Roman" w:hAnsi="Times New Roman" w:cs="Times New Roman"/>
          <w:sz w:val="28"/>
          <w:szCs w:val="28"/>
          <w:lang w:val="en-US"/>
        </w:rPr>
        <w:t xml:space="preserve"> software, which employed automated co-occurrence and keyword analysis methodologies. Kazakhstan has revealed a need for more scientific research concerning regional innovation under the Triple Helix model. It suggests that this paradigm needs to be more integrated into state policy for regional development, hence obstructing its examination. Kazakhstani politicians and intellectuals emphasize </w:t>
      </w:r>
      <w:proofErr w:type="spellStart"/>
      <w:r>
        <w:rPr>
          <w:rFonts w:ascii="Times New Roman" w:eastAsia="Times New Roman" w:hAnsi="Times New Roman" w:cs="Times New Roman"/>
          <w:sz w:val="28"/>
          <w:szCs w:val="28"/>
          <w:lang w:val="en-US"/>
        </w:rPr>
        <w:t>subnatiopnal</w:t>
      </w:r>
      <w:proofErr w:type="spellEnd"/>
      <w:r w:rsidRPr="00244343">
        <w:rPr>
          <w:rFonts w:ascii="Times New Roman" w:eastAsia="Times New Roman" w:hAnsi="Times New Roman" w:cs="Times New Roman"/>
          <w:sz w:val="28"/>
          <w:szCs w:val="28"/>
          <w:lang w:val="en-US"/>
        </w:rPr>
        <w:t xml:space="preserve"> economic growth as a strategy rather than integrating new models or the Triple Helix framework into regional development. This paper highlights the need for more literature and research on the subject. It underscores the need for further research and serves as a potential agenda for policymakers and scholars concentrating on regional development and innovation in Kazakhstan and other countries.</w:t>
      </w:r>
    </w:p>
    <w:p w14:paraId="1E7B5956"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proofErr w:type="spellStart"/>
      <w:r w:rsidRPr="00244343">
        <w:rPr>
          <w:rFonts w:ascii="Times New Roman" w:eastAsia="Times New Roman" w:hAnsi="Times New Roman" w:cs="Times New Roman"/>
          <w:sz w:val="28"/>
          <w:szCs w:val="28"/>
          <w:lang w:val="en-US"/>
        </w:rPr>
        <w:t>VosViewer</w:t>
      </w:r>
      <w:proofErr w:type="spellEnd"/>
      <w:r w:rsidRPr="00244343">
        <w:rPr>
          <w:rFonts w:ascii="Times New Roman" w:eastAsia="Times New Roman" w:hAnsi="Times New Roman" w:cs="Times New Roman"/>
          <w:sz w:val="28"/>
          <w:szCs w:val="28"/>
          <w:lang w:val="en-US"/>
        </w:rPr>
        <w:t xml:space="preserve">, a visualization tool tailored for bibliometric data, has markedly improved how </w:t>
      </w:r>
      <w:proofErr w:type="gramStart"/>
      <w:r w:rsidRPr="00244343">
        <w:rPr>
          <w:rFonts w:ascii="Times New Roman" w:eastAsia="Times New Roman" w:hAnsi="Times New Roman" w:cs="Times New Roman"/>
          <w:sz w:val="28"/>
          <w:szCs w:val="28"/>
          <w:lang w:val="en-US"/>
        </w:rPr>
        <w:t>scientists</w:t>
      </w:r>
      <w:proofErr w:type="gramEnd"/>
      <w:r w:rsidRPr="00244343">
        <w:rPr>
          <w:rFonts w:ascii="Times New Roman" w:eastAsia="Times New Roman" w:hAnsi="Times New Roman" w:cs="Times New Roman"/>
          <w:sz w:val="28"/>
          <w:szCs w:val="28"/>
          <w:lang w:val="en-US"/>
        </w:rPr>
        <w:t xml:space="preserve"> study and comprehend research literature. Its capacity to visually depict intricate networks of relationships among publications, authors, and concepts has transformed multiple facets of scientific study.</w:t>
      </w:r>
    </w:p>
    <w:p w14:paraId="7D1F0950"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Principal Contributions of </w:t>
      </w:r>
      <w:proofErr w:type="spellStart"/>
      <w:r w:rsidRPr="00244343">
        <w:rPr>
          <w:rFonts w:ascii="Times New Roman" w:eastAsia="Times New Roman" w:hAnsi="Times New Roman" w:cs="Times New Roman"/>
          <w:sz w:val="28"/>
          <w:szCs w:val="28"/>
          <w:lang w:val="en-US"/>
        </w:rPr>
        <w:t>VosViewer</w:t>
      </w:r>
      <w:proofErr w:type="spellEnd"/>
      <w:r w:rsidRPr="00244343">
        <w:rPr>
          <w:rFonts w:ascii="Times New Roman" w:eastAsia="Times New Roman" w:hAnsi="Times New Roman" w:cs="Times New Roman"/>
          <w:sz w:val="28"/>
          <w:szCs w:val="28"/>
          <w:lang w:val="en-US"/>
        </w:rPr>
        <w:t xml:space="preserve"> to this subsection:</w:t>
      </w:r>
    </w:p>
    <w:p w14:paraId="2AB5306F"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Identifying Research Trends:</w:t>
      </w:r>
    </w:p>
    <w:p w14:paraId="040FDB3C"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1) Cluster Analysis: </w:t>
      </w:r>
      <w:proofErr w:type="spellStart"/>
      <w:r w:rsidRPr="00244343">
        <w:rPr>
          <w:rFonts w:ascii="Times New Roman" w:eastAsia="Times New Roman" w:hAnsi="Times New Roman" w:cs="Times New Roman"/>
          <w:sz w:val="28"/>
          <w:szCs w:val="28"/>
          <w:lang w:val="en-US"/>
        </w:rPr>
        <w:t>VosViewer</w:t>
      </w:r>
      <w:proofErr w:type="spellEnd"/>
      <w:r w:rsidRPr="00244343">
        <w:rPr>
          <w:rFonts w:ascii="Times New Roman" w:eastAsia="Times New Roman" w:hAnsi="Times New Roman" w:cs="Times New Roman"/>
          <w:sz w:val="28"/>
          <w:szCs w:val="28"/>
          <w:lang w:val="en-US"/>
        </w:rPr>
        <w:t xml:space="preserve"> facilitated categorizing related papers into clusters, visually illustrating developing research trends and pinpointing active research domains.</w:t>
      </w:r>
    </w:p>
    <w:p w14:paraId="6F5A3628"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Temporal Analysis: </w:t>
      </w:r>
      <w:proofErr w:type="spellStart"/>
      <w:r w:rsidRPr="00244343">
        <w:rPr>
          <w:rFonts w:ascii="Times New Roman" w:eastAsia="Times New Roman" w:hAnsi="Times New Roman" w:cs="Times New Roman"/>
          <w:sz w:val="28"/>
          <w:szCs w:val="28"/>
          <w:lang w:val="en-US"/>
        </w:rPr>
        <w:t>VosViewer</w:t>
      </w:r>
      <w:proofErr w:type="spellEnd"/>
      <w:r w:rsidRPr="00244343">
        <w:rPr>
          <w:rFonts w:ascii="Times New Roman" w:eastAsia="Times New Roman" w:hAnsi="Times New Roman" w:cs="Times New Roman"/>
          <w:sz w:val="28"/>
          <w:szCs w:val="28"/>
          <w:lang w:val="en-US"/>
        </w:rPr>
        <w:t xml:space="preserve"> facilitated the author's visualization of cluster evolution over time, enabling tracking research field development and identifying shifting research foci.</w:t>
      </w:r>
    </w:p>
    <w:p w14:paraId="72DC808F"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2) Uncovering Concealed Relationships: Network research: </w:t>
      </w:r>
      <w:proofErr w:type="spellStart"/>
      <w:r w:rsidRPr="00244343">
        <w:rPr>
          <w:rFonts w:ascii="Times New Roman" w:eastAsia="Times New Roman" w:hAnsi="Times New Roman" w:cs="Times New Roman"/>
          <w:sz w:val="28"/>
          <w:szCs w:val="28"/>
          <w:lang w:val="en-US"/>
        </w:rPr>
        <w:t>VosViewer's</w:t>
      </w:r>
      <w:proofErr w:type="spellEnd"/>
      <w:r w:rsidRPr="00244343">
        <w:rPr>
          <w:rFonts w:ascii="Times New Roman" w:eastAsia="Times New Roman" w:hAnsi="Times New Roman" w:cs="Times New Roman"/>
          <w:sz w:val="28"/>
          <w:szCs w:val="28"/>
          <w:lang w:val="en-US"/>
        </w:rPr>
        <w:t xml:space="preserve"> network visualizations disclosed associations across authors, institutions, and topics that may not be evident through conventional text-based research.</w:t>
      </w:r>
    </w:p>
    <w:p w14:paraId="103CDAAC"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Collaboration Mapping: The instrument delineated collaboration networks, emphasizing prospective partnerships and promoting multidisciplinary research.</w:t>
      </w:r>
    </w:p>
    <w:p w14:paraId="099DC18B"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lastRenderedPageBreak/>
        <w:t xml:space="preserve">3) Evaluating Scholarly Influence: Citation Analysis: By visualizing citation networks, </w:t>
      </w:r>
      <w:proofErr w:type="spellStart"/>
      <w:r w:rsidRPr="00244343">
        <w:rPr>
          <w:rFonts w:ascii="Times New Roman" w:eastAsia="Times New Roman" w:hAnsi="Times New Roman" w:cs="Times New Roman"/>
          <w:sz w:val="28"/>
          <w:szCs w:val="28"/>
          <w:lang w:val="en-US"/>
        </w:rPr>
        <w:t>VosViewer</w:t>
      </w:r>
      <w:proofErr w:type="spellEnd"/>
      <w:r w:rsidRPr="00244343">
        <w:rPr>
          <w:rFonts w:ascii="Times New Roman" w:eastAsia="Times New Roman" w:hAnsi="Times New Roman" w:cs="Times New Roman"/>
          <w:sz w:val="28"/>
          <w:szCs w:val="28"/>
          <w:lang w:val="en-US"/>
        </w:rPr>
        <w:t xml:space="preserve"> enabled academics to discern influential publications and authors, thereby enhancing their comprehension of the influence of research topics.</w:t>
      </w:r>
    </w:p>
    <w:p w14:paraId="0416A8CC"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Core Citation Analysis: </w:t>
      </w:r>
      <w:proofErr w:type="spellStart"/>
      <w:r w:rsidRPr="00244343">
        <w:rPr>
          <w:rFonts w:ascii="Times New Roman" w:eastAsia="Times New Roman" w:hAnsi="Times New Roman" w:cs="Times New Roman"/>
          <w:sz w:val="28"/>
          <w:szCs w:val="28"/>
          <w:lang w:val="en-US"/>
        </w:rPr>
        <w:t>VosViewer</w:t>
      </w:r>
      <w:proofErr w:type="spellEnd"/>
      <w:r w:rsidRPr="00244343">
        <w:rPr>
          <w:rFonts w:ascii="Times New Roman" w:eastAsia="Times New Roman" w:hAnsi="Times New Roman" w:cs="Times New Roman"/>
          <w:sz w:val="28"/>
          <w:szCs w:val="28"/>
          <w:lang w:val="en-US"/>
        </w:rPr>
        <w:t xml:space="preserve"> identified essential papers inside a research domain, offering insights into the foundational works that have influenced the evolution of the triple helix discipline.</w:t>
      </w:r>
    </w:p>
    <w:p w14:paraId="2E3601CE" w14:textId="0C380930" w:rsidR="00DC5CC7" w:rsidRPr="00244343" w:rsidRDefault="00DC5CC7" w:rsidP="0012414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4) Assisting Literature Reviews:</w:t>
      </w:r>
      <w:r w:rsidR="00124149">
        <w:rPr>
          <w:rFonts w:ascii="Times New Roman" w:eastAsia="Times New Roman" w:hAnsi="Times New Roman" w:cs="Times New Roman"/>
          <w:sz w:val="28"/>
          <w:szCs w:val="28"/>
          <w:lang w:val="en-US"/>
        </w:rPr>
        <w:t xml:space="preserve"> </w:t>
      </w:r>
      <w:r w:rsidRPr="00244343">
        <w:rPr>
          <w:rFonts w:ascii="Times New Roman" w:eastAsia="Times New Roman" w:hAnsi="Times New Roman" w:cs="Times New Roman"/>
          <w:sz w:val="28"/>
          <w:szCs w:val="28"/>
          <w:lang w:val="en-US"/>
        </w:rPr>
        <w:t xml:space="preserve">The visualizations provided by </w:t>
      </w:r>
      <w:proofErr w:type="spellStart"/>
      <w:r w:rsidRPr="00244343">
        <w:rPr>
          <w:rFonts w:ascii="Times New Roman" w:eastAsia="Times New Roman" w:hAnsi="Times New Roman" w:cs="Times New Roman"/>
          <w:sz w:val="28"/>
          <w:szCs w:val="28"/>
          <w:lang w:val="en-US"/>
        </w:rPr>
        <w:t>VosViewer</w:t>
      </w:r>
      <w:proofErr w:type="spellEnd"/>
      <w:r w:rsidRPr="00244343">
        <w:rPr>
          <w:rFonts w:ascii="Times New Roman" w:eastAsia="Times New Roman" w:hAnsi="Times New Roman" w:cs="Times New Roman"/>
          <w:sz w:val="28"/>
          <w:szCs w:val="28"/>
          <w:lang w:val="en-US"/>
        </w:rPr>
        <w:t xml:space="preserve"> assisted the author in </w:t>
      </w:r>
      <w:proofErr w:type="spellStart"/>
      <w:r w:rsidRPr="00244343">
        <w:rPr>
          <w:rFonts w:ascii="Times New Roman" w:eastAsia="Times New Roman" w:hAnsi="Times New Roman" w:cs="Times New Roman"/>
          <w:sz w:val="28"/>
          <w:szCs w:val="28"/>
          <w:lang w:val="en-US"/>
        </w:rPr>
        <w:t>organising</w:t>
      </w:r>
      <w:proofErr w:type="spellEnd"/>
      <w:r w:rsidRPr="00244343">
        <w:rPr>
          <w:rFonts w:ascii="Times New Roman" w:eastAsia="Times New Roman" w:hAnsi="Times New Roman" w:cs="Times New Roman"/>
          <w:sz w:val="28"/>
          <w:szCs w:val="28"/>
          <w:lang w:val="en-US"/>
        </w:rPr>
        <w:t xml:space="preserve"> and comprehending extensive literature, facilitating the identification of significant topics, gaps, and contradictions.</w:t>
      </w:r>
    </w:p>
    <w:p w14:paraId="68EFF6CD"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Identifying Principal Publications: By visualizing citation networks, the author swiftly discerned the most significant papers within a specific domain.</w:t>
      </w:r>
    </w:p>
    <w:p w14:paraId="58DC14CD"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Advancing Interdisciplinary Research:</w:t>
      </w:r>
    </w:p>
    <w:p w14:paraId="0E16DFC2"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5) Bridging fields: </w:t>
      </w:r>
      <w:proofErr w:type="spellStart"/>
      <w:r w:rsidRPr="00244343">
        <w:rPr>
          <w:rFonts w:ascii="Times New Roman" w:eastAsia="Times New Roman" w:hAnsi="Times New Roman" w:cs="Times New Roman"/>
          <w:sz w:val="28"/>
          <w:szCs w:val="28"/>
          <w:lang w:val="en-US"/>
        </w:rPr>
        <w:t>VosViewer</w:t>
      </w:r>
      <w:proofErr w:type="spellEnd"/>
      <w:r w:rsidRPr="00244343">
        <w:rPr>
          <w:rFonts w:ascii="Times New Roman" w:eastAsia="Times New Roman" w:hAnsi="Times New Roman" w:cs="Times New Roman"/>
          <w:sz w:val="28"/>
          <w:szCs w:val="28"/>
          <w:lang w:val="en-US"/>
        </w:rPr>
        <w:t xml:space="preserve"> assisted the author of this PhD research in identifying links among several fields, promoting interdisciplinary cooperation and resulting in novel research.</w:t>
      </w:r>
    </w:p>
    <w:p w14:paraId="1E92BC71"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6) Identifying Emerging Fields: </w:t>
      </w:r>
      <w:proofErr w:type="spellStart"/>
      <w:r w:rsidRPr="00244343">
        <w:rPr>
          <w:rFonts w:ascii="Times New Roman" w:eastAsia="Times New Roman" w:hAnsi="Times New Roman" w:cs="Times New Roman"/>
          <w:sz w:val="28"/>
          <w:szCs w:val="28"/>
          <w:lang w:val="en-US"/>
        </w:rPr>
        <w:t>VosViewer</w:t>
      </w:r>
      <w:proofErr w:type="spellEnd"/>
      <w:r w:rsidRPr="00244343">
        <w:rPr>
          <w:rFonts w:ascii="Times New Roman" w:eastAsia="Times New Roman" w:hAnsi="Times New Roman" w:cs="Times New Roman"/>
          <w:sz w:val="28"/>
          <w:szCs w:val="28"/>
          <w:lang w:val="en-US"/>
        </w:rPr>
        <w:t xml:space="preserve"> facilitated the identification of nascent multidisciplinary fields through the visualization of research cluster dynamics.</w:t>
      </w:r>
    </w:p>
    <w:p w14:paraId="7DA1E5FC" w14:textId="470101A3" w:rsidR="00D02C9C" w:rsidRPr="00244343" w:rsidRDefault="00DC5CC7" w:rsidP="00D02C9C">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In summary, </w:t>
      </w:r>
      <w:proofErr w:type="spellStart"/>
      <w:r w:rsidRPr="00244343">
        <w:rPr>
          <w:rFonts w:ascii="Times New Roman" w:eastAsia="Times New Roman" w:hAnsi="Times New Roman" w:cs="Times New Roman"/>
          <w:sz w:val="28"/>
          <w:szCs w:val="28"/>
          <w:lang w:val="en-US"/>
        </w:rPr>
        <w:t>VosViewer</w:t>
      </w:r>
      <w:proofErr w:type="spellEnd"/>
      <w:r w:rsidRPr="00244343">
        <w:rPr>
          <w:rFonts w:ascii="Times New Roman" w:eastAsia="Times New Roman" w:hAnsi="Times New Roman" w:cs="Times New Roman"/>
          <w:sz w:val="28"/>
          <w:szCs w:val="28"/>
          <w:lang w:val="en-US"/>
        </w:rPr>
        <w:t xml:space="preserve"> has emerged as an essential instrument for researchers, offering significant insights into research trends, collaborations, and academic influence. Its capacity to visually depict intricate relationships has considerably enhanced our comprehension of scientific information and promoted the emergence of novel research avenues.</w:t>
      </w:r>
    </w:p>
    <w:p w14:paraId="361CC848" w14:textId="6FA4F570" w:rsidR="00FE196C" w:rsidRDefault="006E6105" w:rsidP="00FE196C">
      <w:pPr>
        <w:spacing w:after="0" w:line="240" w:lineRule="auto"/>
        <w:jc w:val="center"/>
        <w:rPr>
          <w:rFonts w:ascii="Times New Roman" w:eastAsia="Times New Roman" w:hAnsi="Times New Roman" w:cs="Times New Roman"/>
          <w:sz w:val="28"/>
          <w:szCs w:val="28"/>
          <w:lang w:val="en-US"/>
        </w:rPr>
      </w:pPr>
      <w:r w:rsidRPr="006E6105">
        <w:rPr>
          <w:rFonts w:ascii="Times New Roman" w:eastAsia="Times New Roman" w:hAnsi="Times New Roman" w:cs="Times New Roman"/>
          <w:noProof/>
          <w:sz w:val="28"/>
          <w:szCs w:val="28"/>
          <w:lang w:val="en-US"/>
        </w:rPr>
        <w:drawing>
          <wp:inline distT="0" distB="0" distL="0" distR="0" wp14:anchorId="2668BCDB" wp14:editId="39BAD430">
            <wp:extent cx="5939790" cy="2785730"/>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5218" cy="2788276"/>
                    </a:xfrm>
                    <a:prstGeom prst="rect">
                      <a:avLst/>
                    </a:prstGeom>
                  </pic:spPr>
                </pic:pic>
              </a:graphicData>
            </a:graphic>
          </wp:inline>
        </w:drawing>
      </w:r>
      <w:r w:rsidR="00DC5CC7" w:rsidRPr="00244343">
        <w:rPr>
          <w:rFonts w:ascii="Times New Roman" w:eastAsia="Times New Roman" w:hAnsi="Times New Roman" w:cs="Times New Roman"/>
          <w:sz w:val="28"/>
          <w:szCs w:val="28"/>
          <w:lang w:val="en-US"/>
        </w:rPr>
        <w:t xml:space="preserve">Figure 6 - Data search process before exporting to </w:t>
      </w:r>
      <w:proofErr w:type="spellStart"/>
      <w:r w:rsidR="00DC5CC7" w:rsidRPr="00244343">
        <w:rPr>
          <w:rFonts w:ascii="Times New Roman" w:eastAsia="Times New Roman" w:hAnsi="Times New Roman" w:cs="Times New Roman"/>
          <w:sz w:val="28"/>
          <w:szCs w:val="28"/>
          <w:lang w:val="en-US"/>
        </w:rPr>
        <w:t>VosViewer</w:t>
      </w:r>
      <w:proofErr w:type="spellEnd"/>
    </w:p>
    <w:p w14:paraId="6581F23E" w14:textId="77777777" w:rsidR="00FE196C" w:rsidRDefault="00FE196C" w:rsidP="00FE196C">
      <w:pPr>
        <w:spacing w:after="0" w:line="240" w:lineRule="auto"/>
        <w:jc w:val="center"/>
        <w:rPr>
          <w:rFonts w:ascii="Times New Roman" w:eastAsia="Times New Roman" w:hAnsi="Times New Roman" w:cs="Times New Roman"/>
          <w:sz w:val="28"/>
          <w:szCs w:val="28"/>
          <w:lang w:val="en-US"/>
        </w:rPr>
      </w:pPr>
    </w:p>
    <w:p w14:paraId="22853D2C" w14:textId="7A6342CE" w:rsidR="00DC5CC7" w:rsidRPr="00D02C9C" w:rsidRDefault="00DC5CC7" w:rsidP="00D02C9C">
      <w:pPr>
        <w:spacing w:after="0" w:line="240" w:lineRule="auto"/>
        <w:ind w:firstLine="709"/>
        <w:rPr>
          <w:rFonts w:ascii="Times New Roman" w:eastAsia="Times New Roman" w:hAnsi="Times New Roman" w:cs="Times New Roman"/>
          <w:sz w:val="24"/>
          <w:szCs w:val="24"/>
          <w:lang w:val="en-US"/>
        </w:rPr>
      </w:pPr>
      <w:r w:rsidRPr="00D02C9C">
        <w:rPr>
          <w:rFonts w:ascii="Times New Roman" w:eastAsia="Times New Roman" w:hAnsi="Times New Roman" w:cs="Times New Roman"/>
          <w:sz w:val="24"/>
          <w:szCs w:val="24"/>
          <w:lang w:val="en-US"/>
        </w:rPr>
        <w:t>Note – Compiled by author</w:t>
      </w:r>
    </w:p>
    <w:p w14:paraId="3472070F" w14:textId="77777777" w:rsidR="003A6F12" w:rsidRPr="00244343" w:rsidRDefault="003A6F12" w:rsidP="00DC5CC7">
      <w:pPr>
        <w:spacing w:after="0" w:line="240" w:lineRule="auto"/>
        <w:ind w:firstLine="720"/>
        <w:contextualSpacing/>
        <w:jc w:val="center"/>
        <w:rPr>
          <w:rFonts w:ascii="Times New Roman" w:eastAsia="Times New Roman" w:hAnsi="Times New Roman" w:cs="Times New Roman"/>
          <w:sz w:val="28"/>
          <w:szCs w:val="28"/>
          <w:lang w:val="en-US"/>
        </w:rPr>
      </w:pPr>
    </w:p>
    <w:p w14:paraId="6C889893"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Figure 6 demonstrates the data search process in the above-mentioned databases. It clearly describes how many documents were revealed after refined results based on years of publications and categories concerned. </w:t>
      </w:r>
      <w:proofErr w:type="spellStart"/>
      <w:r w:rsidRPr="005B11F2">
        <w:rPr>
          <w:rFonts w:ascii="Times New Roman" w:eastAsia="Times New Roman" w:hAnsi="Times New Roman" w:cs="Times New Roman"/>
          <w:sz w:val="28"/>
          <w:szCs w:val="28"/>
          <w:lang w:val="en-US"/>
        </w:rPr>
        <w:t>VOSviewer</w:t>
      </w:r>
      <w:proofErr w:type="spellEnd"/>
      <w:r w:rsidRPr="005B11F2">
        <w:rPr>
          <w:rFonts w:ascii="Times New Roman" w:eastAsia="Times New Roman" w:hAnsi="Times New Roman" w:cs="Times New Roman"/>
          <w:sz w:val="28"/>
          <w:szCs w:val="28"/>
          <w:lang w:val="en-US"/>
        </w:rPr>
        <w:t xml:space="preserve"> helped to export the data for bibliometric study. Furthermore, the keyword document export </w:t>
      </w:r>
      <w:r w:rsidRPr="005B11F2">
        <w:rPr>
          <w:rFonts w:ascii="Times New Roman" w:eastAsia="Times New Roman" w:hAnsi="Times New Roman" w:cs="Times New Roman"/>
          <w:sz w:val="28"/>
          <w:szCs w:val="28"/>
          <w:lang w:val="en-US"/>
        </w:rPr>
        <w:lastRenderedPageBreak/>
        <w:t>was examined separately. Techniques of keyword co-occurrence analysis dominated in maps. The visual consequences of every keyword string in the network, overlay, and density map visualization layers have been demonstrated by the program.</w:t>
      </w:r>
    </w:p>
    <w:p w14:paraId="6C0D61F3" w14:textId="77777777" w:rsidR="00FE196C" w:rsidRDefault="00DC5CC7" w:rsidP="00124149">
      <w:pPr>
        <w:spacing w:after="0" w:line="240" w:lineRule="auto"/>
        <w:contextualSpacing/>
        <w:jc w:val="center"/>
        <w:rPr>
          <w:rFonts w:ascii="Times New Roman" w:hAnsi="Times New Roman" w:cs="Times New Roman"/>
          <w:sz w:val="28"/>
          <w:szCs w:val="28"/>
        </w:rPr>
      </w:pPr>
      <w:r w:rsidRPr="00244343">
        <w:rPr>
          <w:rFonts w:ascii="Times New Roman" w:hAnsi="Times New Roman" w:cs="Times New Roman"/>
          <w:noProof/>
          <w:sz w:val="28"/>
          <w:szCs w:val="28"/>
          <w:lang w:eastAsia="ru-RU"/>
        </w:rPr>
        <w:drawing>
          <wp:inline distT="0" distB="0" distL="0" distR="0" wp14:anchorId="53398683" wp14:editId="1CC5CE3B">
            <wp:extent cx="5910582" cy="5060950"/>
            <wp:effectExtent l="0" t="0" r="0" b="635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5978726" cy="5119298"/>
                    </a:xfrm>
                    <a:prstGeom prst="rect">
                      <a:avLst/>
                    </a:prstGeom>
                    <a:ln/>
                  </pic:spPr>
                </pic:pic>
              </a:graphicData>
            </a:graphic>
          </wp:inline>
        </w:drawing>
      </w:r>
    </w:p>
    <w:p w14:paraId="0FA5346F" w14:textId="77777777" w:rsidR="00FE196C" w:rsidRDefault="00DC5CC7" w:rsidP="00FE196C">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7 - a) Kazakhstan Regional Innovation (Scopus)</w:t>
      </w:r>
    </w:p>
    <w:p w14:paraId="5B128493" w14:textId="77777777" w:rsidR="00FE196C" w:rsidRDefault="00FE196C" w:rsidP="00FE196C">
      <w:pPr>
        <w:spacing w:after="0" w:line="240" w:lineRule="auto"/>
        <w:contextualSpacing/>
        <w:jc w:val="center"/>
        <w:rPr>
          <w:rFonts w:ascii="Times New Roman" w:hAnsi="Times New Roman" w:cs="Times New Roman"/>
          <w:sz w:val="28"/>
          <w:szCs w:val="28"/>
          <w:lang w:val="en-US"/>
        </w:rPr>
      </w:pPr>
    </w:p>
    <w:p w14:paraId="7BF46726" w14:textId="4FD936A7" w:rsidR="00DC5CC7" w:rsidRPr="001D7342" w:rsidRDefault="00DC5CC7" w:rsidP="001D7342">
      <w:pPr>
        <w:spacing w:after="0" w:line="240" w:lineRule="auto"/>
        <w:ind w:firstLine="709"/>
        <w:contextualSpacing/>
        <w:rPr>
          <w:rFonts w:ascii="Times New Roman" w:hAnsi="Times New Roman" w:cs="Times New Roman"/>
          <w:sz w:val="24"/>
          <w:szCs w:val="24"/>
          <w:lang w:val="en-US"/>
        </w:rPr>
      </w:pPr>
      <w:r w:rsidRPr="001D7342">
        <w:rPr>
          <w:rFonts w:ascii="Times New Roman" w:hAnsi="Times New Roman" w:cs="Times New Roman"/>
          <w:sz w:val="24"/>
          <w:szCs w:val="24"/>
          <w:lang w:val="en-US"/>
        </w:rPr>
        <w:t>Note – Compiled by author based on [9]</w:t>
      </w:r>
    </w:p>
    <w:p w14:paraId="6A261237"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p>
    <w:p w14:paraId="5195BA18"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FD234E">
        <w:rPr>
          <w:rFonts w:ascii="Times New Roman" w:eastAsia="Times New Roman" w:hAnsi="Times New Roman" w:cs="Times New Roman"/>
          <w:sz w:val="28"/>
          <w:szCs w:val="28"/>
          <w:lang w:val="en-US"/>
        </w:rPr>
        <w:t xml:space="preserve">The bibliometric analysis reveals a notable scarcity of publications on </w:t>
      </w:r>
      <w:r>
        <w:rPr>
          <w:rFonts w:ascii="Times New Roman" w:eastAsia="Times New Roman" w:hAnsi="Times New Roman" w:cs="Times New Roman"/>
          <w:sz w:val="28"/>
          <w:szCs w:val="28"/>
          <w:lang w:val="en-US"/>
        </w:rPr>
        <w:t>“</w:t>
      </w:r>
      <w:r w:rsidRPr="00FD234E">
        <w:rPr>
          <w:rFonts w:ascii="Times New Roman" w:eastAsia="Times New Roman" w:hAnsi="Times New Roman" w:cs="Times New Roman"/>
          <w:sz w:val="28"/>
          <w:szCs w:val="28"/>
          <w:lang w:val="en-US"/>
        </w:rPr>
        <w:t>Kazakhstan Regional Innovation</w:t>
      </w:r>
      <w:r>
        <w:rPr>
          <w:rFonts w:ascii="Times New Roman" w:eastAsia="Times New Roman" w:hAnsi="Times New Roman" w:cs="Times New Roman"/>
          <w:sz w:val="28"/>
          <w:szCs w:val="28"/>
          <w:lang w:val="en-US"/>
        </w:rPr>
        <w:t>”.</w:t>
      </w:r>
      <w:r w:rsidRPr="00FD234E">
        <w:rPr>
          <w:rFonts w:ascii="Times New Roman" w:eastAsia="Times New Roman" w:hAnsi="Times New Roman" w:cs="Times New Roman"/>
          <w:sz w:val="28"/>
          <w:szCs w:val="28"/>
          <w:lang w:val="en-US"/>
        </w:rPr>
        <w:t xml:space="preserve"> As shown in Figure 7</w:t>
      </w:r>
      <w:r>
        <w:rPr>
          <w:rFonts w:ascii="Times New Roman" w:eastAsia="Times New Roman" w:hAnsi="Times New Roman" w:cs="Times New Roman"/>
          <w:sz w:val="28"/>
          <w:szCs w:val="28"/>
          <w:lang w:val="en-US"/>
        </w:rPr>
        <w:t xml:space="preserve"> </w:t>
      </w:r>
      <w:r w:rsidRPr="00FD234E">
        <w:rPr>
          <w:rFonts w:ascii="Times New Roman" w:eastAsia="Times New Roman" w:hAnsi="Times New Roman" w:cs="Times New Roman"/>
          <w:sz w:val="28"/>
          <w:szCs w:val="28"/>
          <w:lang w:val="en-US"/>
        </w:rPr>
        <w:t>a</w:t>
      </w:r>
      <w:r>
        <w:rPr>
          <w:rFonts w:ascii="Times New Roman" w:eastAsia="Times New Roman" w:hAnsi="Times New Roman" w:cs="Times New Roman"/>
          <w:sz w:val="28"/>
          <w:szCs w:val="28"/>
          <w:lang w:val="en-US"/>
        </w:rPr>
        <w:t>)</w:t>
      </w:r>
      <w:r w:rsidRPr="00FD234E">
        <w:rPr>
          <w:rFonts w:ascii="Times New Roman" w:eastAsia="Times New Roman" w:hAnsi="Times New Roman" w:cs="Times New Roman"/>
          <w:sz w:val="28"/>
          <w:szCs w:val="28"/>
          <w:lang w:val="en-US"/>
        </w:rPr>
        <w:t xml:space="preserve">, recent bibliometric studies identified 46 relevant publications through co-occurrence analysis and full counting methods, with </w:t>
      </w:r>
      <w:r>
        <w:rPr>
          <w:rFonts w:ascii="Times New Roman" w:eastAsia="Times New Roman" w:hAnsi="Times New Roman" w:cs="Times New Roman"/>
          <w:sz w:val="28"/>
          <w:szCs w:val="28"/>
          <w:lang w:val="en-US"/>
        </w:rPr>
        <w:t>“</w:t>
      </w:r>
      <w:r w:rsidRPr="00FD234E">
        <w:rPr>
          <w:rFonts w:ascii="Times New Roman" w:eastAsia="Times New Roman" w:hAnsi="Times New Roman" w:cs="Times New Roman"/>
          <w:sz w:val="28"/>
          <w:szCs w:val="28"/>
          <w:lang w:val="en-US"/>
        </w:rPr>
        <w:t>keywords</w:t>
      </w:r>
      <w:r>
        <w:rPr>
          <w:rFonts w:ascii="Times New Roman" w:eastAsia="Times New Roman" w:hAnsi="Times New Roman" w:cs="Times New Roman"/>
          <w:sz w:val="28"/>
          <w:szCs w:val="28"/>
          <w:lang w:val="en-US"/>
        </w:rPr>
        <w:t>”</w:t>
      </w:r>
      <w:r w:rsidRPr="00FD234E">
        <w:rPr>
          <w:rFonts w:ascii="Times New Roman" w:eastAsia="Times New Roman" w:hAnsi="Times New Roman" w:cs="Times New Roman"/>
          <w:sz w:val="28"/>
          <w:szCs w:val="28"/>
          <w:lang w:val="en-US"/>
        </w:rPr>
        <w:t xml:space="preserve"> as the unit of analysis. Of the 249 confirmed keywords, only six</w:t>
      </w:r>
      <w:r>
        <w:rPr>
          <w:rFonts w:ascii="Times New Roman" w:eastAsia="Times New Roman" w:hAnsi="Times New Roman" w:cs="Times New Roman"/>
          <w:sz w:val="28"/>
          <w:szCs w:val="28"/>
          <w:lang w:val="en-US"/>
        </w:rPr>
        <w:t xml:space="preserve"> – </w:t>
      </w:r>
      <w:r w:rsidRPr="00FD234E">
        <w:rPr>
          <w:rFonts w:ascii="Times New Roman" w:eastAsia="Times New Roman" w:hAnsi="Times New Roman" w:cs="Times New Roman"/>
          <w:sz w:val="28"/>
          <w:szCs w:val="28"/>
          <w:lang w:val="en-US"/>
        </w:rPr>
        <w:t xml:space="preserve">Kazakhstan, innovation, region, cluster, economic growth, and regional development— met the inclusion criteria. The limited number of documents has resulted in smaller circle sizes and increased distances between connections, reflecting the weak interlinkages among published research. Figure 7 highlights the fragmented network of research output, with co-occurrences and linkages remaining sparse and underdeveloped. Furthermore, the overlay visualization </w:t>
      </w:r>
      <w:r w:rsidRPr="00CB257D">
        <w:rPr>
          <w:rFonts w:ascii="Times New Roman" w:eastAsia="Times New Roman" w:hAnsi="Times New Roman" w:cs="Times New Roman"/>
          <w:sz w:val="28"/>
          <w:szCs w:val="28"/>
          <w:lang w:val="en-US"/>
        </w:rPr>
        <w:t xml:space="preserve">reveals that existing publications primarily emphasize regional and economic development. This implies that Kazakhstani policymakers and scholars prioritize economic growth </w:t>
      </w:r>
      <w:r w:rsidRPr="00CB257D">
        <w:rPr>
          <w:rFonts w:ascii="Times New Roman" w:eastAsia="Times New Roman" w:hAnsi="Times New Roman" w:cs="Times New Roman"/>
          <w:sz w:val="28"/>
          <w:szCs w:val="28"/>
          <w:lang w:val="en-US"/>
        </w:rPr>
        <w:lastRenderedPageBreak/>
        <w:t>strategies rather than incorporating innovation models, such as the Triple Helix approach, into regional development policies.</w:t>
      </w:r>
    </w:p>
    <w:p w14:paraId="53FD1584" w14:textId="77777777" w:rsidR="00FE196C" w:rsidRDefault="00DC5CC7" w:rsidP="00124149">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10CBA394" wp14:editId="23F2249A">
            <wp:extent cx="5996513" cy="6060440"/>
            <wp:effectExtent l="0" t="0" r="4445"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31"/>
                    <a:srcRect l="18931" r="17373"/>
                    <a:stretch/>
                  </pic:blipFill>
                  <pic:spPr bwMode="auto">
                    <a:xfrm>
                      <a:off x="0" y="0"/>
                      <a:ext cx="6043102" cy="6107525"/>
                    </a:xfrm>
                    <a:prstGeom prst="rect">
                      <a:avLst/>
                    </a:prstGeom>
                    <a:ln>
                      <a:noFill/>
                    </a:ln>
                    <a:extLst>
                      <a:ext uri="{53640926-AAD7-44D8-BBD7-CCE9431645EC}">
                        <a14:shadowObscured xmlns:a14="http://schemas.microsoft.com/office/drawing/2010/main"/>
                      </a:ext>
                    </a:extLst>
                  </pic:spPr>
                </pic:pic>
              </a:graphicData>
            </a:graphic>
          </wp:inline>
        </w:drawing>
      </w:r>
    </w:p>
    <w:p w14:paraId="2BE04A6D" w14:textId="77777777" w:rsidR="00FE196C" w:rsidRDefault="00DC5CC7" w:rsidP="00FE196C">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Figure 7 - b) Kazakhstan Regional Innovation (Web </w:t>
      </w:r>
      <w:proofErr w:type="gramStart"/>
      <w:r w:rsidRPr="00244343">
        <w:rPr>
          <w:rFonts w:ascii="Times New Roman" w:hAnsi="Times New Roman" w:cs="Times New Roman"/>
          <w:sz w:val="28"/>
          <w:szCs w:val="28"/>
          <w:lang w:val="en-US"/>
        </w:rPr>
        <w:t>Of</w:t>
      </w:r>
      <w:proofErr w:type="gramEnd"/>
      <w:r w:rsidRPr="00244343">
        <w:rPr>
          <w:rFonts w:ascii="Times New Roman" w:hAnsi="Times New Roman" w:cs="Times New Roman"/>
          <w:sz w:val="28"/>
          <w:szCs w:val="28"/>
          <w:lang w:val="en-US"/>
        </w:rPr>
        <w:t xml:space="preserve"> Science)</w:t>
      </w:r>
    </w:p>
    <w:p w14:paraId="047A2065" w14:textId="77777777" w:rsidR="00FE196C" w:rsidRDefault="00FE196C" w:rsidP="00FE196C">
      <w:pPr>
        <w:spacing w:after="0" w:line="240" w:lineRule="auto"/>
        <w:contextualSpacing/>
        <w:jc w:val="center"/>
        <w:rPr>
          <w:rFonts w:ascii="Times New Roman" w:hAnsi="Times New Roman" w:cs="Times New Roman"/>
          <w:sz w:val="28"/>
          <w:szCs w:val="28"/>
          <w:lang w:val="en-US"/>
        </w:rPr>
      </w:pPr>
    </w:p>
    <w:p w14:paraId="26281400" w14:textId="5693F064" w:rsidR="00DC5CC7" w:rsidRPr="001D7342" w:rsidRDefault="00DC5CC7" w:rsidP="001D7342">
      <w:pPr>
        <w:spacing w:after="0" w:line="240" w:lineRule="auto"/>
        <w:ind w:firstLine="709"/>
        <w:contextualSpacing/>
        <w:rPr>
          <w:rFonts w:ascii="Times New Roman" w:hAnsi="Times New Roman" w:cs="Times New Roman"/>
          <w:sz w:val="24"/>
          <w:szCs w:val="24"/>
          <w:lang w:val="en-US"/>
        </w:rPr>
      </w:pPr>
      <w:r w:rsidRPr="001D7342">
        <w:rPr>
          <w:rFonts w:ascii="Times New Roman" w:hAnsi="Times New Roman" w:cs="Times New Roman"/>
          <w:sz w:val="24"/>
          <w:szCs w:val="24"/>
          <w:lang w:val="en-US"/>
        </w:rPr>
        <w:t>Note – Compiled by author based on [9]</w:t>
      </w:r>
    </w:p>
    <w:p w14:paraId="6A93F7FF" w14:textId="77777777" w:rsidR="00DC5CC7" w:rsidRPr="00244343" w:rsidRDefault="00DC5CC7" w:rsidP="00DC5CC7">
      <w:pPr>
        <w:spacing w:after="0" w:line="240" w:lineRule="auto"/>
        <w:ind w:firstLine="720"/>
        <w:contextualSpacing/>
        <w:jc w:val="center"/>
        <w:rPr>
          <w:rFonts w:ascii="Times New Roman" w:hAnsi="Times New Roman" w:cs="Times New Roman"/>
          <w:sz w:val="28"/>
          <w:szCs w:val="28"/>
          <w:lang w:val="en-US"/>
        </w:rPr>
      </w:pPr>
    </w:p>
    <w:p w14:paraId="499DF416"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Figure 7 b) presents a comprehensive view of the outcomes of the </w:t>
      </w:r>
      <w:r>
        <w:rPr>
          <w:rFonts w:ascii="Times New Roman" w:hAnsi="Times New Roman" w:cs="Times New Roman"/>
          <w:sz w:val="28"/>
          <w:szCs w:val="28"/>
          <w:lang w:val="en-US"/>
        </w:rPr>
        <w:t>“</w:t>
      </w:r>
      <w:r w:rsidRPr="00244343">
        <w:rPr>
          <w:rFonts w:ascii="Times New Roman" w:hAnsi="Times New Roman" w:cs="Times New Roman"/>
          <w:sz w:val="28"/>
          <w:szCs w:val="28"/>
          <w:lang w:val="en-US"/>
        </w:rPr>
        <w:t>Regional Innovation and Triple Helix</w:t>
      </w:r>
      <w:r>
        <w:rPr>
          <w:rFonts w:ascii="Times New Roman" w:hAnsi="Times New Roman" w:cs="Times New Roman"/>
          <w:sz w:val="28"/>
          <w:szCs w:val="28"/>
          <w:lang w:val="en-US"/>
        </w:rPr>
        <w:t>”</w:t>
      </w:r>
      <w:r w:rsidRPr="00244343">
        <w:rPr>
          <w:rFonts w:ascii="Times New Roman" w:hAnsi="Times New Roman" w:cs="Times New Roman"/>
          <w:sz w:val="28"/>
          <w:szCs w:val="28"/>
          <w:lang w:val="en-US"/>
        </w:rPr>
        <w:t xml:space="preserve"> framework. Among the 125 keywords, only 4 had a minimum of 4 co-occurrences, with 5 exceeding this threshold. The </w:t>
      </w:r>
      <w:proofErr w:type="spellStart"/>
      <w:r w:rsidRPr="00244343">
        <w:rPr>
          <w:rFonts w:ascii="Times New Roman" w:hAnsi="Times New Roman" w:cs="Times New Roman"/>
          <w:sz w:val="28"/>
          <w:szCs w:val="28"/>
          <w:lang w:val="en-US"/>
        </w:rPr>
        <w:t>VOSviewer</w:t>
      </w:r>
      <w:proofErr w:type="spellEnd"/>
      <w:r w:rsidRPr="00244343">
        <w:rPr>
          <w:rFonts w:ascii="Times New Roman" w:hAnsi="Times New Roman" w:cs="Times New Roman"/>
          <w:sz w:val="28"/>
          <w:szCs w:val="28"/>
          <w:lang w:val="en-US"/>
        </w:rPr>
        <w:t xml:space="preserve"> identified the following keywords for further analysis: triple-helix, innovation, regional development, knowledge transfer, and policy. The Triple Helix framework, which is centered on a knowledge-</w:t>
      </w:r>
      <w:r>
        <w:rPr>
          <w:rFonts w:ascii="Times New Roman" w:hAnsi="Times New Roman" w:cs="Times New Roman"/>
          <w:sz w:val="28"/>
          <w:szCs w:val="28"/>
          <w:lang w:val="en-US"/>
        </w:rPr>
        <w:t>intensive</w:t>
      </w:r>
      <w:r w:rsidRPr="00244343">
        <w:rPr>
          <w:rFonts w:ascii="Times New Roman" w:hAnsi="Times New Roman" w:cs="Times New Roman"/>
          <w:sz w:val="28"/>
          <w:szCs w:val="28"/>
          <w:lang w:val="en-US"/>
        </w:rPr>
        <w:t xml:space="preserve"> economy, suggests that knowledge transfer is the key to regional innovation development. However, the Scopus database revealed a limited number of publications on regional innovation within </w:t>
      </w:r>
      <w:r w:rsidRPr="00244343">
        <w:rPr>
          <w:rFonts w:ascii="Times New Roman" w:hAnsi="Times New Roman" w:cs="Times New Roman"/>
          <w:sz w:val="28"/>
          <w:szCs w:val="28"/>
          <w:lang w:val="en-US"/>
        </w:rPr>
        <w:lastRenderedPageBreak/>
        <w:t>the Triple Helix framework, characterized by significant gaps between connections and small circle sizes, thereby highlighting the lack of literature in this crucial area.</w:t>
      </w:r>
    </w:p>
    <w:p w14:paraId="4BA9D2E6" w14:textId="77777777" w:rsidR="00DC5CC7" w:rsidRPr="00244343" w:rsidRDefault="00DC5CC7" w:rsidP="00DC5CC7">
      <w:pPr>
        <w:spacing w:after="0" w:line="240" w:lineRule="auto"/>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 </w:t>
      </w:r>
    </w:p>
    <w:p w14:paraId="0A8CE181" w14:textId="77777777" w:rsidR="00FE196C" w:rsidRDefault="00DC5CC7" w:rsidP="00FE196C">
      <w:pPr>
        <w:spacing w:after="0" w:line="240" w:lineRule="auto"/>
        <w:contextualSpacing/>
        <w:jc w:val="both"/>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48BAF030" wp14:editId="6D874B5E">
            <wp:extent cx="5676900" cy="3891517"/>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749432" cy="3941238"/>
                    </a:xfrm>
                    <a:prstGeom prst="rect">
                      <a:avLst/>
                    </a:prstGeom>
                    <a:ln/>
                  </pic:spPr>
                </pic:pic>
              </a:graphicData>
            </a:graphic>
          </wp:inline>
        </w:drawing>
      </w:r>
    </w:p>
    <w:p w14:paraId="5A460233" w14:textId="5C89071D" w:rsidR="00FE196C" w:rsidRDefault="00DC5CC7" w:rsidP="00FE196C">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8 - Regional Innovation and Triple Helix</w:t>
      </w:r>
    </w:p>
    <w:p w14:paraId="0FE2DC2C" w14:textId="77777777" w:rsidR="00FE196C" w:rsidRDefault="00FE196C" w:rsidP="00FE196C">
      <w:pPr>
        <w:spacing w:after="0" w:line="240" w:lineRule="auto"/>
        <w:contextualSpacing/>
        <w:jc w:val="center"/>
        <w:rPr>
          <w:rFonts w:ascii="Times New Roman" w:hAnsi="Times New Roman" w:cs="Times New Roman"/>
          <w:sz w:val="28"/>
          <w:szCs w:val="28"/>
          <w:lang w:val="en-US"/>
        </w:rPr>
      </w:pPr>
    </w:p>
    <w:p w14:paraId="4D4AC63E" w14:textId="48A4276B" w:rsidR="00FE196C" w:rsidRPr="00337728" w:rsidRDefault="00DC5CC7" w:rsidP="00337728">
      <w:pPr>
        <w:spacing w:after="0" w:line="240" w:lineRule="auto"/>
        <w:ind w:firstLine="709"/>
        <w:contextualSpacing/>
        <w:rPr>
          <w:rFonts w:ascii="Times New Roman" w:hAnsi="Times New Roman" w:cs="Times New Roman"/>
          <w:sz w:val="24"/>
          <w:szCs w:val="24"/>
          <w:lang w:val="en-US"/>
        </w:rPr>
      </w:pPr>
      <w:r w:rsidRPr="00337728">
        <w:rPr>
          <w:rFonts w:ascii="Times New Roman" w:hAnsi="Times New Roman" w:cs="Times New Roman"/>
          <w:sz w:val="24"/>
          <w:szCs w:val="24"/>
          <w:lang w:val="en-US"/>
        </w:rPr>
        <w:t>Note – Compiled by author based on [9]</w:t>
      </w:r>
    </w:p>
    <w:p w14:paraId="36230AA1"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p>
    <w:p w14:paraId="795B82C6"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Figure 8 illustrates </w:t>
      </w:r>
      <w:r>
        <w:rPr>
          <w:rFonts w:ascii="Times New Roman" w:hAnsi="Times New Roman" w:cs="Times New Roman"/>
          <w:sz w:val="28"/>
          <w:szCs w:val="28"/>
          <w:lang w:val="en-US"/>
        </w:rPr>
        <w:t>“</w:t>
      </w:r>
      <w:r w:rsidRPr="00244343">
        <w:rPr>
          <w:rFonts w:ascii="Times New Roman" w:hAnsi="Times New Roman" w:cs="Times New Roman"/>
          <w:sz w:val="28"/>
          <w:szCs w:val="28"/>
          <w:lang w:val="en-US"/>
        </w:rPr>
        <w:t>Regional Innovation</w:t>
      </w:r>
      <w:r>
        <w:rPr>
          <w:rFonts w:ascii="Times New Roman" w:hAnsi="Times New Roman" w:cs="Times New Roman"/>
          <w:sz w:val="28"/>
          <w:szCs w:val="28"/>
          <w:lang w:val="en-US"/>
        </w:rPr>
        <w:t>”</w:t>
      </w:r>
      <w:r w:rsidRPr="00244343">
        <w:rPr>
          <w:rFonts w:ascii="Times New Roman" w:hAnsi="Times New Roman" w:cs="Times New Roman"/>
          <w:sz w:val="28"/>
          <w:szCs w:val="28"/>
          <w:lang w:val="en-US"/>
        </w:rPr>
        <w:t xml:space="preserve"> as a comprehensive term encompassing all nations within the Web of Science database using overlay visualization. Of 3,172 occurrences, 290 fulfil the minimum requirement of 5 for the keyword. The terms with the highest total link strength were selected and validated, totaling 290. The map illustrates the degree of topic awareness in "Regional Innovation" among academics. Consequently, the research culminates in publications. The expansive concept of "regional innovation" is extensively examined and regarded in contrast to regional innovation within the framework of the Triple Helix. Additionally, the keywords "China" and its strong association with "innovation efficiency" make up the majority of co-occurrences in recent years (China's size was noticeably higher in 2021.5).</w:t>
      </w:r>
    </w:p>
    <w:p w14:paraId="46B4E04A" w14:textId="77777777" w:rsidR="00DC5CC7"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rationale for selecting the search string “regional innovation” is grounded in the significance of the triple helix collaboration model as a fundamental mechanism for enhancing regional innovation capacities. This collaborative framework promotes the establishment of a dynamic and robust innovation ecosystem by addressing and dismantling the barriers that traditionally segregate academia, industry, and government sectors. Such an ecosystem is instrumental in stimulating economic growth, advancing social development, and facilitating sustainable outcomes. The interactions among these three entities enhance the </w:t>
      </w:r>
      <w:r w:rsidRPr="00244343">
        <w:rPr>
          <w:rFonts w:ascii="Times New Roman" w:hAnsi="Times New Roman" w:cs="Times New Roman"/>
          <w:sz w:val="28"/>
          <w:szCs w:val="28"/>
          <w:lang w:val="en-US"/>
        </w:rPr>
        <w:lastRenderedPageBreak/>
        <w:t>transfer of knowledge and catalyze the emergence of innovative solutions to complex societal challenges, thereby fostering a more integrated approach to regional development.</w:t>
      </w:r>
    </w:p>
    <w:p w14:paraId="240D4230" w14:textId="77777777" w:rsidR="00DC5CC7" w:rsidRPr="00244343" w:rsidRDefault="00DC5CC7" w:rsidP="00CB056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1703BAF8" wp14:editId="166D48ED">
            <wp:extent cx="5741035" cy="4486275"/>
            <wp:effectExtent l="0" t="0" r="0" b="9525"/>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5773073" cy="4511311"/>
                    </a:xfrm>
                    <a:prstGeom prst="rect">
                      <a:avLst/>
                    </a:prstGeom>
                    <a:ln/>
                  </pic:spPr>
                </pic:pic>
              </a:graphicData>
            </a:graphic>
          </wp:inline>
        </w:drawing>
      </w:r>
    </w:p>
    <w:p w14:paraId="3E8C4457" w14:textId="77777777" w:rsidR="00DC5CC7" w:rsidRPr="00244343" w:rsidRDefault="00DC5CC7" w:rsidP="00DC5CC7">
      <w:pPr>
        <w:spacing w:after="0" w:line="240" w:lineRule="auto"/>
        <w:ind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9 - Regional Innovation a) web of science</w:t>
      </w:r>
    </w:p>
    <w:p w14:paraId="26268FE1" w14:textId="77777777" w:rsidR="00DC5CC7" w:rsidRPr="00244343" w:rsidRDefault="00DC5CC7" w:rsidP="00DC5CC7">
      <w:pPr>
        <w:spacing w:after="0" w:line="240" w:lineRule="auto"/>
        <w:ind w:firstLine="720"/>
        <w:contextualSpacing/>
        <w:jc w:val="center"/>
        <w:rPr>
          <w:rFonts w:ascii="Times New Roman" w:hAnsi="Times New Roman" w:cs="Times New Roman"/>
          <w:sz w:val="28"/>
          <w:szCs w:val="28"/>
          <w:lang w:val="en-US"/>
        </w:rPr>
      </w:pPr>
    </w:p>
    <w:p w14:paraId="306A6F26" w14:textId="77777777" w:rsidR="00DC5CC7" w:rsidRPr="00337728" w:rsidRDefault="00DC5CC7" w:rsidP="00337728">
      <w:pPr>
        <w:spacing w:after="0" w:line="240" w:lineRule="auto"/>
        <w:ind w:firstLine="709"/>
        <w:contextualSpacing/>
        <w:rPr>
          <w:rFonts w:ascii="Times New Roman" w:hAnsi="Times New Roman" w:cs="Times New Roman"/>
          <w:sz w:val="24"/>
          <w:szCs w:val="24"/>
          <w:lang w:val="en-US"/>
        </w:rPr>
      </w:pPr>
      <w:r w:rsidRPr="00337728">
        <w:rPr>
          <w:rFonts w:ascii="Times New Roman" w:hAnsi="Times New Roman" w:cs="Times New Roman"/>
          <w:sz w:val="24"/>
          <w:szCs w:val="24"/>
          <w:lang w:val="en-US"/>
        </w:rPr>
        <w:t>Note – Compiled by author based on [9]</w:t>
      </w:r>
    </w:p>
    <w:p w14:paraId="7E36D86C"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p>
    <w:p w14:paraId="19199C5A"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Figure 9 illustrates the co-occurrence of </w:t>
      </w:r>
      <w:r>
        <w:rPr>
          <w:rFonts w:ascii="Times New Roman" w:hAnsi="Times New Roman" w:cs="Times New Roman"/>
          <w:sz w:val="28"/>
          <w:szCs w:val="28"/>
          <w:lang w:val="en-US"/>
        </w:rPr>
        <w:t>“</w:t>
      </w:r>
      <w:r w:rsidRPr="00244343">
        <w:rPr>
          <w:rFonts w:ascii="Times New Roman" w:hAnsi="Times New Roman" w:cs="Times New Roman"/>
          <w:sz w:val="28"/>
          <w:szCs w:val="28"/>
          <w:lang w:val="en-US"/>
        </w:rPr>
        <w:t>Regional Innovation</w:t>
      </w:r>
      <w:r>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publications in the Scopus database over the years. The software selected 2012-2018, despite the filtered data range being 2018-2024. The minimum frequency of a term is 5 out of 40,057, with 3,456 meeting the specified level. The cumulative strength of co-occurrence linkages with other keywords was computed for the 3,546 keywords. The software confirmed that 1000 out of 3456 keywords were verified. Recent overlay network visualizations indicate that China has been at the forefront of regional innovation research publications. The circle sizes between 2014 and 2017 show how closely related the concepts of "innovation" and "regional planning" are to "knowledge" and "research and development," demonstrating how a knowledge-based economy is necessary for regional innovation development.</w:t>
      </w:r>
    </w:p>
    <w:p w14:paraId="068FD894"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Due to the connections between keywords and their arrangements, the bibliographic method, which is based on co-occurrences, makes it easier to find informative parts and the most common terms and ideas in scholarly works. This indicates that the articles published on innovation and regional planning closely relate to China.</w:t>
      </w:r>
    </w:p>
    <w:p w14:paraId="57745BDD" w14:textId="77777777" w:rsidR="00DC5CC7" w:rsidRPr="00244343" w:rsidRDefault="00DC5CC7" w:rsidP="00CB056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lastRenderedPageBreak/>
        <w:drawing>
          <wp:inline distT="0" distB="0" distL="0" distR="0" wp14:anchorId="7F3558B4" wp14:editId="3F1A426D">
            <wp:extent cx="5307200" cy="2707005"/>
            <wp:effectExtent l="0" t="0" r="8255" b="0"/>
            <wp:docPr id="8" name="image6.png" descr="Изображение выглядит как текст, диаграмма, снимок экрана, карт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5" name="image6.png" descr="Изображение выглядит как текст, диаграмма, снимок экрана, карта&#10;&#10;Автоматически созданное описание"/>
                    <pic:cNvPicPr preferRelativeResize="0"/>
                  </pic:nvPicPr>
                  <pic:blipFill>
                    <a:blip r:embed="rId34"/>
                    <a:srcRect/>
                    <a:stretch>
                      <a:fillRect/>
                    </a:stretch>
                  </pic:blipFill>
                  <pic:spPr>
                    <a:xfrm>
                      <a:off x="0" y="0"/>
                      <a:ext cx="5425025" cy="2767103"/>
                    </a:xfrm>
                    <a:prstGeom prst="rect">
                      <a:avLst/>
                    </a:prstGeom>
                    <a:ln/>
                  </pic:spPr>
                </pic:pic>
              </a:graphicData>
            </a:graphic>
          </wp:inline>
        </w:drawing>
      </w:r>
    </w:p>
    <w:p w14:paraId="44F3DEBA" w14:textId="77777777" w:rsidR="00DC5CC7" w:rsidRPr="00244343" w:rsidRDefault="00DC5CC7" w:rsidP="00DC5CC7">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9 - Regional Innovation b) Scopus</w:t>
      </w:r>
    </w:p>
    <w:p w14:paraId="5AB460E8" w14:textId="77777777" w:rsidR="00DC5CC7" w:rsidRPr="00244343" w:rsidRDefault="00DC5CC7" w:rsidP="00DC5CC7">
      <w:pPr>
        <w:spacing w:after="0" w:line="240" w:lineRule="auto"/>
        <w:contextualSpacing/>
        <w:jc w:val="center"/>
        <w:rPr>
          <w:rFonts w:ascii="Times New Roman" w:hAnsi="Times New Roman" w:cs="Times New Roman"/>
          <w:sz w:val="28"/>
          <w:szCs w:val="28"/>
          <w:lang w:val="en-US"/>
        </w:rPr>
      </w:pPr>
    </w:p>
    <w:p w14:paraId="54F68E3B" w14:textId="77777777" w:rsidR="00DC5CC7" w:rsidRPr="00E409A9" w:rsidRDefault="00DC5CC7" w:rsidP="00E409A9">
      <w:pPr>
        <w:spacing w:after="0" w:line="240" w:lineRule="auto"/>
        <w:ind w:firstLine="709"/>
        <w:contextualSpacing/>
        <w:rPr>
          <w:rFonts w:ascii="Times New Roman" w:hAnsi="Times New Roman" w:cs="Times New Roman"/>
          <w:sz w:val="24"/>
          <w:szCs w:val="24"/>
          <w:lang w:val="en-US"/>
        </w:rPr>
      </w:pPr>
      <w:r w:rsidRPr="00E409A9">
        <w:rPr>
          <w:rFonts w:ascii="Times New Roman" w:hAnsi="Times New Roman" w:cs="Times New Roman"/>
          <w:sz w:val="24"/>
          <w:szCs w:val="24"/>
          <w:lang w:val="en-US"/>
        </w:rPr>
        <w:t>Note – Compiled by author based on [9]</w:t>
      </w:r>
    </w:p>
    <w:p w14:paraId="11BB4122" w14:textId="77777777" w:rsidR="00DC5CC7" w:rsidRDefault="00DC5CC7" w:rsidP="00DC5CC7">
      <w:pPr>
        <w:spacing w:after="0" w:line="240" w:lineRule="auto"/>
        <w:contextualSpacing/>
        <w:jc w:val="both"/>
        <w:rPr>
          <w:rFonts w:ascii="Times New Roman" w:hAnsi="Times New Roman" w:cs="Times New Roman"/>
          <w:sz w:val="28"/>
          <w:szCs w:val="28"/>
          <w:lang w:val="en-US"/>
        </w:rPr>
      </w:pPr>
    </w:p>
    <w:p w14:paraId="57BE64B5" w14:textId="6504F1D4" w:rsidR="00DC5CC7" w:rsidRPr="00244343" w:rsidRDefault="00DC5CC7" w:rsidP="00BA3B4F">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dissemination of these papers in the aforementioned databases resulted in an increase in the volume of publications regarding creative activities. An analysis of the growth trends of Triple Helix publications in education from 1993 to 2022 reveals a notable increase in the volume of published research articles, signifying a heightened scientific interest in this domain. The highest number of articles occurred in 2019 (Figure 10). The publication's findings aid in analyzing cooperation moments inside the triple helix.</w:t>
      </w:r>
      <w:r>
        <w:rPr>
          <w:rFonts w:ascii="Times New Roman" w:hAnsi="Times New Roman" w:cs="Times New Roman"/>
          <w:sz w:val="28"/>
          <w:szCs w:val="28"/>
          <w:lang w:val="en-US"/>
        </w:rPr>
        <w:t xml:space="preserve"> </w:t>
      </w:r>
    </w:p>
    <w:p w14:paraId="3E2A45CD" w14:textId="21C4230D" w:rsidR="00DC5CC7" w:rsidRPr="00244343" w:rsidRDefault="001838B1" w:rsidP="00DC5CC7">
      <w:pPr>
        <w:spacing w:after="0" w:line="240" w:lineRule="auto"/>
        <w:contextualSpacing/>
        <w:jc w:val="both"/>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7C816536" wp14:editId="2F5DFB58">
            <wp:extent cx="5913755" cy="2375064"/>
            <wp:effectExtent l="0" t="0" r="0" b="6350"/>
            <wp:docPr id="28" name="Диаграмма 28">
              <a:extLst xmlns:a="http://schemas.openxmlformats.org/drawingml/2006/main">
                <a:ext uri="{FF2B5EF4-FFF2-40B4-BE49-F238E27FC236}">
                  <a16:creationId xmlns:a16="http://schemas.microsoft.com/office/drawing/2014/main" id="{5B9DCC21-92C8-4474-9D33-32D2B58F2C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6C49F56" w14:textId="77777777" w:rsidR="00DC5CC7" w:rsidRPr="00244343" w:rsidRDefault="00DC5CC7" w:rsidP="00DC5CC7">
      <w:pPr>
        <w:spacing w:after="0" w:line="240" w:lineRule="auto"/>
        <w:contextualSpacing/>
        <w:jc w:val="both"/>
        <w:rPr>
          <w:rFonts w:ascii="Times New Roman" w:hAnsi="Times New Roman" w:cs="Times New Roman"/>
          <w:sz w:val="28"/>
          <w:szCs w:val="28"/>
          <w:lang w:val="en-US"/>
        </w:rPr>
      </w:pPr>
    </w:p>
    <w:p w14:paraId="7021AC96" w14:textId="77777777" w:rsidR="00DC5CC7" w:rsidRPr="00244343" w:rsidRDefault="00DC5CC7" w:rsidP="00DC5CC7">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10 - Dynamics of “Triple Helix and Education” article publishing</w:t>
      </w:r>
    </w:p>
    <w:p w14:paraId="56E6EA8E" w14:textId="77777777" w:rsidR="00DC5CC7" w:rsidRPr="00244343" w:rsidRDefault="00DC5CC7" w:rsidP="00DC5CC7">
      <w:pPr>
        <w:spacing w:after="0" w:line="240" w:lineRule="auto"/>
        <w:contextualSpacing/>
        <w:jc w:val="both"/>
        <w:rPr>
          <w:rFonts w:ascii="Times New Roman" w:hAnsi="Times New Roman" w:cs="Times New Roman"/>
          <w:sz w:val="28"/>
          <w:szCs w:val="28"/>
          <w:lang w:val="en-US"/>
        </w:rPr>
      </w:pPr>
    </w:p>
    <w:p w14:paraId="73C1315C" w14:textId="2110B7F7" w:rsidR="00DC5CC7" w:rsidRDefault="00DC5CC7" w:rsidP="002D427D">
      <w:pPr>
        <w:spacing w:after="0" w:line="240" w:lineRule="auto"/>
        <w:ind w:firstLine="709"/>
        <w:contextualSpacing/>
        <w:rPr>
          <w:rFonts w:ascii="Times New Roman" w:hAnsi="Times New Roman" w:cs="Times New Roman"/>
          <w:sz w:val="24"/>
          <w:szCs w:val="24"/>
          <w:lang w:val="en-US"/>
        </w:rPr>
      </w:pPr>
      <w:r w:rsidRPr="002D427D">
        <w:rPr>
          <w:rFonts w:ascii="Times New Roman" w:hAnsi="Times New Roman" w:cs="Times New Roman"/>
          <w:sz w:val="24"/>
          <w:szCs w:val="24"/>
          <w:lang w:val="en-US"/>
        </w:rPr>
        <w:t>Note – Compiled by author based on [9]</w:t>
      </w:r>
    </w:p>
    <w:p w14:paraId="196E4876" w14:textId="77777777" w:rsidR="002D427D" w:rsidRPr="002D427D" w:rsidRDefault="002D427D" w:rsidP="002D427D">
      <w:pPr>
        <w:spacing w:after="0" w:line="240" w:lineRule="auto"/>
        <w:ind w:firstLine="709"/>
        <w:contextualSpacing/>
        <w:rPr>
          <w:rFonts w:ascii="Times New Roman" w:hAnsi="Times New Roman" w:cs="Times New Roman"/>
          <w:sz w:val="28"/>
          <w:szCs w:val="28"/>
          <w:lang w:val="en-US"/>
        </w:rPr>
      </w:pPr>
    </w:p>
    <w:p w14:paraId="558F8637" w14:textId="130A57BB" w:rsidR="00DC5CC7" w:rsidRPr="00244343" w:rsidRDefault="00DC5CC7" w:rsidP="00BA3B4F">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A bibliometric analysis reveals that the countries with the most significant volume of indexed papers are the USA, China, and England. The triple helix is most developed in these nations, and collaboration manifests in diverse forms. Scientific papers from these countries have undeniably yielded significant results, particularly </w:t>
      </w:r>
      <w:r w:rsidRPr="00244343">
        <w:rPr>
          <w:rFonts w:ascii="Times New Roman" w:hAnsi="Times New Roman" w:cs="Times New Roman"/>
          <w:sz w:val="28"/>
          <w:szCs w:val="28"/>
          <w:lang w:val="en-US"/>
        </w:rPr>
        <w:lastRenderedPageBreak/>
        <w:t xml:space="preserve">in Kazakhstan. Kazakhstan currently has a number of business incubators, and they are drawing inspiration from Brazil, China, and the USA, particularly Silicon Valley. These encompass MOST, </w:t>
      </w:r>
      <w:proofErr w:type="spellStart"/>
      <w:r w:rsidRPr="00244343">
        <w:rPr>
          <w:rFonts w:ascii="Times New Roman" w:hAnsi="Times New Roman" w:cs="Times New Roman"/>
          <w:sz w:val="28"/>
          <w:szCs w:val="28"/>
          <w:lang w:val="en-US"/>
        </w:rPr>
        <w:t>nFactorial</w:t>
      </w:r>
      <w:proofErr w:type="spellEnd"/>
      <w:r w:rsidRPr="00244343">
        <w:rPr>
          <w:rFonts w:ascii="Times New Roman" w:hAnsi="Times New Roman" w:cs="Times New Roman"/>
          <w:sz w:val="28"/>
          <w:szCs w:val="28"/>
          <w:lang w:val="en-US"/>
        </w:rPr>
        <w:t xml:space="preserve">, </w:t>
      </w:r>
      <w:proofErr w:type="spellStart"/>
      <w:r w:rsidRPr="00244343">
        <w:rPr>
          <w:rFonts w:ascii="Times New Roman" w:hAnsi="Times New Roman" w:cs="Times New Roman"/>
          <w:sz w:val="28"/>
          <w:szCs w:val="28"/>
          <w:lang w:val="en-US"/>
        </w:rPr>
        <w:t>TechGarden</w:t>
      </w:r>
      <w:proofErr w:type="spellEnd"/>
      <w:r w:rsidRPr="00244343">
        <w:rPr>
          <w:rFonts w:ascii="Times New Roman" w:hAnsi="Times New Roman" w:cs="Times New Roman"/>
          <w:sz w:val="28"/>
          <w:szCs w:val="28"/>
          <w:lang w:val="en-US"/>
        </w:rPr>
        <w:t xml:space="preserve">, Astana Hub, Impact Hub, </w:t>
      </w:r>
      <w:proofErr w:type="spellStart"/>
      <w:r w:rsidRPr="00244343">
        <w:rPr>
          <w:rFonts w:ascii="Times New Roman" w:hAnsi="Times New Roman" w:cs="Times New Roman"/>
          <w:sz w:val="28"/>
          <w:szCs w:val="28"/>
          <w:lang w:val="en-US"/>
        </w:rPr>
        <w:t>SodBi</w:t>
      </w:r>
      <w:proofErr w:type="spellEnd"/>
      <w:r w:rsidRPr="00244343">
        <w:rPr>
          <w:rFonts w:ascii="Times New Roman" w:hAnsi="Times New Roman" w:cs="Times New Roman"/>
          <w:sz w:val="28"/>
          <w:szCs w:val="28"/>
          <w:lang w:val="en-US"/>
        </w:rPr>
        <w:t xml:space="preserve">, </w:t>
      </w:r>
      <w:proofErr w:type="spellStart"/>
      <w:r w:rsidRPr="00244343">
        <w:rPr>
          <w:rFonts w:ascii="Times New Roman" w:hAnsi="Times New Roman" w:cs="Times New Roman"/>
          <w:sz w:val="28"/>
          <w:szCs w:val="28"/>
          <w:lang w:val="en-US"/>
        </w:rPr>
        <w:t>SmArt</w:t>
      </w:r>
      <w:proofErr w:type="spellEnd"/>
      <w:r w:rsidRPr="00244343">
        <w:rPr>
          <w:rFonts w:ascii="Times New Roman" w:hAnsi="Times New Roman" w:cs="Times New Roman"/>
          <w:sz w:val="28"/>
          <w:szCs w:val="28"/>
          <w:lang w:val="en-US"/>
        </w:rPr>
        <w:t>—point, and Astana Business Campus, among others.</w:t>
      </w:r>
    </w:p>
    <w:p w14:paraId="7E1CC61E" w14:textId="6BB09BE4"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Moreover, business incubators exist at universities, including Al-</w:t>
      </w:r>
      <w:proofErr w:type="spellStart"/>
      <w:r w:rsidRPr="00244343">
        <w:rPr>
          <w:rFonts w:ascii="Times New Roman" w:hAnsi="Times New Roman" w:cs="Times New Roman"/>
          <w:sz w:val="28"/>
          <w:szCs w:val="28"/>
          <w:lang w:val="en-US"/>
        </w:rPr>
        <w:t>Farabi</w:t>
      </w:r>
      <w:proofErr w:type="spellEnd"/>
      <w:r w:rsidRPr="00244343">
        <w:rPr>
          <w:rFonts w:ascii="Times New Roman" w:hAnsi="Times New Roman" w:cs="Times New Roman"/>
          <w:sz w:val="28"/>
          <w:szCs w:val="28"/>
          <w:lang w:val="en-US"/>
        </w:rPr>
        <w:t xml:space="preserve"> Kazakh National University, IETU, KBTU, and NURIS (NU). Furthermore, "</w:t>
      </w:r>
      <w:proofErr w:type="spellStart"/>
      <w:r w:rsidRPr="00244343">
        <w:rPr>
          <w:rFonts w:ascii="Times New Roman" w:hAnsi="Times New Roman" w:cs="Times New Roman"/>
          <w:sz w:val="28"/>
          <w:szCs w:val="28"/>
          <w:lang w:val="en-US"/>
        </w:rPr>
        <w:t>QazInnovations</w:t>
      </w:r>
      <w:proofErr w:type="spellEnd"/>
      <w:r w:rsidRPr="00244343">
        <w:rPr>
          <w:rFonts w:ascii="Times New Roman" w:hAnsi="Times New Roman" w:cs="Times New Roman"/>
          <w:sz w:val="28"/>
          <w:szCs w:val="28"/>
          <w:lang w:val="en-US"/>
        </w:rPr>
        <w:t>" JSC is a national entity fostering innovative advancement. It provides analytical support to promote the growth of the innovation ecosystem. Increasing research efforts to figure out how the triple helix model should work will make it more likely that Kazakhstan can use triple helix frameworks effectively [</w:t>
      </w:r>
      <w:r w:rsidR="008F6C45">
        <w:rPr>
          <w:rFonts w:ascii="Times New Roman" w:hAnsi="Times New Roman" w:cs="Times New Roman"/>
          <w:sz w:val="28"/>
          <w:szCs w:val="28"/>
          <w:lang w:val="en-US"/>
        </w:rPr>
        <w:t>84</w:t>
      </w:r>
      <w:r w:rsidRPr="00244343">
        <w:rPr>
          <w:rFonts w:ascii="Times New Roman" w:hAnsi="Times New Roman" w:cs="Times New Roman"/>
          <w:sz w:val="28"/>
          <w:szCs w:val="28"/>
          <w:lang w:val="en-US"/>
        </w:rPr>
        <w:t>].</w:t>
      </w:r>
    </w:p>
    <w:p w14:paraId="30E95A72"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Nonetheless, additional advancement, investigation, and implementation of the Triple Helix concept are necessary for regional growth and innovation across Kazakhstan's expansive territory.</w:t>
      </w:r>
    </w:p>
    <w:p w14:paraId="033F9079"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While the bibliometric examination of the Triple Helix Model on a worldwide scale indicates a myriad of research papers, publications concerning regional development in Kazakhstan within the framework of the Triple Helix are still being determined.</w:t>
      </w:r>
    </w:p>
    <w:p w14:paraId="38962941" w14:textId="5909A0DC"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Innovation management within a specific region does not transpire autonomously or spontaneously. The governmental institutions operating there have a significant impact on the socioeconomic development of that region. The engaged </w:t>
      </w:r>
      <w:r>
        <w:rPr>
          <w:rFonts w:ascii="Times New Roman" w:hAnsi="Times New Roman" w:cs="Times New Roman"/>
          <w:sz w:val="28"/>
          <w:szCs w:val="28"/>
          <w:lang w:val="en-US"/>
        </w:rPr>
        <w:t>agents</w:t>
      </w:r>
      <w:r w:rsidRPr="00244343">
        <w:rPr>
          <w:rFonts w:ascii="Times New Roman" w:hAnsi="Times New Roman" w:cs="Times New Roman"/>
          <w:sz w:val="28"/>
          <w:szCs w:val="28"/>
          <w:lang w:val="en-US"/>
        </w:rPr>
        <w:t xml:space="preserve"> comprise governmental authorities at </w:t>
      </w:r>
      <w:r>
        <w:rPr>
          <w:rFonts w:ascii="Times New Roman" w:hAnsi="Times New Roman" w:cs="Times New Roman"/>
          <w:sz w:val="28"/>
          <w:szCs w:val="28"/>
          <w:lang w:val="en-US"/>
        </w:rPr>
        <w:t>regional</w:t>
      </w:r>
      <w:r w:rsidRPr="00244343">
        <w:rPr>
          <w:rFonts w:ascii="Times New Roman" w:hAnsi="Times New Roman" w:cs="Times New Roman"/>
          <w:sz w:val="28"/>
          <w:szCs w:val="28"/>
          <w:lang w:val="en-US"/>
        </w:rPr>
        <w:t xml:space="preserve"> and national levels, </w:t>
      </w:r>
      <w:r>
        <w:rPr>
          <w:rFonts w:ascii="Times New Roman" w:hAnsi="Times New Roman" w:cs="Times New Roman"/>
          <w:sz w:val="28"/>
          <w:szCs w:val="28"/>
          <w:lang w:val="en-US"/>
        </w:rPr>
        <w:t>HEIs</w:t>
      </w:r>
      <w:r w:rsidRPr="00244343">
        <w:rPr>
          <w:rFonts w:ascii="Times New Roman" w:hAnsi="Times New Roman" w:cs="Times New Roman"/>
          <w:sz w:val="28"/>
          <w:szCs w:val="28"/>
          <w:lang w:val="en-US"/>
        </w:rPr>
        <w:t xml:space="preserve">, and business enterprises. Each agent plays a huge role in the region's advancement through various means. Universities strive to cultivate graduates capable of contributing to the advancement of their respective regions. Ideally, the government offers universities and corporations financial assistance through grants, subsidies, and project financing. Companies create job opportunities, promote conditions for economic development, and enable the production of vital goods and services for societal advancement. All innovation discussions fundamentally </w:t>
      </w:r>
      <w:proofErr w:type="spellStart"/>
      <w:r w:rsidRPr="00244343">
        <w:rPr>
          <w:rFonts w:ascii="Times New Roman" w:hAnsi="Times New Roman" w:cs="Times New Roman"/>
          <w:sz w:val="28"/>
          <w:szCs w:val="28"/>
          <w:lang w:val="en-US"/>
        </w:rPr>
        <w:t>centre</w:t>
      </w:r>
      <w:proofErr w:type="spellEnd"/>
      <w:r w:rsidRPr="00244343">
        <w:rPr>
          <w:rFonts w:ascii="Times New Roman" w:hAnsi="Times New Roman" w:cs="Times New Roman"/>
          <w:sz w:val="28"/>
          <w:szCs w:val="28"/>
          <w:lang w:val="en-US"/>
        </w:rPr>
        <w:t xml:space="preserve"> on the notion of change and call for the active involvement of all three actors [</w:t>
      </w:r>
      <w:r w:rsidR="008F6C45">
        <w:rPr>
          <w:rFonts w:ascii="Times New Roman" w:hAnsi="Times New Roman" w:cs="Times New Roman"/>
          <w:sz w:val="28"/>
          <w:szCs w:val="28"/>
          <w:lang w:val="en-US"/>
        </w:rPr>
        <w:t>85</w:t>
      </w:r>
      <w:r w:rsidRPr="00244343">
        <w:rPr>
          <w:rFonts w:ascii="Times New Roman" w:hAnsi="Times New Roman" w:cs="Times New Roman"/>
          <w:sz w:val="28"/>
          <w:szCs w:val="28"/>
          <w:lang w:val="en-US"/>
        </w:rPr>
        <w:t xml:space="preserve">, </w:t>
      </w:r>
      <w:r w:rsidR="008F6C45">
        <w:rPr>
          <w:rFonts w:ascii="Times New Roman" w:hAnsi="Times New Roman" w:cs="Times New Roman"/>
          <w:sz w:val="28"/>
          <w:szCs w:val="28"/>
          <w:lang w:val="en-US"/>
        </w:rPr>
        <w:t>86</w:t>
      </w:r>
      <w:r w:rsidRPr="00244343">
        <w:rPr>
          <w:rFonts w:ascii="Times New Roman" w:hAnsi="Times New Roman" w:cs="Times New Roman"/>
          <w:sz w:val="28"/>
          <w:szCs w:val="28"/>
          <w:lang w:val="en-US"/>
        </w:rPr>
        <w:t xml:space="preserve">]. </w:t>
      </w:r>
    </w:p>
    <w:p w14:paraId="73B97E66" w14:textId="7F45A915"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Effective Triple Helix collaborations have markedly improved regional innovation by promoting government, industry, and academic interactions. A notable instance is the Jiangsu Industrial Technological Research Institute (JITRI) in China, which acts as a central facilitator in the Yangtze Delta region, connecting research and industry to advance technological commercialization [</w:t>
      </w:r>
      <w:r w:rsidR="002A6408">
        <w:rPr>
          <w:rFonts w:ascii="Times New Roman" w:hAnsi="Times New Roman" w:cs="Times New Roman"/>
          <w:sz w:val="28"/>
          <w:szCs w:val="28"/>
          <w:lang w:val="en-US"/>
        </w:rPr>
        <w:t>87</w:t>
      </w:r>
      <w:r w:rsidRPr="00244343">
        <w:rPr>
          <w:rFonts w:ascii="Times New Roman" w:hAnsi="Times New Roman" w:cs="Times New Roman"/>
          <w:sz w:val="28"/>
          <w:szCs w:val="28"/>
          <w:lang w:val="en-US"/>
        </w:rPr>
        <w:t>]. In South Korea, local actors demonstrate significant synergy in innovation, whereas West Africa presents opportunities for foreign collaboration, underscoring the necessity of strategic investments in science and technology [</w:t>
      </w:r>
      <w:r w:rsidR="002A6408">
        <w:rPr>
          <w:rFonts w:ascii="Times New Roman" w:hAnsi="Times New Roman" w:cs="Times New Roman"/>
          <w:sz w:val="28"/>
          <w:szCs w:val="28"/>
          <w:lang w:val="en-US"/>
        </w:rPr>
        <w:t>88</w:t>
      </w:r>
      <w:r w:rsidRPr="00244343">
        <w:rPr>
          <w:rFonts w:ascii="Times New Roman" w:hAnsi="Times New Roman" w:cs="Times New Roman"/>
          <w:sz w:val="28"/>
          <w:szCs w:val="28"/>
          <w:lang w:val="en-US"/>
        </w:rPr>
        <w:t>]. The triple helix concept is acknowledged as an essential foundation for regional innovation systems, highlighting the necessity for organized collaboration among the three sectors to foster economic progress [</w:t>
      </w:r>
      <w:r w:rsidR="002A6408">
        <w:rPr>
          <w:rFonts w:ascii="Times New Roman" w:hAnsi="Times New Roman" w:cs="Times New Roman"/>
          <w:sz w:val="28"/>
          <w:szCs w:val="28"/>
          <w:lang w:val="en-US"/>
        </w:rPr>
        <w:t>89</w:t>
      </w:r>
      <w:r w:rsidRPr="00244343">
        <w:rPr>
          <w:rFonts w:ascii="Times New Roman" w:hAnsi="Times New Roman" w:cs="Times New Roman"/>
          <w:sz w:val="28"/>
          <w:szCs w:val="28"/>
          <w:lang w:val="en-US"/>
        </w:rPr>
        <w:t>]. Successful collaborations in emerging economies illustrate that trust, a common vision, and effective leadership are essential for building dynamic triple-helix interactions [</w:t>
      </w:r>
      <w:r w:rsidR="002A6408">
        <w:rPr>
          <w:rFonts w:ascii="Times New Roman" w:hAnsi="Times New Roman" w:cs="Times New Roman"/>
          <w:sz w:val="28"/>
          <w:szCs w:val="28"/>
          <w:lang w:val="en-US"/>
        </w:rPr>
        <w:t>90</w:t>
      </w:r>
      <w:r w:rsidRPr="00244343">
        <w:rPr>
          <w:rFonts w:ascii="Times New Roman" w:hAnsi="Times New Roman" w:cs="Times New Roman"/>
          <w:sz w:val="28"/>
          <w:szCs w:val="28"/>
          <w:lang w:val="en-US"/>
        </w:rPr>
        <w:t>].</w:t>
      </w:r>
      <w:r w:rsidR="00026766">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 xml:space="preserve">Notwithstanding these achievements, issues persist, especially in areas where the triple helix model is </w:t>
      </w:r>
      <w:r w:rsidRPr="00244343">
        <w:rPr>
          <w:rFonts w:ascii="Times New Roman" w:hAnsi="Times New Roman" w:cs="Times New Roman"/>
          <w:sz w:val="28"/>
          <w:szCs w:val="28"/>
          <w:lang w:val="en-US"/>
        </w:rPr>
        <w:lastRenderedPageBreak/>
        <w:t>inadequately implemented, such as in certain regions of Russia, where government funding prevails and universities face difficulties with commercialization [</w:t>
      </w:r>
      <w:r w:rsidR="002A6408">
        <w:rPr>
          <w:rFonts w:ascii="Times New Roman" w:hAnsi="Times New Roman" w:cs="Times New Roman"/>
          <w:sz w:val="28"/>
          <w:szCs w:val="28"/>
          <w:lang w:val="en-US"/>
        </w:rPr>
        <w:t>91</w:t>
      </w:r>
      <w:r w:rsidRPr="00244343">
        <w:rPr>
          <w:rFonts w:ascii="Times New Roman" w:hAnsi="Times New Roman" w:cs="Times New Roman"/>
          <w:sz w:val="28"/>
          <w:szCs w:val="28"/>
          <w:lang w:val="en-US"/>
        </w:rPr>
        <w:t>].</w:t>
      </w:r>
    </w:p>
    <w:p w14:paraId="2E331374" w14:textId="2ED4FB1E"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innovation ecosystem in Kazakhstan is improving, focusing on strengthening the contributions of universities and enterprises to regional growth. A critical problem is the disjunction between scientific research and commercial demands, which constrains the efficacy of innovation efforts [</w:t>
      </w:r>
      <w:r w:rsidR="002A6408">
        <w:rPr>
          <w:rFonts w:ascii="Times New Roman" w:hAnsi="Times New Roman" w:cs="Times New Roman"/>
          <w:sz w:val="28"/>
          <w:szCs w:val="28"/>
          <w:lang w:val="en-US"/>
        </w:rPr>
        <w:t>92</w:t>
      </w:r>
      <w:r w:rsidRPr="00244343">
        <w:rPr>
          <w:rFonts w:ascii="Times New Roman" w:hAnsi="Times New Roman" w:cs="Times New Roman"/>
          <w:sz w:val="28"/>
          <w:szCs w:val="28"/>
          <w:lang w:val="en-US"/>
        </w:rPr>
        <w:t>].</w:t>
      </w:r>
    </w:p>
    <w:p w14:paraId="787E217A" w14:textId="6533EDE2"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Universities frequently encounter difficulties in collaborating with companies, thereby obstructing the commercialization of research [</w:t>
      </w:r>
      <w:r w:rsidR="002A6408">
        <w:rPr>
          <w:rFonts w:ascii="Times New Roman" w:hAnsi="Times New Roman" w:cs="Times New Roman"/>
          <w:sz w:val="28"/>
          <w:szCs w:val="28"/>
          <w:lang w:val="en-US"/>
        </w:rPr>
        <w:t>93</w:t>
      </w:r>
      <w:r w:rsidRPr="00244343">
        <w:rPr>
          <w:rFonts w:ascii="Times New Roman" w:hAnsi="Times New Roman" w:cs="Times New Roman"/>
          <w:sz w:val="28"/>
          <w:szCs w:val="28"/>
          <w:lang w:val="en-US"/>
        </w:rPr>
        <w:t>].</w:t>
      </w:r>
    </w:p>
    <w:p w14:paraId="19D74B72"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Notwithstanding these limitations, the triple helix model's potential to revolutionize Kazakhstan's innovation ecosystem remains encouraging, especially as efforts to enhance these relationships persist. The effectiveness of these </w:t>
      </w:r>
      <w:proofErr w:type="spellStart"/>
      <w:r w:rsidRPr="00244343">
        <w:rPr>
          <w:rFonts w:ascii="Times New Roman" w:hAnsi="Times New Roman" w:cs="Times New Roman"/>
          <w:sz w:val="28"/>
          <w:szCs w:val="28"/>
          <w:lang w:val="en-US"/>
        </w:rPr>
        <w:t>endeavours</w:t>
      </w:r>
      <w:proofErr w:type="spellEnd"/>
      <w:r w:rsidRPr="00244343">
        <w:rPr>
          <w:rFonts w:ascii="Times New Roman" w:hAnsi="Times New Roman" w:cs="Times New Roman"/>
          <w:sz w:val="28"/>
          <w:szCs w:val="28"/>
          <w:lang w:val="en-US"/>
        </w:rPr>
        <w:t xml:space="preserve"> will hinge on rectifying current deficiencies in collaboration and resource distribution.</w:t>
      </w:r>
    </w:p>
    <w:p w14:paraId="73760D48"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Triple Helix model of innovation is crucial for regional development crucial to the fundamental canons of the Triple Helix Model, namely by: </w:t>
      </w:r>
    </w:p>
    <w:p w14:paraId="12E87E31"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1) Knowledge Transfer: Successful regional development relies on efficiently exchanging knowledge and technology among academics, industry, and government. Universities are essential for producing new information, but an industry takes this information and applies it, thereby facilitating its commercialization. Governments encourage knowledge transmission via policy, funding, and infrastructure development.</w:t>
      </w:r>
    </w:p>
    <w:p w14:paraId="7C3DDB2A"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2) The Triple Helix approach underscores the significance of collaboration and partnerships among the three stakeholders. Collaborative research initiatives, technology transfer agreements, and policy discussions promote innovation and provide synergies for all stakeholders.</w:t>
      </w:r>
    </w:p>
    <w:p w14:paraId="6C0DD164"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3) Policy Support: Governments are instrumental in fostering an environment conducive to innovation and regional growth. It encompasses offering incentives for research and development, investing in infrastructure, and enacting regulations that promote collaboration among academia, industry, and government.</w:t>
      </w:r>
    </w:p>
    <w:p w14:paraId="6926E256"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Triple Helix approach provides a significant framework for tackling several regional development challenges, such as:</w:t>
      </w:r>
    </w:p>
    <w:p w14:paraId="13C5E492"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1) Economic Diversification: The Triple Helix approach promotes innovation and entrepreneurship, enabling regions to diversify their economy and diminish reliance on a singular industry or sector.</w:t>
      </w:r>
    </w:p>
    <w:p w14:paraId="29DE7B06"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2) Job Creation: Establishing new enterprises and sectors through innovation can enhance employment possibilities and improve employment rates.</w:t>
      </w:r>
    </w:p>
    <w:p w14:paraId="572261AE"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3)Regional Competitiveness: The Triple Helix concept can augment regional competitiveness by fostering innovation and attracting investment.</w:t>
      </w:r>
    </w:p>
    <w:p w14:paraId="5D0A3B82"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4) Social and Economic Inclusion: The Triple Helix concept can mitigate regional social and economic disparities by promoting collaboration among academia, industry, and government. </w:t>
      </w:r>
    </w:p>
    <w:p w14:paraId="6C99C842"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Triple Helix model, a framework that emphasizes collaboration between universities, industry, and government, is particularly relevant to regional </w:t>
      </w:r>
      <w:r w:rsidRPr="00244343">
        <w:rPr>
          <w:rFonts w:ascii="Times New Roman" w:hAnsi="Times New Roman" w:cs="Times New Roman"/>
          <w:sz w:val="28"/>
          <w:szCs w:val="28"/>
          <w:lang w:val="en-US"/>
        </w:rPr>
        <w:lastRenderedPageBreak/>
        <w:t xml:space="preserve">development in Kazakhstan, especially considering the identified research gap via bibliometric </w:t>
      </w:r>
      <w:proofErr w:type="spellStart"/>
      <w:r w:rsidRPr="00244343">
        <w:rPr>
          <w:rFonts w:ascii="Times New Roman" w:hAnsi="Times New Roman" w:cs="Times New Roman"/>
          <w:sz w:val="28"/>
          <w:szCs w:val="28"/>
          <w:lang w:val="en-US"/>
        </w:rPr>
        <w:t>visualisation</w:t>
      </w:r>
      <w:proofErr w:type="spellEnd"/>
      <w:r w:rsidRPr="00244343">
        <w:rPr>
          <w:rFonts w:ascii="Times New Roman" w:hAnsi="Times New Roman" w:cs="Times New Roman"/>
          <w:sz w:val="28"/>
          <w:szCs w:val="28"/>
          <w:lang w:val="en-US"/>
        </w:rPr>
        <w:t xml:space="preserve">. The reasons can be revealed in the following: </w:t>
      </w:r>
    </w:p>
    <w:p w14:paraId="62A48A9B"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-Regional Disparities: Kazakhstan's vast territory and diverse regions present significant regional disparities. The Triple Helix model can help bridge these gaps by fostering innovation and economic development in less-developed regions.   </w:t>
      </w:r>
    </w:p>
    <w:p w14:paraId="5D66353F"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By encouraging collaboration between universities, industry, and government at the regional level, the model can stimulate local innovation ecosystems and create new economic opportunities.</w:t>
      </w:r>
    </w:p>
    <w:p w14:paraId="3515A308"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 xml:space="preserve">Diversifying the Economy: Kazakhstan's economy is heavily reliant on natural resources. The country must diversify its economy and move towards knowledge-based industries to ensure sustainable growth.   </w:t>
      </w:r>
    </w:p>
    <w:p w14:paraId="1A1C2806"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Triple Helix model can facilitate this transition by promoting research, innovation, and technology transfer. The model can commercialize research findings and create new products and services by fostering collaboration between universities and industry.</w:t>
      </w:r>
    </w:p>
    <w:p w14:paraId="453837E9"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Strengthening Innovation Capacity: Kazakhstan has significant potential for innovation, but its capacity needs strengthening. The Triple Helix model can help to address this challenge by creating a supportive environment for innovation.</w:t>
      </w:r>
    </w:p>
    <w:p w14:paraId="18C5B54C"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By encouraging collaboration between universities, industry, and government, the model can help to improve the quality of education, increase research funding, and facilitate technology transfer.   </w:t>
      </w:r>
    </w:p>
    <w:p w14:paraId="73C8DB4E"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 xml:space="preserve">Addressing Policy Challenges: Effective implementation of innovation policies requires a comprehensive approach that involves multiple stakeholders. The THM provides a framework for coordinating the efforts of different actors and ensuring that policies are aligned with regional development goals.   </w:t>
      </w:r>
    </w:p>
    <w:p w14:paraId="7B92301A" w14:textId="77777777"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By bringing together representatives from universities, industry, and government, the model can help to identify and address policy barriers to innovation.</w:t>
      </w:r>
    </w:p>
    <w:p w14:paraId="324C3D86" w14:textId="77777777"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As current research bibliometric analysis has revealed, there is a need for more research on applying the Triple Helix model in Kazakhstan. Research in this area can contribute to knowledge development and inform policymaking.  The above-mentioned reasons should be the outset point for starting work within the context of THM.</w:t>
      </w:r>
    </w:p>
    <w:p w14:paraId="31E0FCB2" w14:textId="77777777"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This chapter presents a bibliometric analysis of regional innovation, particularly within the Triple Helix model (THM) context, and focuses explicitly on Kazakhstan. This section explains how bibliometric analysis can be used to understand research trends, impact, and collaborations. It justifies its selection by highlighting its benefits in identifying trends, assessing scholarly impact, understanding collaborations, informing policy, and evaluating research performance.</w:t>
      </w:r>
    </w:p>
    <w:p w14:paraId="1F4B094A" w14:textId="77777777"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 analysis reveals a significant lack of research on regional innovation within the THM framework in Kazakhstan. This scarcity is a barrier to integrating the THM into regional development policies. The chapter argues that Kazakhstan's current focus is on economic growth rather than incorporating innovation models like the THM.</w:t>
      </w:r>
    </w:p>
    <w:p w14:paraId="1CB02072" w14:textId="77777777"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lastRenderedPageBreak/>
        <w:t xml:space="preserve">The section details how </w:t>
      </w:r>
      <w:proofErr w:type="spellStart"/>
      <w:r w:rsidRPr="00244343">
        <w:rPr>
          <w:rFonts w:ascii="Times New Roman" w:eastAsia="Times New Roman" w:hAnsi="Times New Roman" w:cs="Times New Roman"/>
          <w:sz w:val="28"/>
          <w:szCs w:val="28"/>
          <w:lang w:val="en-US"/>
        </w:rPr>
        <w:t>VOSviewer</w:t>
      </w:r>
      <w:proofErr w:type="spellEnd"/>
      <w:r w:rsidRPr="00244343">
        <w:rPr>
          <w:rFonts w:ascii="Times New Roman" w:eastAsia="Times New Roman" w:hAnsi="Times New Roman" w:cs="Times New Roman"/>
          <w:sz w:val="28"/>
          <w:szCs w:val="28"/>
          <w:lang w:val="en-US"/>
        </w:rPr>
        <w:t xml:space="preserve"> was used to analyze the data, highlighting its contributions in:</w:t>
      </w:r>
    </w:p>
    <w:p w14:paraId="2BD9709C" w14:textId="77777777" w:rsidR="00DC5CC7" w:rsidRPr="00244343" w:rsidRDefault="00DC5CC7" w:rsidP="001B500C">
      <w:pPr>
        <w:numPr>
          <w:ilvl w:val="0"/>
          <w:numId w:val="4"/>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Identifying research trends through cluster and temporal analysis.</w:t>
      </w:r>
    </w:p>
    <w:p w14:paraId="4FC1D72E" w14:textId="77777777" w:rsidR="00DC5CC7" w:rsidRPr="00244343" w:rsidRDefault="00DC5CC7" w:rsidP="001B500C">
      <w:pPr>
        <w:numPr>
          <w:ilvl w:val="0"/>
          <w:numId w:val="4"/>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Uncovering hidden relationships through network and collaboration mapping.</w:t>
      </w:r>
    </w:p>
    <w:p w14:paraId="5A68D6A0" w14:textId="77777777" w:rsidR="00DC5CC7" w:rsidRPr="00244343" w:rsidRDefault="00DC5CC7" w:rsidP="001B500C">
      <w:pPr>
        <w:numPr>
          <w:ilvl w:val="0"/>
          <w:numId w:val="4"/>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Evaluating scholarly influence through citation and core citation analysis.</w:t>
      </w:r>
    </w:p>
    <w:p w14:paraId="02FEACF1" w14:textId="77777777" w:rsidR="00DC5CC7" w:rsidRPr="00244343" w:rsidRDefault="00DC5CC7" w:rsidP="001B500C">
      <w:pPr>
        <w:numPr>
          <w:ilvl w:val="0"/>
          <w:numId w:val="4"/>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Assisting literature reviews by organizing information and identifying key publications.</w:t>
      </w:r>
    </w:p>
    <w:p w14:paraId="7F3D53D7" w14:textId="77777777" w:rsidR="00DC5CC7" w:rsidRPr="00244343" w:rsidRDefault="00DC5CC7" w:rsidP="001B500C">
      <w:pPr>
        <w:numPr>
          <w:ilvl w:val="0"/>
          <w:numId w:val="4"/>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Advancing interdisciplinary research by bridging fields and identifying emerging areas.</w:t>
      </w:r>
    </w:p>
    <w:p w14:paraId="6EC66B72" w14:textId="2E748836"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w:t>
      </w:r>
      <w:r w:rsidR="00026766">
        <w:rPr>
          <w:rFonts w:ascii="Times New Roman" w:eastAsia="Times New Roman" w:hAnsi="Times New Roman" w:cs="Times New Roman"/>
          <w:sz w:val="28"/>
          <w:szCs w:val="28"/>
          <w:lang w:val="en-US"/>
        </w:rPr>
        <w:t xml:space="preserve"> </w:t>
      </w:r>
      <w:r w:rsidRPr="00244343">
        <w:rPr>
          <w:rFonts w:ascii="Times New Roman" w:eastAsia="Times New Roman" w:hAnsi="Times New Roman" w:cs="Times New Roman"/>
          <w:sz w:val="28"/>
          <w:szCs w:val="28"/>
          <w:lang w:val="en-US"/>
        </w:rPr>
        <w:t>Limited publications on "Kazakhstan Regional Innovation" in Scopus and Web of Science indicate a lack of substantial research and connections. Most existing publications focus on regional and economic development, not specifically on innovation models.</w:t>
      </w:r>
    </w:p>
    <w:p w14:paraId="4D14ED6C" w14:textId="479A4394"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w:t>
      </w:r>
      <w:r w:rsidR="00026766">
        <w:rPr>
          <w:rFonts w:ascii="Times New Roman" w:eastAsia="Times New Roman" w:hAnsi="Times New Roman" w:cs="Times New Roman"/>
          <w:sz w:val="28"/>
          <w:szCs w:val="28"/>
          <w:lang w:val="en-US"/>
        </w:rPr>
        <w:t xml:space="preserve"> </w:t>
      </w:r>
      <w:r w:rsidRPr="00244343">
        <w:rPr>
          <w:rFonts w:ascii="Times New Roman" w:eastAsia="Times New Roman" w:hAnsi="Times New Roman" w:cs="Times New Roman"/>
          <w:sz w:val="28"/>
          <w:szCs w:val="28"/>
          <w:lang w:val="en-US"/>
        </w:rPr>
        <w:t>A similar scarcity of research on "Regional Innovation and Triple Helix" in Kazakhstan.</w:t>
      </w:r>
    </w:p>
    <w:p w14:paraId="36E52F90" w14:textId="041F54F1"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w:t>
      </w:r>
      <w:r w:rsidR="00026766">
        <w:rPr>
          <w:rFonts w:ascii="Times New Roman" w:eastAsia="Times New Roman" w:hAnsi="Times New Roman" w:cs="Times New Roman"/>
          <w:sz w:val="28"/>
          <w:szCs w:val="28"/>
          <w:lang w:val="en-US"/>
        </w:rPr>
        <w:t xml:space="preserve"> </w:t>
      </w:r>
      <w:r w:rsidRPr="00244343">
        <w:rPr>
          <w:rFonts w:ascii="Times New Roman" w:eastAsia="Times New Roman" w:hAnsi="Times New Roman" w:cs="Times New Roman"/>
          <w:sz w:val="28"/>
          <w:szCs w:val="28"/>
          <w:lang w:val="en-US"/>
        </w:rPr>
        <w:t>More extensive research on "Regional Innovation" generally, with China being a prominent focus in recent years. It highlights the global interest in regional innovation but further underscores the specific gap in Kazakhstan-focused THM research.</w:t>
      </w:r>
    </w:p>
    <w:p w14:paraId="115E6D4C" w14:textId="410A62AA"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w:t>
      </w:r>
      <w:r w:rsidR="00026766">
        <w:rPr>
          <w:rFonts w:ascii="Times New Roman" w:eastAsia="Times New Roman" w:hAnsi="Times New Roman" w:cs="Times New Roman"/>
          <w:sz w:val="28"/>
          <w:szCs w:val="28"/>
          <w:lang w:val="en-US"/>
        </w:rPr>
        <w:t xml:space="preserve"> </w:t>
      </w:r>
      <w:r w:rsidRPr="00244343">
        <w:rPr>
          <w:rFonts w:ascii="Times New Roman" w:eastAsia="Times New Roman" w:hAnsi="Times New Roman" w:cs="Times New Roman"/>
          <w:sz w:val="28"/>
          <w:szCs w:val="28"/>
          <w:lang w:val="en-US"/>
        </w:rPr>
        <w:t>Growing publications on "Triple Helix and Education" globally, indicating increasing interest in this area.</w:t>
      </w:r>
    </w:p>
    <w:p w14:paraId="6E93C91C" w14:textId="77777777"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It also discusses Kazakhstan's current state of innovation, mentioning business incubators and initiatives like "</w:t>
      </w:r>
      <w:proofErr w:type="spellStart"/>
      <w:r w:rsidRPr="00244343">
        <w:rPr>
          <w:rFonts w:ascii="Times New Roman" w:eastAsia="Times New Roman" w:hAnsi="Times New Roman" w:cs="Times New Roman"/>
          <w:sz w:val="28"/>
          <w:szCs w:val="28"/>
          <w:lang w:val="en-US"/>
        </w:rPr>
        <w:t>QazInnovations</w:t>
      </w:r>
      <w:proofErr w:type="spellEnd"/>
      <w:r w:rsidRPr="00244343">
        <w:rPr>
          <w:rFonts w:ascii="Times New Roman" w:eastAsia="Times New Roman" w:hAnsi="Times New Roman" w:cs="Times New Roman"/>
          <w:sz w:val="28"/>
          <w:szCs w:val="28"/>
          <w:lang w:val="en-US"/>
        </w:rPr>
        <w:t>" JSC. It notes that while inspiration is drawn from other countries (like the USA and China), more research and implementation of the THM are needed.</w:t>
      </w:r>
    </w:p>
    <w:p w14:paraId="36972278" w14:textId="77777777"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Importance of THM for Regional Development: The chapter emphasizes the key roles of knowledge transfer, collaboration, and policy support within the THM for successful regional development. It connects the THM to addressing challenges like economic diversification, job creation, regional competitiveness, and social/economic inclusion.</w:t>
      </w:r>
    </w:p>
    <w:p w14:paraId="5F1233A1" w14:textId="77777777"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 THM is particularly relevant to Kazakhstan due to:</w:t>
      </w:r>
    </w:p>
    <w:p w14:paraId="58537FC1" w14:textId="77777777" w:rsidR="00DC5CC7" w:rsidRPr="00244343" w:rsidRDefault="00DC5CC7" w:rsidP="00026766">
      <w:pPr>
        <w:numPr>
          <w:ilvl w:val="0"/>
          <w:numId w:val="4"/>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Regional disparities require regionally focused innovation ecosystems.</w:t>
      </w:r>
    </w:p>
    <w:p w14:paraId="1658E7E8" w14:textId="77777777" w:rsidR="00DC5CC7" w:rsidRPr="00244343" w:rsidRDefault="00DC5CC7" w:rsidP="001B500C">
      <w:pPr>
        <w:numPr>
          <w:ilvl w:val="0"/>
          <w:numId w:val="4"/>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There is a need to diversify the economy beyond natural resources.</w:t>
      </w:r>
    </w:p>
    <w:p w14:paraId="6BC56C1F" w14:textId="77777777" w:rsidR="00DC5CC7" w:rsidRPr="00244343" w:rsidRDefault="00DC5CC7" w:rsidP="001B500C">
      <w:pPr>
        <w:numPr>
          <w:ilvl w:val="0"/>
          <w:numId w:val="4"/>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 need to strengthen overall innovation capacity.</w:t>
      </w:r>
    </w:p>
    <w:p w14:paraId="0FD1CDFC" w14:textId="77777777" w:rsidR="00DC5CC7" w:rsidRPr="00244343" w:rsidRDefault="00DC5CC7" w:rsidP="001B500C">
      <w:pPr>
        <w:numPr>
          <w:ilvl w:val="0"/>
          <w:numId w:val="4"/>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There is a need for a comprehensive approach to address policy challenges related to innovation.</w:t>
      </w:r>
    </w:p>
    <w:p w14:paraId="558B79D5" w14:textId="77777777" w:rsidR="00EC772F" w:rsidRDefault="00DC5CC7" w:rsidP="00EC772F">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 dissertation author emphasizes the necessity for additional research on implementing the THM in Kazakhstan, contending that such studies can enhance knowledge development and support policymakers. It points out the existing research gap as a basis for future initiatives.</w:t>
      </w:r>
    </w:p>
    <w:p w14:paraId="56BB95DB" w14:textId="25A65438" w:rsidR="00DC5CC7" w:rsidRPr="00EC772F" w:rsidRDefault="00DC5CC7" w:rsidP="00EC772F">
      <w:pPr>
        <w:spacing w:after="0" w:line="240" w:lineRule="auto"/>
        <w:ind w:firstLine="720"/>
        <w:jc w:val="both"/>
        <w:rPr>
          <w:rFonts w:ascii="Times New Roman" w:eastAsia="Times New Roman" w:hAnsi="Times New Roman" w:cs="Times New Roman"/>
          <w:i/>
          <w:iCs/>
          <w:sz w:val="28"/>
          <w:szCs w:val="28"/>
          <w:lang w:val="en-US"/>
        </w:rPr>
      </w:pPr>
      <w:r w:rsidRPr="00EC772F">
        <w:rPr>
          <w:rFonts w:ascii="Times New Roman" w:hAnsi="Times New Roman" w:cs="Times New Roman"/>
          <w:i/>
          <w:iCs/>
          <w:sz w:val="28"/>
          <w:szCs w:val="28"/>
          <w:lang w:val="en-US"/>
        </w:rPr>
        <w:t>Thematic evolution of Triple Helix Model and University-Industry Collaboration in Kazakhstan and Worldwide</w:t>
      </w:r>
      <w:r w:rsidR="00EC772F">
        <w:rPr>
          <w:rFonts w:ascii="Times New Roman" w:eastAsia="Times New Roman" w:hAnsi="Times New Roman" w:cs="Times New Roman"/>
          <w:i/>
          <w:iCs/>
          <w:sz w:val="28"/>
          <w:szCs w:val="28"/>
          <w:lang w:val="en-US"/>
        </w:rPr>
        <w:t>:</w:t>
      </w:r>
    </w:p>
    <w:p w14:paraId="7570CBA5" w14:textId="75BE582F"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Garfield's historiography [</w:t>
      </w:r>
      <w:r w:rsidR="002A6408">
        <w:rPr>
          <w:rFonts w:ascii="Times New Roman" w:eastAsia="Times New Roman" w:hAnsi="Times New Roman" w:cs="Times New Roman"/>
          <w:sz w:val="28"/>
          <w:szCs w:val="28"/>
          <w:lang w:val="en-US"/>
        </w:rPr>
        <w:t>94</w:t>
      </w:r>
      <w:r w:rsidRPr="00244343">
        <w:rPr>
          <w:rFonts w:ascii="Times New Roman" w:eastAsia="Times New Roman" w:hAnsi="Times New Roman" w:cs="Times New Roman"/>
          <w:sz w:val="28"/>
          <w:szCs w:val="28"/>
          <w:lang w:val="en-US"/>
        </w:rPr>
        <w:t xml:space="preserve">] was among the initial </w:t>
      </w:r>
      <w:proofErr w:type="spellStart"/>
      <w:r w:rsidRPr="00244343">
        <w:rPr>
          <w:rFonts w:ascii="Times New Roman" w:eastAsia="Times New Roman" w:hAnsi="Times New Roman" w:cs="Times New Roman"/>
          <w:sz w:val="28"/>
          <w:szCs w:val="28"/>
          <w:lang w:val="en-US"/>
        </w:rPr>
        <w:t>endeavours</w:t>
      </w:r>
      <w:proofErr w:type="spellEnd"/>
      <w:r w:rsidRPr="00244343">
        <w:rPr>
          <w:rFonts w:ascii="Times New Roman" w:eastAsia="Times New Roman" w:hAnsi="Times New Roman" w:cs="Times New Roman"/>
          <w:sz w:val="28"/>
          <w:szCs w:val="28"/>
          <w:lang w:val="en-US"/>
        </w:rPr>
        <w:t xml:space="preserve"> to depict scientific progress visually. It is a figure illustrating citation patterns, showing the </w:t>
      </w:r>
      <w:r w:rsidRPr="00244343">
        <w:rPr>
          <w:rFonts w:ascii="Times New Roman" w:eastAsia="Times New Roman" w:hAnsi="Times New Roman" w:cs="Times New Roman"/>
          <w:sz w:val="28"/>
          <w:szCs w:val="28"/>
          <w:lang w:val="en-US"/>
        </w:rPr>
        <w:lastRenderedPageBreak/>
        <w:t>connections between works forward and backward in time to trace the evolution of ideas throughout multiple generations. Science mapping seeks to identify representations of intellectual relationships within the evolving landscape of scientific knowledge [</w:t>
      </w:r>
      <w:r w:rsidR="002A6408">
        <w:rPr>
          <w:rFonts w:ascii="Times New Roman" w:eastAsia="Times New Roman" w:hAnsi="Times New Roman" w:cs="Times New Roman"/>
          <w:sz w:val="28"/>
          <w:szCs w:val="28"/>
          <w:lang w:val="en-US"/>
        </w:rPr>
        <w:t>95</w:t>
      </w:r>
      <w:r w:rsidRPr="00244343">
        <w:rPr>
          <w:rFonts w:ascii="Times New Roman" w:eastAsia="Times New Roman" w:hAnsi="Times New Roman" w:cs="Times New Roman"/>
          <w:sz w:val="28"/>
          <w:szCs w:val="28"/>
          <w:lang w:val="en-US"/>
        </w:rPr>
        <w:t>].</w:t>
      </w:r>
    </w:p>
    <w:p w14:paraId="03417806" w14:textId="77777777"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Thematic evolution in bibliometrics entails the analysis of the progression and interconnections of research themes across temporal dimensions. This study can uncover trends, transitions, and the formation of novel domains within a discipline.</w:t>
      </w:r>
    </w:p>
    <w:p w14:paraId="01A6340F" w14:textId="77777777"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Essential Elements of Thematic Progression: </w:t>
      </w:r>
    </w:p>
    <w:p w14:paraId="6027C791" w14:textId="1AB893E4"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244343">
        <w:rPr>
          <w:rFonts w:ascii="Times New Roman" w:eastAsia="Times New Roman" w:hAnsi="Times New Roman" w:cs="Times New Roman"/>
          <w:sz w:val="28"/>
          <w:szCs w:val="28"/>
          <w:lang w:val="en-US"/>
        </w:rPr>
        <w:t>Chronological development: Research shows that bibliometric analyses can monitor the chronological development of themes. Research in the knowledge and innovation literature from 1992 to 2012 identified eight clusters that exhibit major topic variances [</w:t>
      </w:r>
      <w:r w:rsidR="002A6408">
        <w:rPr>
          <w:rFonts w:ascii="Times New Roman" w:eastAsia="Times New Roman" w:hAnsi="Times New Roman" w:cs="Times New Roman"/>
          <w:sz w:val="28"/>
          <w:szCs w:val="28"/>
          <w:lang w:val="en-US"/>
        </w:rPr>
        <w:t>96</w:t>
      </w:r>
      <w:r w:rsidRPr="00244343">
        <w:rPr>
          <w:rFonts w:ascii="Times New Roman" w:eastAsia="Times New Roman" w:hAnsi="Times New Roman" w:cs="Times New Roman"/>
          <w:sz w:val="28"/>
          <w:szCs w:val="28"/>
          <w:lang w:val="en-US"/>
        </w:rPr>
        <w:t>].</w:t>
      </w:r>
    </w:p>
    <w:p w14:paraId="711FE547" w14:textId="2316EB61"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244343">
        <w:rPr>
          <w:rFonts w:ascii="Times New Roman" w:eastAsia="Times New Roman" w:hAnsi="Times New Roman" w:cs="Times New Roman"/>
          <w:sz w:val="28"/>
          <w:szCs w:val="28"/>
          <w:lang w:val="en-US"/>
        </w:rPr>
        <w:t xml:space="preserve">Conceptual structure: The use of tools such as </w:t>
      </w:r>
      <w:proofErr w:type="spellStart"/>
      <w:r w:rsidRPr="00244343">
        <w:rPr>
          <w:rFonts w:ascii="Times New Roman" w:eastAsia="Times New Roman" w:hAnsi="Times New Roman" w:cs="Times New Roman"/>
          <w:sz w:val="28"/>
          <w:szCs w:val="28"/>
          <w:lang w:val="en-US"/>
        </w:rPr>
        <w:t>SciMAT</w:t>
      </w:r>
      <w:proofErr w:type="spellEnd"/>
      <w:r w:rsidRPr="00244343">
        <w:rPr>
          <w:rFonts w:ascii="Times New Roman" w:eastAsia="Times New Roman" w:hAnsi="Times New Roman" w:cs="Times New Roman"/>
          <w:sz w:val="28"/>
          <w:szCs w:val="28"/>
          <w:lang w:val="en-US"/>
        </w:rPr>
        <w:t xml:space="preserve">, </w:t>
      </w:r>
      <w:proofErr w:type="spellStart"/>
      <w:r w:rsidRPr="00244343">
        <w:rPr>
          <w:rFonts w:ascii="Times New Roman" w:eastAsia="Times New Roman" w:hAnsi="Times New Roman" w:cs="Times New Roman"/>
          <w:sz w:val="28"/>
          <w:szCs w:val="28"/>
          <w:lang w:val="en-US"/>
        </w:rPr>
        <w:t>Biblioshiny</w:t>
      </w:r>
      <w:proofErr w:type="spellEnd"/>
      <w:r w:rsidRPr="00244343">
        <w:rPr>
          <w:rFonts w:ascii="Times New Roman" w:eastAsia="Times New Roman" w:hAnsi="Times New Roman" w:cs="Times New Roman"/>
          <w:sz w:val="28"/>
          <w:szCs w:val="28"/>
          <w:lang w:val="en-US"/>
        </w:rPr>
        <w:t xml:space="preserve">, </w:t>
      </w:r>
      <w:proofErr w:type="spellStart"/>
      <w:r w:rsidRPr="00244343">
        <w:rPr>
          <w:rFonts w:ascii="Times New Roman" w:eastAsia="Times New Roman" w:hAnsi="Times New Roman" w:cs="Times New Roman"/>
          <w:sz w:val="28"/>
          <w:szCs w:val="28"/>
          <w:lang w:val="en-US"/>
        </w:rPr>
        <w:t>Vosviewer</w:t>
      </w:r>
      <w:proofErr w:type="spellEnd"/>
      <w:r w:rsidRPr="00244343">
        <w:rPr>
          <w:rFonts w:ascii="Times New Roman" w:eastAsia="Times New Roman" w:hAnsi="Times New Roman" w:cs="Times New Roman"/>
          <w:sz w:val="28"/>
          <w:szCs w:val="28"/>
          <w:lang w:val="en-US"/>
        </w:rPr>
        <w:t xml:space="preserve"> and other software tools facilitates a comprehensive analysis of the conceptual framework of journals, elucidating the evolution and interrelationships of subjects. The examination of "Applied Intelligence" emphasized its thematic domains and their interconnections across a span of three decades [</w:t>
      </w:r>
      <w:r w:rsidR="002A6408">
        <w:rPr>
          <w:rFonts w:ascii="Times New Roman" w:eastAsia="Times New Roman" w:hAnsi="Times New Roman" w:cs="Times New Roman"/>
          <w:sz w:val="28"/>
          <w:szCs w:val="28"/>
          <w:lang w:val="en-US"/>
        </w:rPr>
        <w:t>97</w:t>
      </w:r>
      <w:r w:rsidRPr="00244343">
        <w:rPr>
          <w:rFonts w:ascii="Times New Roman" w:eastAsia="Times New Roman" w:hAnsi="Times New Roman" w:cs="Times New Roman"/>
          <w:sz w:val="28"/>
          <w:szCs w:val="28"/>
          <w:lang w:val="en-US"/>
        </w:rPr>
        <w:t>].</w:t>
      </w:r>
    </w:p>
    <w:p w14:paraId="6FABB932" w14:textId="4B4021E1"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 </w:t>
      </w:r>
      <w:r w:rsidRPr="00244343">
        <w:rPr>
          <w:rFonts w:ascii="Times New Roman" w:eastAsia="Times New Roman" w:hAnsi="Times New Roman" w:cs="Times New Roman"/>
          <w:sz w:val="28"/>
          <w:szCs w:val="28"/>
          <w:lang w:val="en-US"/>
        </w:rPr>
        <w:t>Impact of external factors: The evolution of themes may also be affected by wider socioeconomic changes. Research in computer science illustrated how changes in social and economic environments influenced the evolution of sub-disciplines such as Human-Computer Interaction [</w:t>
      </w:r>
      <w:r w:rsidR="002A6408">
        <w:rPr>
          <w:rFonts w:ascii="Times New Roman" w:eastAsia="Times New Roman" w:hAnsi="Times New Roman" w:cs="Times New Roman"/>
          <w:sz w:val="28"/>
          <w:szCs w:val="28"/>
          <w:lang w:val="en-US"/>
        </w:rPr>
        <w:t>98</w:t>
      </w:r>
      <w:r w:rsidRPr="00244343">
        <w:rPr>
          <w:rFonts w:ascii="Times New Roman" w:eastAsia="Times New Roman" w:hAnsi="Times New Roman" w:cs="Times New Roman"/>
          <w:sz w:val="28"/>
          <w:szCs w:val="28"/>
          <w:lang w:val="en-US"/>
        </w:rPr>
        <w:t>].</w:t>
      </w:r>
    </w:p>
    <w:p w14:paraId="1015CEE6" w14:textId="77777777" w:rsidR="00FE196C"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Thematic evolution, especially within bibliometric analysis, entails monitoring the progression and alterations in research themes throughout time. This process is essential for comprehending the evolution of academic discourse, particularly in swiftly transforming disciplines.</w:t>
      </w:r>
    </w:p>
    <w:p w14:paraId="753496BA" w14:textId="401C131B"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Science mapping mostly use the </w:t>
      </w:r>
      <w:r>
        <w:rPr>
          <w:rFonts w:ascii="Times New Roman" w:eastAsia="Times New Roman" w:hAnsi="Times New Roman" w:cs="Times New Roman"/>
          <w:sz w:val="28"/>
          <w:szCs w:val="28"/>
          <w:lang w:val="en-US"/>
        </w:rPr>
        <w:t>“</w:t>
      </w:r>
      <w:r w:rsidRPr="00244343">
        <w:rPr>
          <w:rFonts w:ascii="Times New Roman" w:eastAsia="Times New Roman" w:hAnsi="Times New Roman" w:cs="Times New Roman"/>
          <w:sz w:val="28"/>
          <w:szCs w:val="28"/>
          <w:lang w:val="en-US"/>
        </w:rPr>
        <w:t>structures of knowledge</w:t>
      </w:r>
      <w:r>
        <w:rPr>
          <w:rFonts w:ascii="Times New Roman" w:eastAsia="Times New Roman" w:hAnsi="Times New Roman" w:cs="Times New Roman"/>
          <w:sz w:val="28"/>
          <w:szCs w:val="28"/>
          <w:lang w:val="en-US"/>
        </w:rPr>
        <w:t>”</w:t>
      </w:r>
      <w:r w:rsidRPr="00244343">
        <w:rPr>
          <w:rFonts w:ascii="Times New Roman" w:eastAsia="Times New Roman" w:hAnsi="Times New Roman" w:cs="Times New Roman"/>
          <w:sz w:val="28"/>
          <w:szCs w:val="28"/>
          <w:lang w:val="en-US"/>
        </w:rPr>
        <w:t xml:space="preserve">. Every scientific community would possess a comprehensive understanding of the principal discoveries pertinent to their respective disciplines, tracking the progression of theories and methodologies. Science Mapping facilitates the examination of scientific knowledge through a statistical lens. </w:t>
      </w:r>
      <w:proofErr w:type="spellStart"/>
      <w:r w:rsidRPr="00244343">
        <w:rPr>
          <w:rFonts w:ascii="Times New Roman" w:eastAsia="Times New Roman" w:hAnsi="Times New Roman" w:cs="Times New Roman"/>
          <w:sz w:val="28"/>
          <w:szCs w:val="28"/>
          <w:lang w:val="en-US"/>
        </w:rPr>
        <w:t>Biblioshiny</w:t>
      </w:r>
      <w:proofErr w:type="spellEnd"/>
      <w:r w:rsidRPr="00244343">
        <w:rPr>
          <w:rFonts w:ascii="Times New Roman" w:eastAsia="Times New Roman" w:hAnsi="Times New Roman" w:cs="Times New Roman"/>
          <w:sz w:val="28"/>
          <w:szCs w:val="28"/>
          <w:lang w:val="en-US"/>
        </w:rPr>
        <w:t xml:space="preserve"> provides three frameworks for uncovering concealed patterns in knowledge: </w:t>
      </w:r>
    </w:p>
    <w:p w14:paraId="7D874139" w14:textId="77777777"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244343">
        <w:rPr>
          <w:rFonts w:ascii="Times New Roman" w:eastAsia="Times New Roman" w:hAnsi="Times New Roman" w:cs="Times New Roman"/>
          <w:sz w:val="28"/>
          <w:szCs w:val="28"/>
          <w:lang w:val="en-US"/>
        </w:rPr>
        <w:t xml:space="preserve">Conceptual structure” </w:t>
      </w:r>
      <w:r>
        <w:rPr>
          <w:rFonts w:ascii="Times New Roman" w:eastAsia="Times New Roman" w:hAnsi="Times New Roman" w:cs="Times New Roman"/>
          <w:sz w:val="28"/>
          <w:szCs w:val="28"/>
          <w:lang w:val="en-US"/>
        </w:rPr>
        <w:t>–</w:t>
      </w:r>
      <w:r w:rsidRPr="00244343">
        <w:rPr>
          <w:rFonts w:ascii="Times New Roman" w:eastAsia="Times New Roman" w:hAnsi="Times New Roman" w:cs="Times New Roman"/>
          <w:sz w:val="28"/>
          <w:szCs w:val="28"/>
          <w:lang w:val="en-US"/>
        </w:rPr>
        <w:t xml:space="preserve"> the subjects addressed by science, primary themes, and prevailing tendencies.</w:t>
      </w:r>
    </w:p>
    <w:p w14:paraId="48DE1806" w14:textId="77777777"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244343">
        <w:rPr>
          <w:rFonts w:ascii="Times New Roman" w:eastAsia="Times New Roman" w:hAnsi="Times New Roman" w:cs="Times New Roman"/>
          <w:sz w:val="28"/>
          <w:szCs w:val="28"/>
          <w:lang w:val="en-US"/>
        </w:rPr>
        <w:t xml:space="preserve">Intellectual structure” </w:t>
      </w:r>
      <w:r>
        <w:rPr>
          <w:rFonts w:ascii="Times New Roman" w:eastAsia="Times New Roman" w:hAnsi="Times New Roman" w:cs="Times New Roman"/>
          <w:sz w:val="28"/>
          <w:szCs w:val="28"/>
          <w:lang w:val="en-US"/>
        </w:rPr>
        <w:t>–</w:t>
      </w:r>
      <w:r w:rsidRPr="00244343">
        <w:rPr>
          <w:rFonts w:ascii="Times New Roman" w:eastAsia="Times New Roman" w:hAnsi="Times New Roman" w:cs="Times New Roman"/>
          <w:sz w:val="28"/>
          <w:szCs w:val="28"/>
          <w:lang w:val="en-US"/>
        </w:rPr>
        <w:t xml:space="preserve"> the impact of an author's work on a specific scientific community.</w:t>
      </w:r>
    </w:p>
    <w:p w14:paraId="0B4C82D0" w14:textId="77777777"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w:t>
      </w:r>
      <w:r w:rsidRPr="00244343">
        <w:rPr>
          <w:rFonts w:ascii="Times New Roman" w:eastAsia="Times New Roman" w:hAnsi="Times New Roman" w:cs="Times New Roman"/>
          <w:sz w:val="28"/>
          <w:szCs w:val="28"/>
          <w:lang w:val="en-US"/>
        </w:rPr>
        <w:t xml:space="preserve">Social structure” </w:t>
      </w:r>
      <w:r>
        <w:rPr>
          <w:rFonts w:ascii="Times New Roman" w:eastAsia="Times New Roman" w:hAnsi="Times New Roman" w:cs="Times New Roman"/>
          <w:sz w:val="28"/>
          <w:szCs w:val="28"/>
          <w:lang w:val="en-US"/>
        </w:rPr>
        <w:t>–</w:t>
      </w:r>
      <w:r w:rsidRPr="00244343">
        <w:rPr>
          <w:rFonts w:ascii="Times New Roman" w:eastAsia="Times New Roman" w:hAnsi="Times New Roman" w:cs="Times New Roman"/>
          <w:sz w:val="28"/>
          <w:szCs w:val="28"/>
          <w:lang w:val="en-US"/>
        </w:rPr>
        <w:t xml:space="preserve"> the interactions among writers, institutions, and nations.</w:t>
      </w:r>
    </w:p>
    <w:p w14:paraId="114316DE" w14:textId="77777777"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 topic evolution below (Figure</w:t>
      </w:r>
      <w:r>
        <w:rPr>
          <w:rFonts w:ascii="Times New Roman" w:eastAsia="Times New Roman" w:hAnsi="Times New Roman" w:cs="Times New Roman"/>
          <w:sz w:val="28"/>
          <w:szCs w:val="28"/>
          <w:lang w:val="en-US"/>
        </w:rPr>
        <w:t xml:space="preserve"> </w:t>
      </w:r>
      <w:r w:rsidRPr="00244343">
        <w:rPr>
          <w:rFonts w:ascii="Times New Roman" w:eastAsia="Times New Roman" w:hAnsi="Times New Roman" w:cs="Times New Roman"/>
          <w:sz w:val="28"/>
          <w:szCs w:val="28"/>
          <w:lang w:val="en-US"/>
        </w:rPr>
        <w:t xml:space="preserve">11) illustrates “university-industry collaboration” globally. At the same time, the analysis via </w:t>
      </w:r>
      <w:proofErr w:type="spellStart"/>
      <w:r w:rsidRPr="00244343">
        <w:rPr>
          <w:rFonts w:ascii="Times New Roman" w:eastAsia="Times New Roman" w:hAnsi="Times New Roman" w:cs="Times New Roman"/>
          <w:sz w:val="28"/>
          <w:szCs w:val="28"/>
          <w:lang w:val="en-US"/>
        </w:rPr>
        <w:t>Biblioshiny</w:t>
      </w:r>
      <w:proofErr w:type="spellEnd"/>
      <w:r w:rsidRPr="00244343">
        <w:rPr>
          <w:rFonts w:ascii="Times New Roman" w:eastAsia="Times New Roman" w:hAnsi="Times New Roman" w:cs="Times New Roman"/>
          <w:sz w:val="28"/>
          <w:szCs w:val="28"/>
          <w:lang w:val="en-US"/>
        </w:rPr>
        <w:t xml:space="preserve"> reveals the output of “insufficient documents” in the context of Kazakhstan and could not process the evolution for the Kazakhstan setting.</w:t>
      </w:r>
    </w:p>
    <w:p w14:paraId="78096B4B" w14:textId="77777777" w:rsidR="00BA3B4F" w:rsidRDefault="00DC5CC7" w:rsidP="00BA3B4F">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The sample selection and data collection were conducted using the Web of Science database. The Scopus database was unable to export the extensive data to a researcher's computer. It took hours to export, finally it failed. The dataset (web of science exported documents recordings) was meticulously revised according to the </w:t>
      </w:r>
      <w:r w:rsidRPr="00244343">
        <w:rPr>
          <w:rFonts w:ascii="Times New Roman" w:eastAsia="Times New Roman" w:hAnsi="Times New Roman" w:cs="Times New Roman"/>
          <w:sz w:val="28"/>
          <w:szCs w:val="28"/>
          <w:lang w:val="en-US"/>
        </w:rPr>
        <w:lastRenderedPageBreak/>
        <w:t xml:space="preserve">categorical relevance, resulting in a final dataset of 2,536 articles. The dataset was exported in </w:t>
      </w:r>
      <w:proofErr w:type="spellStart"/>
      <w:r w:rsidRPr="00244343">
        <w:rPr>
          <w:rFonts w:ascii="Times New Roman" w:eastAsia="Times New Roman" w:hAnsi="Times New Roman" w:cs="Times New Roman"/>
          <w:sz w:val="28"/>
          <w:szCs w:val="28"/>
          <w:lang w:val="en-US"/>
        </w:rPr>
        <w:t>BibTeX</w:t>
      </w:r>
      <w:proofErr w:type="spellEnd"/>
      <w:r w:rsidRPr="00244343">
        <w:rPr>
          <w:rFonts w:ascii="Times New Roman" w:eastAsia="Times New Roman" w:hAnsi="Times New Roman" w:cs="Times New Roman"/>
          <w:sz w:val="28"/>
          <w:szCs w:val="28"/>
          <w:lang w:val="en-US"/>
        </w:rPr>
        <w:t xml:space="preserve"> format and subsequently integrated into the </w:t>
      </w:r>
      <w:proofErr w:type="spellStart"/>
      <w:r w:rsidRPr="00244343">
        <w:rPr>
          <w:rFonts w:ascii="Times New Roman" w:eastAsia="Times New Roman" w:hAnsi="Times New Roman" w:cs="Times New Roman"/>
          <w:sz w:val="28"/>
          <w:szCs w:val="28"/>
          <w:lang w:val="en-US"/>
        </w:rPr>
        <w:t>BiblioShiny</w:t>
      </w:r>
      <w:proofErr w:type="spellEnd"/>
      <w:r w:rsidRPr="00244343">
        <w:rPr>
          <w:rFonts w:ascii="Times New Roman" w:eastAsia="Times New Roman" w:hAnsi="Times New Roman" w:cs="Times New Roman"/>
          <w:sz w:val="28"/>
          <w:szCs w:val="28"/>
          <w:lang w:val="en-US"/>
        </w:rPr>
        <w:t xml:space="preserve"> application for bibliometric analysis. Different bibliometric analysis</w:t>
      </w:r>
      <w:r>
        <w:rPr>
          <w:rFonts w:ascii="Times New Roman" w:eastAsia="Times New Roman" w:hAnsi="Times New Roman" w:cs="Times New Roman"/>
          <w:sz w:val="28"/>
          <w:szCs w:val="28"/>
          <w:lang w:val="en-US"/>
        </w:rPr>
        <w:t xml:space="preserve"> </w:t>
      </w:r>
      <w:proofErr w:type="gramStart"/>
      <w:r w:rsidRPr="00244343">
        <w:rPr>
          <w:rFonts w:ascii="Times New Roman" w:eastAsia="Times New Roman" w:hAnsi="Times New Roman" w:cs="Times New Roman"/>
          <w:sz w:val="28"/>
          <w:szCs w:val="28"/>
          <w:lang w:val="en-US"/>
        </w:rPr>
        <w:t>were</w:t>
      </w:r>
      <w:proofErr w:type="gramEnd"/>
      <w:r>
        <w:rPr>
          <w:rFonts w:ascii="Times New Roman" w:eastAsia="Times New Roman" w:hAnsi="Times New Roman" w:cs="Times New Roman"/>
          <w:sz w:val="28"/>
          <w:szCs w:val="28"/>
          <w:lang w:val="en-US"/>
        </w:rPr>
        <w:t xml:space="preserve"> </w:t>
      </w:r>
      <w:r w:rsidRPr="00244343">
        <w:rPr>
          <w:rFonts w:ascii="Times New Roman" w:eastAsia="Times New Roman" w:hAnsi="Times New Roman" w:cs="Times New Roman"/>
          <w:sz w:val="28"/>
          <w:szCs w:val="28"/>
          <w:lang w:val="en-US"/>
        </w:rPr>
        <w:t>run depending on the exported data scale. For more documents (analysis on a global scale) the following findings of the study which include:</w:t>
      </w:r>
    </w:p>
    <w:p w14:paraId="6A77B731" w14:textId="77777777" w:rsidR="00BA3B4F" w:rsidRDefault="00DC5CC7" w:rsidP="00BA3B4F">
      <w:pPr>
        <w:spacing w:after="0" w:line="240" w:lineRule="auto"/>
        <w:ind w:firstLine="720"/>
        <w:jc w:val="both"/>
        <w:rPr>
          <w:rFonts w:ascii="Times New Roman" w:hAnsi="Times New Roman" w:cs="Times New Roman"/>
          <w:sz w:val="28"/>
          <w:szCs w:val="28"/>
          <w:lang w:val="en-US"/>
        </w:rPr>
      </w:pPr>
      <w:r w:rsidRPr="00FE196C">
        <w:rPr>
          <w:rFonts w:ascii="Times New Roman" w:hAnsi="Times New Roman" w:cs="Times New Roman"/>
          <w:sz w:val="28"/>
          <w:szCs w:val="28"/>
          <w:lang w:val="en-US"/>
        </w:rPr>
        <w:t xml:space="preserve">1) thematic evolution of the topic and thematic map of UIC; </w:t>
      </w:r>
    </w:p>
    <w:p w14:paraId="26BBD0E9" w14:textId="77777777" w:rsidR="00BA3B4F" w:rsidRDefault="00DC5CC7" w:rsidP="00BA3B4F">
      <w:pPr>
        <w:spacing w:after="0" w:line="240" w:lineRule="auto"/>
        <w:ind w:firstLine="720"/>
        <w:jc w:val="both"/>
        <w:rPr>
          <w:rFonts w:ascii="Times New Roman" w:hAnsi="Times New Roman" w:cs="Times New Roman"/>
          <w:sz w:val="28"/>
          <w:szCs w:val="28"/>
          <w:lang w:val="en-US"/>
        </w:rPr>
      </w:pPr>
      <w:r w:rsidRPr="00FE196C">
        <w:rPr>
          <w:rFonts w:ascii="Times New Roman" w:hAnsi="Times New Roman" w:cs="Times New Roman"/>
          <w:sz w:val="28"/>
          <w:szCs w:val="28"/>
          <w:lang w:val="en-US"/>
        </w:rPr>
        <w:t xml:space="preserve">2) Co-occurrence network of UIC analysis; </w:t>
      </w:r>
    </w:p>
    <w:p w14:paraId="2FFDAC12" w14:textId="77777777" w:rsidR="00BA3B4F" w:rsidRDefault="00DC5CC7" w:rsidP="00BA3B4F">
      <w:pPr>
        <w:spacing w:after="0" w:line="240" w:lineRule="auto"/>
        <w:ind w:firstLine="720"/>
        <w:jc w:val="both"/>
        <w:rPr>
          <w:rFonts w:ascii="Times New Roman" w:hAnsi="Times New Roman" w:cs="Times New Roman"/>
          <w:sz w:val="28"/>
          <w:szCs w:val="28"/>
          <w:lang w:val="en-US"/>
        </w:rPr>
      </w:pPr>
      <w:r w:rsidRPr="00FE196C">
        <w:rPr>
          <w:rFonts w:ascii="Times New Roman" w:hAnsi="Times New Roman" w:cs="Times New Roman"/>
          <w:sz w:val="28"/>
          <w:szCs w:val="28"/>
          <w:lang w:val="en-US"/>
        </w:rPr>
        <w:t xml:space="preserve">3) factorial analysis UIC  </w:t>
      </w:r>
    </w:p>
    <w:p w14:paraId="67FB551B" w14:textId="77777777" w:rsidR="00BA3B4F" w:rsidRDefault="00DC5CC7" w:rsidP="00BA3B4F">
      <w:pPr>
        <w:spacing w:after="0" w:line="240" w:lineRule="auto"/>
        <w:ind w:firstLine="720"/>
        <w:jc w:val="both"/>
        <w:rPr>
          <w:rFonts w:ascii="Times New Roman" w:hAnsi="Times New Roman" w:cs="Times New Roman"/>
          <w:sz w:val="28"/>
          <w:szCs w:val="28"/>
          <w:lang w:val="en-US"/>
        </w:rPr>
      </w:pPr>
      <w:r w:rsidRPr="00FE196C">
        <w:rPr>
          <w:rFonts w:ascii="Times New Roman" w:hAnsi="Times New Roman" w:cs="Times New Roman"/>
          <w:sz w:val="28"/>
          <w:szCs w:val="28"/>
          <w:lang w:val="en-US"/>
        </w:rPr>
        <w:t xml:space="preserve">4) Annual scientific production of UIC globally </w:t>
      </w:r>
    </w:p>
    <w:p w14:paraId="6ED5A6D0" w14:textId="77777777" w:rsidR="00BA3B4F" w:rsidRDefault="00DC5CC7" w:rsidP="00BA3B4F">
      <w:pPr>
        <w:spacing w:after="0" w:line="240" w:lineRule="auto"/>
        <w:ind w:firstLine="720"/>
        <w:jc w:val="both"/>
        <w:rPr>
          <w:rFonts w:ascii="Times New Roman" w:hAnsi="Times New Roman" w:cs="Times New Roman"/>
          <w:sz w:val="28"/>
          <w:szCs w:val="28"/>
          <w:lang w:val="en-US"/>
        </w:rPr>
      </w:pPr>
      <w:r w:rsidRPr="00FE196C">
        <w:rPr>
          <w:rFonts w:ascii="Times New Roman" w:hAnsi="Times New Roman" w:cs="Times New Roman"/>
          <w:sz w:val="28"/>
          <w:szCs w:val="28"/>
          <w:lang w:val="en-US"/>
        </w:rPr>
        <w:t xml:space="preserve">5) average citation UIC topic per year </w:t>
      </w:r>
    </w:p>
    <w:p w14:paraId="423359E3" w14:textId="77777777" w:rsidR="00BA3B4F" w:rsidRDefault="00DC5CC7" w:rsidP="00BA3B4F">
      <w:pPr>
        <w:spacing w:after="0" w:line="240" w:lineRule="auto"/>
        <w:ind w:firstLine="720"/>
        <w:jc w:val="both"/>
        <w:rPr>
          <w:rFonts w:ascii="Times New Roman" w:hAnsi="Times New Roman" w:cs="Times New Roman"/>
          <w:sz w:val="28"/>
          <w:szCs w:val="28"/>
          <w:lang w:val="en-US"/>
        </w:rPr>
      </w:pPr>
      <w:r w:rsidRPr="00FE196C">
        <w:rPr>
          <w:rFonts w:ascii="Times New Roman" w:hAnsi="Times New Roman" w:cs="Times New Roman"/>
          <w:sz w:val="28"/>
          <w:szCs w:val="28"/>
          <w:lang w:val="en-US"/>
        </w:rPr>
        <w:t xml:space="preserve">6) Analysis of keywords on trending topics of UIC </w:t>
      </w:r>
    </w:p>
    <w:p w14:paraId="0E51EB94" w14:textId="3EF46E2C" w:rsidR="00DC5CC7" w:rsidRPr="00BA3B4F" w:rsidRDefault="00DC5CC7" w:rsidP="00BA3B4F">
      <w:pPr>
        <w:spacing w:after="0" w:line="240" w:lineRule="auto"/>
        <w:ind w:firstLine="720"/>
        <w:jc w:val="both"/>
        <w:rPr>
          <w:rFonts w:ascii="Times New Roman" w:eastAsia="Times New Roman" w:hAnsi="Times New Roman" w:cs="Times New Roman"/>
          <w:sz w:val="28"/>
          <w:szCs w:val="28"/>
          <w:lang w:val="en-US"/>
        </w:rPr>
      </w:pPr>
      <w:r w:rsidRPr="00FE196C">
        <w:rPr>
          <w:rFonts w:ascii="Times New Roman" w:hAnsi="Times New Roman" w:cs="Times New Roman"/>
          <w:sz w:val="28"/>
          <w:szCs w:val="28"/>
          <w:lang w:val="en-US"/>
        </w:rPr>
        <w:t>7) Tree map of the most frequent words used in UIC research topic Globally.</w:t>
      </w:r>
    </w:p>
    <w:p w14:paraId="77C754C5" w14:textId="77777777" w:rsidR="00DC5CC7"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However, in the context of Kazakhstan region </w:t>
      </w:r>
    </w:p>
    <w:p w14:paraId="3038FCC8" w14:textId="77777777" w:rsidR="00FE196C"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 Annual scientific production of UIC topic in Kazakhstan</w:t>
      </w:r>
      <w:r>
        <w:rPr>
          <w:rFonts w:ascii="Times New Roman" w:eastAsia="Times New Roman" w:hAnsi="Times New Roman" w:cs="Times New Roman"/>
          <w:sz w:val="28"/>
          <w:szCs w:val="28"/>
          <w:lang w:val="en-US"/>
        </w:rPr>
        <w:t>;</w:t>
      </w:r>
    </w:p>
    <w:p w14:paraId="27531999" w14:textId="29D6CB10" w:rsidR="00DC5CC7"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2)</w:t>
      </w:r>
      <w:r w:rsidR="00FE196C" w:rsidRPr="00FE196C">
        <w:rPr>
          <w:rFonts w:ascii="Times New Roman" w:eastAsia="Times New Roman" w:hAnsi="Times New Roman" w:cs="Times New Roman"/>
          <w:sz w:val="28"/>
          <w:szCs w:val="28"/>
          <w:lang w:val="en-US"/>
        </w:rPr>
        <w:t xml:space="preserve"> </w:t>
      </w:r>
      <w:r w:rsidRPr="00244343">
        <w:rPr>
          <w:rFonts w:ascii="Times New Roman" w:eastAsia="Times New Roman" w:hAnsi="Times New Roman" w:cs="Times New Roman"/>
          <w:sz w:val="28"/>
          <w:szCs w:val="28"/>
          <w:lang w:val="en-US"/>
        </w:rPr>
        <w:t>A tree map of the most frequent words used in UIC research topic of</w:t>
      </w:r>
      <w:r w:rsidR="00FE196C" w:rsidRPr="00FE196C">
        <w:rPr>
          <w:rFonts w:ascii="Times New Roman" w:eastAsia="Times New Roman" w:hAnsi="Times New Roman" w:cs="Times New Roman"/>
          <w:sz w:val="28"/>
          <w:szCs w:val="28"/>
          <w:lang w:val="en-US"/>
        </w:rPr>
        <w:t xml:space="preserve"> </w:t>
      </w:r>
      <w:r w:rsidRPr="00244343">
        <w:rPr>
          <w:rFonts w:ascii="Times New Roman" w:eastAsia="Times New Roman" w:hAnsi="Times New Roman" w:cs="Times New Roman"/>
          <w:sz w:val="28"/>
          <w:szCs w:val="28"/>
          <w:lang w:val="en-US"/>
        </w:rPr>
        <w:t>Kazakhstan</w:t>
      </w:r>
      <w:r>
        <w:rPr>
          <w:rFonts w:ascii="Times New Roman" w:eastAsia="Times New Roman" w:hAnsi="Times New Roman" w:cs="Times New Roman"/>
          <w:sz w:val="28"/>
          <w:szCs w:val="28"/>
          <w:lang w:val="en-US"/>
        </w:rPr>
        <w:t>;</w:t>
      </w:r>
    </w:p>
    <w:p w14:paraId="3A09C45F" w14:textId="77777777" w:rsidR="00DC5CC7"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3) Analysis of keywords on trending topics of UIC in Kazakhstan</w:t>
      </w:r>
      <w:r>
        <w:rPr>
          <w:rFonts w:ascii="Times New Roman" w:eastAsia="Times New Roman" w:hAnsi="Times New Roman" w:cs="Times New Roman"/>
          <w:sz w:val="28"/>
          <w:szCs w:val="28"/>
          <w:lang w:val="en-US"/>
        </w:rPr>
        <w:t>;</w:t>
      </w:r>
      <w:r w:rsidRPr="00244343">
        <w:rPr>
          <w:rFonts w:ascii="Times New Roman" w:eastAsia="Times New Roman" w:hAnsi="Times New Roman" w:cs="Times New Roman"/>
          <w:sz w:val="28"/>
          <w:szCs w:val="28"/>
          <w:lang w:val="en-US"/>
        </w:rPr>
        <w:t xml:space="preserve"> </w:t>
      </w:r>
    </w:p>
    <w:p w14:paraId="23BF366C" w14:textId="77777777" w:rsidR="00DC5CC7"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4) Co-occurrence network of UIC in Kazakhstan research articles </w:t>
      </w:r>
    </w:p>
    <w:p w14:paraId="799792C4" w14:textId="77777777" w:rsidR="00DC5CC7"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5) Thematic map of UIC in Kazakhstan research articles. </w:t>
      </w:r>
    </w:p>
    <w:p w14:paraId="46E6589F" w14:textId="0CA88142" w:rsidR="00DC5CC7" w:rsidRDefault="00DC5CC7" w:rsidP="00DC5CC7">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Factorial analysis of UIC topic in the context of Kazakhstan.</w:t>
      </w:r>
    </w:p>
    <w:p w14:paraId="37737581" w14:textId="77777777" w:rsidR="00572945" w:rsidRPr="00244343" w:rsidRDefault="00572945" w:rsidP="00DC5CC7">
      <w:pPr>
        <w:spacing w:after="0" w:line="240" w:lineRule="auto"/>
        <w:ind w:firstLine="720"/>
        <w:jc w:val="both"/>
        <w:rPr>
          <w:rFonts w:ascii="Times New Roman" w:eastAsia="Times New Roman" w:hAnsi="Times New Roman" w:cs="Times New Roman"/>
          <w:sz w:val="28"/>
          <w:szCs w:val="28"/>
          <w:lang w:val="en-US"/>
        </w:rPr>
      </w:pPr>
    </w:p>
    <w:p w14:paraId="4B8D4FE4" w14:textId="77777777" w:rsidR="00DC5CC7" w:rsidRDefault="00DC5CC7" w:rsidP="004B3CDB">
      <w:pPr>
        <w:spacing w:after="0" w:line="240" w:lineRule="auto"/>
        <w:contextualSpacing/>
        <w:jc w:val="center"/>
        <w:rPr>
          <w:rFonts w:ascii="Times New Roman" w:eastAsia="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163FD481" wp14:editId="624E34B6">
            <wp:extent cx="5977255" cy="3070747"/>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31856" cy="3201545"/>
                    </a:xfrm>
                    <a:prstGeom prst="rect">
                      <a:avLst/>
                    </a:prstGeom>
                  </pic:spPr>
                </pic:pic>
              </a:graphicData>
            </a:graphic>
          </wp:inline>
        </w:drawing>
      </w:r>
    </w:p>
    <w:p w14:paraId="243B56BF" w14:textId="77777777" w:rsidR="00572945" w:rsidRDefault="00572945" w:rsidP="00DC5CC7">
      <w:pPr>
        <w:spacing w:after="0" w:line="240" w:lineRule="auto"/>
        <w:ind w:firstLine="720"/>
        <w:jc w:val="center"/>
        <w:rPr>
          <w:rFonts w:ascii="Times New Roman" w:eastAsia="Times New Roman" w:hAnsi="Times New Roman" w:cs="Times New Roman"/>
          <w:sz w:val="28"/>
          <w:szCs w:val="28"/>
          <w:lang w:val="en-US"/>
        </w:rPr>
      </w:pPr>
    </w:p>
    <w:p w14:paraId="0E691228" w14:textId="6B688821" w:rsidR="00DC5CC7" w:rsidRPr="00244343" w:rsidRDefault="00DC5CC7" w:rsidP="00DC5CC7">
      <w:pPr>
        <w:spacing w:after="0" w:line="240" w:lineRule="auto"/>
        <w:ind w:firstLine="720"/>
        <w:jc w:val="center"/>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Figure 11 - Thematic evolution of “University-Industry Collaboration”</w:t>
      </w:r>
    </w:p>
    <w:p w14:paraId="6FEA369C" w14:textId="77777777" w:rsidR="00DC5CC7" w:rsidRPr="00244343" w:rsidRDefault="00DC5CC7" w:rsidP="00DC5CC7">
      <w:pPr>
        <w:spacing w:after="0" w:line="240" w:lineRule="auto"/>
        <w:ind w:firstLine="720"/>
        <w:jc w:val="center"/>
        <w:rPr>
          <w:rFonts w:ascii="Times New Roman" w:eastAsia="Times New Roman" w:hAnsi="Times New Roman" w:cs="Times New Roman"/>
          <w:sz w:val="28"/>
          <w:szCs w:val="28"/>
          <w:lang w:val="en-US"/>
        </w:rPr>
      </w:pPr>
    </w:p>
    <w:p w14:paraId="6EBB5C77" w14:textId="6D732AC8" w:rsidR="00DC5CC7" w:rsidRDefault="00DC5CC7" w:rsidP="008838AE">
      <w:pPr>
        <w:spacing w:after="0" w:line="240" w:lineRule="auto"/>
        <w:ind w:firstLine="709"/>
        <w:contextualSpacing/>
        <w:rPr>
          <w:rFonts w:ascii="Times New Roman" w:hAnsi="Times New Roman" w:cs="Times New Roman"/>
          <w:sz w:val="24"/>
          <w:szCs w:val="24"/>
          <w:lang w:val="en-US"/>
        </w:rPr>
      </w:pPr>
      <w:r w:rsidRPr="002D427D">
        <w:rPr>
          <w:rFonts w:ascii="Times New Roman" w:hAnsi="Times New Roman" w:cs="Times New Roman"/>
          <w:sz w:val="24"/>
          <w:szCs w:val="24"/>
          <w:lang w:val="en-US"/>
        </w:rPr>
        <w:t>Note – Compiled by author based on [9]</w:t>
      </w:r>
    </w:p>
    <w:p w14:paraId="763D3D07" w14:textId="77777777" w:rsidR="007836DB" w:rsidRPr="008838AE" w:rsidRDefault="007836DB" w:rsidP="008838AE">
      <w:pPr>
        <w:spacing w:after="0" w:line="240" w:lineRule="auto"/>
        <w:ind w:firstLine="709"/>
        <w:contextualSpacing/>
        <w:rPr>
          <w:rFonts w:ascii="Times New Roman" w:hAnsi="Times New Roman" w:cs="Times New Roman"/>
          <w:sz w:val="24"/>
          <w:szCs w:val="24"/>
          <w:lang w:val="en-US"/>
        </w:rPr>
      </w:pPr>
    </w:p>
    <w:p w14:paraId="24A9B657" w14:textId="11372E99" w:rsidR="00033BD6" w:rsidRPr="00244343" w:rsidRDefault="00DC5CC7" w:rsidP="00DC5CC7">
      <w:pPr>
        <w:spacing w:after="0" w:line="240" w:lineRule="auto"/>
        <w:ind w:firstLine="720"/>
        <w:jc w:val="both"/>
        <w:rPr>
          <w:rFonts w:ascii="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The dataset results exported for Kazakhstan from Web of Science for further analysis are as following: 14 results (as seen in figure 11), no thematic evolution performed by </w:t>
      </w:r>
      <w:proofErr w:type="spellStart"/>
      <w:r w:rsidRPr="00244343">
        <w:rPr>
          <w:rFonts w:ascii="Times New Roman" w:eastAsia="Times New Roman" w:hAnsi="Times New Roman" w:cs="Times New Roman"/>
          <w:sz w:val="28"/>
          <w:szCs w:val="28"/>
          <w:lang w:val="en-US"/>
        </w:rPr>
        <w:t>biblioshiny</w:t>
      </w:r>
      <w:proofErr w:type="spellEnd"/>
      <w:r w:rsidRPr="00244343">
        <w:rPr>
          <w:rFonts w:ascii="Times New Roman" w:eastAsia="Times New Roman" w:hAnsi="Times New Roman" w:cs="Times New Roman"/>
          <w:sz w:val="28"/>
          <w:szCs w:val="28"/>
          <w:lang w:val="en-US"/>
        </w:rPr>
        <w:t xml:space="preserve"> due to limited documents</w:t>
      </w:r>
      <w:r w:rsidRPr="00244343">
        <w:rPr>
          <w:rFonts w:ascii="Times New Roman" w:hAnsi="Times New Roman" w:cs="Times New Roman"/>
          <w:sz w:val="28"/>
          <w:szCs w:val="28"/>
          <w:lang w:val="en-US"/>
        </w:rPr>
        <w:t xml:space="preserve"> results to analyze.  Figure 10 demonstrates that the topic evolution of the UIC globally from 1978 to 2024 is </w:t>
      </w:r>
      <w:r w:rsidRPr="00244343">
        <w:rPr>
          <w:rFonts w:ascii="Times New Roman" w:hAnsi="Times New Roman" w:cs="Times New Roman"/>
          <w:sz w:val="28"/>
          <w:szCs w:val="28"/>
          <w:lang w:val="en-US"/>
        </w:rPr>
        <w:lastRenderedPageBreak/>
        <w:t xml:space="preserve">divided into 6 slide cut points. Fewer cutting points delude the results and mix the keywords more heavily. Although the year span of the first field slide reveals a 33-year cutting point, the database has fewer articles for that time than the later decades. As one can note, the term </w:t>
      </w:r>
      <w:r>
        <w:rPr>
          <w:rFonts w:ascii="Times New Roman" w:hAnsi="Times New Roman" w:cs="Times New Roman"/>
          <w:sz w:val="28"/>
          <w:szCs w:val="28"/>
          <w:lang w:val="en-US"/>
        </w:rPr>
        <w:t>“</w:t>
      </w:r>
      <w:r w:rsidRPr="00244343">
        <w:rPr>
          <w:rFonts w:ascii="Times New Roman" w:hAnsi="Times New Roman" w:cs="Times New Roman"/>
          <w:sz w:val="28"/>
          <w:szCs w:val="28"/>
          <w:lang w:val="en-US"/>
        </w:rPr>
        <w:t>University-Industry Collaboration worldwide</w:t>
      </w:r>
      <w:r>
        <w:rPr>
          <w:rFonts w:ascii="Times New Roman" w:hAnsi="Times New Roman" w:cs="Times New Roman"/>
          <w:sz w:val="28"/>
          <w:szCs w:val="28"/>
          <w:lang w:val="en-US"/>
        </w:rPr>
        <w:t>”</w:t>
      </w:r>
      <w:r w:rsidRPr="00244343">
        <w:rPr>
          <w:rFonts w:ascii="Times New Roman" w:hAnsi="Times New Roman" w:cs="Times New Roman"/>
          <w:sz w:val="28"/>
          <w:szCs w:val="28"/>
          <w:lang w:val="en-US"/>
        </w:rPr>
        <w:t xml:space="preserve"> has always been employed, and no term involving the Triple Helix Model among research publications keywords has been employed up to the 2019 field slide. University-industry collaboration remains highly discussed throughout all cutting points. However, "collaboration" has broadened its usage in various ways, such as UI cooperation, linkages, interaction, and relations from 2019 to 2020. It shows the </w:t>
      </w:r>
      <w:proofErr w:type="spellStart"/>
      <w:r w:rsidRPr="00244343">
        <w:rPr>
          <w:rFonts w:ascii="Times New Roman" w:hAnsi="Times New Roman" w:cs="Times New Roman"/>
          <w:sz w:val="28"/>
          <w:szCs w:val="28"/>
          <w:lang w:val="en-US"/>
        </w:rPr>
        <w:t>multifacetedness</w:t>
      </w:r>
      <w:proofErr w:type="spellEnd"/>
      <w:r w:rsidRPr="00244343">
        <w:rPr>
          <w:rFonts w:ascii="Times New Roman" w:hAnsi="Times New Roman" w:cs="Times New Roman"/>
          <w:sz w:val="28"/>
          <w:szCs w:val="28"/>
          <w:lang w:val="en-US"/>
        </w:rPr>
        <w:t xml:space="preserve"> and wide usage of the term across different disciplines. The importance of entrepreneurship was underscored from 2012 to 2015 sliding field, revealing that more research publications started </w:t>
      </w:r>
      <w:proofErr w:type="spellStart"/>
      <w:r w:rsidRPr="00244343">
        <w:rPr>
          <w:rFonts w:ascii="Times New Roman" w:hAnsi="Times New Roman" w:cs="Times New Roman"/>
          <w:sz w:val="28"/>
          <w:szCs w:val="28"/>
          <w:lang w:val="en-US"/>
        </w:rPr>
        <w:t>utilising</w:t>
      </w:r>
      <w:proofErr w:type="spellEnd"/>
      <w:r w:rsidRPr="00244343">
        <w:rPr>
          <w:rFonts w:ascii="Times New Roman" w:hAnsi="Times New Roman" w:cs="Times New Roman"/>
          <w:sz w:val="28"/>
          <w:szCs w:val="28"/>
          <w:lang w:val="en-US"/>
        </w:rPr>
        <w:t xml:space="preserve"> this term from 2012. Across the time slides, new terms, Triple Helix, Management, and barriers emerged from 2019, proving this work's significance. </w:t>
      </w:r>
    </w:p>
    <w:p w14:paraId="5F37B52D" w14:textId="77777777" w:rsidR="00330FC2" w:rsidRDefault="00330FC2" w:rsidP="00DC5CC7">
      <w:pPr>
        <w:spacing w:after="0" w:line="240" w:lineRule="auto"/>
        <w:contextualSpacing/>
        <w:jc w:val="both"/>
        <w:rPr>
          <w:rFonts w:ascii="Times New Roman" w:hAnsi="Times New Roman" w:cs="Times New Roman"/>
          <w:noProof/>
          <w:sz w:val="28"/>
          <w:szCs w:val="28"/>
          <w:lang w:val="en-US" w:eastAsia="ru-RU"/>
        </w:rPr>
      </w:pPr>
    </w:p>
    <w:p w14:paraId="727E89BD" w14:textId="23ADD7AC" w:rsidR="00DC5CC7" w:rsidRPr="00244343" w:rsidRDefault="00DC5CC7" w:rsidP="004B3CDB">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7B9F4AFD" wp14:editId="617A9A20">
            <wp:extent cx="5963686" cy="641267"/>
            <wp:effectExtent l="0" t="0" r="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45502" cy="703829"/>
                    </a:xfrm>
                    <a:prstGeom prst="rect">
                      <a:avLst/>
                    </a:prstGeom>
                  </pic:spPr>
                </pic:pic>
              </a:graphicData>
            </a:graphic>
          </wp:inline>
        </w:drawing>
      </w:r>
    </w:p>
    <w:p w14:paraId="7B76FBFC" w14:textId="77777777" w:rsidR="00DC5CC7" w:rsidRDefault="00DC5CC7" w:rsidP="00DC5CC7">
      <w:pPr>
        <w:spacing w:after="0" w:line="240" w:lineRule="auto"/>
        <w:ind w:firstLine="720"/>
        <w:jc w:val="center"/>
        <w:rPr>
          <w:rFonts w:ascii="Times New Roman" w:eastAsia="Times New Roman" w:hAnsi="Times New Roman" w:cs="Times New Roman"/>
          <w:sz w:val="28"/>
          <w:szCs w:val="28"/>
          <w:lang w:val="en-US"/>
        </w:rPr>
      </w:pPr>
    </w:p>
    <w:p w14:paraId="1EADFB25" w14:textId="77777777" w:rsidR="00DC5CC7" w:rsidRPr="00244343" w:rsidRDefault="00DC5CC7" w:rsidP="00DC5CC7">
      <w:pPr>
        <w:spacing w:after="0" w:line="240" w:lineRule="auto"/>
        <w:ind w:firstLine="720"/>
        <w:jc w:val="center"/>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Figure 12 - Main information about UIC topic development search in the context of Kazakhstan</w:t>
      </w:r>
    </w:p>
    <w:p w14:paraId="13887304" w14:textId="77777777" w:rsidR="00DC5CC7" w:rsidRPr="00244343" w:rsidRDefault="00DC5CC7" w:rsidP="00DC5CC7">
      <w:pPr>
        <w:spacing w:after="0" w:line="240" w:lineRule="auto"/>
        <w:ind w:firstLine="720"/>
        <w:jc w:val="center"/>
        <w:rPr>
          <w:rFonts w:ascii="Times New Roman" w:eastAsia="Times New Roman" w:hAnsi="Times New Roman" w:cs="Times New Roman"/>
          <w:sz w:val="28"/>
          <w:szCs w:val="28"/>
          <w:lang w:val="en-US"/>
        </w:rPr>
      </w:pPr>
    </w:p>
    <w:p w14:paraId="74B1193F" w14:textId="77777777" w:rsidR="00DC5CC7" w:rsidRPr="002D427D" w:rsidRDefault="00DC5CC7" w:rsidP="002D427D">
      <w:pPr>
        <w:spacing w:after="0" w:line="240" w:lineRule="auto"/>
        <w:ind w:firstLine="709"/>
        <w:contextualSpacing/>
        <w:rPr>
          <w:rFonts w:ascii="Times New Roman" w:hAnsi="Times New Roman" w:cs="Times New Roman"/>
          <w:sz w:val="24"/>
          <w:szCs w:val="24"/>
          <w:lang w:val="en-US"/>
        </w:rPr>
      </w:pPr>
      <w:r w:rsidRPr="002D427D">
        <w:rPr>
          <w:rFonts w:ascii="Times New Roman" w:hAnsi="Times New Roman" w:cs="Times New Roman"/>
          <w:sz w:val="24"/>
          <w:szCs w:val="24"/>
          <w:lang w:val="en-US"/>
        </w:rPr>
        <w:t>Note – Compiled by author based on [9]</w:t>
      </w:r>
    </w:p>
    <w:p w14:paraId="492279F3" w14:textId="77777777" w:rsidR="00DC5CC7" w:rsidRPr="00244343" w:rsidRDefault="00DC5CC7" w:rsidP="00DC5CC7">
      <w:pPr>
        <w:spacing w:after="0" w:line="240" w:lineRule="auto"/>
        <w:ind w:firstLine="720"/>
        <w:jc w:val="both"/>
        <w:rPr>
          <w:rFonts w:ascii="Times New Roman" w:eastAsia="Times New Roman" w:hAnsi="Times New Roman" w:cs="Times New Roman"/>
          <w:sz w:val="28"/>
          <w:szCs w:val="28"/>
          <w:lang w:val="en-US"/>
        </w:rPr>
      </w:pPr>
    </w:p>
    <w:p w14:paraId="4E18B1D5" w14:textId="29201257" w:rsidR="002D427D" w:rsidRDefault="00DC5CC7" w:rsidP="007836DB">
      <w:p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Findings for the 2021-2022 field yield the emergence of Higher Education, performance measurement, knowledge management, and various ways of expressing collaboration apart from 2016-2018: intermediaries, links, and UI research collaborations. The last research time slide, 2023-2024, shows the frequency and importance of Triple Helix, UIC, education, and partnerships engagement. Unfortunately, the software could not achieve the topic evolution analysis due to scarce data provision and limitations in the same field of research publications in Kazakhstan.</w:t>
      </w:r>
    </w:p>
    <w:p w14:paraId="3571D797" w14:textId="2B77A564" w:rsidR="00572945" w:rsidRPr="005F2EFC" w:rsidRDefault="00983482" w:rsidP="005F2EFC">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Figures 13 and 14 represents the longitudinal thematic analysis in clusters (id </w:t>
      </w:r>
      <w:proofErr w:type="spellStart"/>
      <w:r w:rsidRPr="00244343">
        <w:rPr>
          <w:rFonts w:ascii="Times New Roman" w:hAnsi="Times New Roman" w:cs="Times New Roman"/>
          <w:sz w:val="28"/>
          <w:szCs w:val="28"/>
          <w:lang w:val="en-US"/>
        </w:rPr>
        <w:t>est</w:t>
      </w:r>
      <w:proofErr w:type="spellEnd"/>
      <w:r w:rsidRPr="00244343">
        <w:rPr>
          <w:rFonts w:ascii="Times New Roman" w:hAnsi="Times New Roman" w:cs="Times New Roman"/>
          <w:sz w:val="28"/>
          <w:szCs w:val="28"/>
          <w:lang w:val="en-US"/>
        </w:rPr>
        <w:t xml:space="preserve"> bubbles). Each bubble signifies a network cluster. The bubble names are terms within the cluster with a greater frequency value. The bubble size corresponds to the frequency of word occurrences within the cluster. The bubble position is determined by the cluster's </w:t>
      </w:r>
      <w:proofErr w:type="spellStart"/>
      <w:r w:rsidRPr="00244343">
        <w:rPr>
          <w:rFonts w:ascii="Times New Roman" w:hAnsi="Times New Roman" w:cs="Times New Roman"/>
          <w:sz w:val="28"/>
          <w:szCs w:val="28"/>
          <w:lang w:val="en-US"/>
        </w:rPr>
        <w:t>Callon</w:t>
      </w:r>
      <w:proofErr w:type="spellEnd"/>
      <w:r w:rsidRPr="00244343">
        <w:rPr>
          <w:rFonts w:ascii="Times New Roman" w:hAnsi="Times New Roman" w:cs="Times New Roman"/>
          <w:sz w:val="28"/>
          <w:szCs w:val="28"/>
          <w:lang w:val="en-US"/>
        </w:rPr>
        <w:t xml:space="preserve"> centrality and density.  Thematic clusters in basic themes map on a global scale are cooperation management model and innovation knowledge performance. These clusters show low development of the topic but outmost relevance; however, emerging topics are Higher Education, students, work, communication and patents keywords bubbles, which proves the importance of the current study if it is emerging and developed, but not declining.  Moreover, it demonstrates the urge for further research work in the future. </w:t>
      </w:r>
    </w:p>
    <w:p w14:paraId="2D8C7B18" w14:textId="77777777" w:rsidR="00DC5CC7" w:rsidRPr="00244343" w:rsidRDefault="00DC5CC7" w:rsidP="004B3CDB">
      <w:pPr>
        <w:spacing w:line="240" w:lineRule="auto"/>
        <w:jc w:val="center"/>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lastRenderedPageBreak/>
        <w:drawing>
          <wp:inline distT="0" distB="0" distL="0" distR="0" wp14:anchorId="69C0348F" wp14:editId="01C49EDD">
            <wp:extent cx="5869471" cy="23869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49006" cy="2459952"/>
                    </a:xfrm>
                    <a:prstGeom prst="rect">
                      <a:avLst/>
                    </a:prstGeom>
                  </pic:spPr>
                </pic:pic>
              </a:graphicData>
            </a:graphic>
          </wp:inline>
        </w:drawing>
      </w:r>
    </w:p>
    <w:p w14:paraId="0FB2A67D" w14:textId="77777777" w:rsidR="00572945" w:rsidRDefault="00572945" w:rsidP="00DC5CC7">
      <w:pPr>
        <w:spacing w:after="0" w:line="240" w:lineRule="auto"/>
        <w:ind w:firstLine="720"/>
        <w:jc w:val="center"/>
        <w:rPr>
          <w:rFonts w:ascii="Times New Roman" w:hAnsi="Times New Roman" w:cs="Times New Roman"/>
          <w:sz w:val="28"/>
          <w:szCs w:val="28"/>
          <w:lang w:val="en-US"/>
        </w:rPr>
      </w:pPr>
    </w:p>
    <w:p w14:paraId="015B0EFB" w14:textId="4A1E83CA" w:rsidR="00DC5CC7" w:rsidRPr="00244343" w:rsidRDefault="00DC5CC7" w:rsidP="00DC5CC7">
      <w:pPr>
        <w:spacing w:after="0" w:line="240" w:lineRule="auto"/>
        <w:ind w:firstLine="720"/>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13 - Longitudinal thematic clusters map of UIC: globally</w:t>
      </w:r>
    </w:p>
    <w:p w14:paraId="1D5A5CB2" w14:textId="77777777" w:rsidR="00DC5CC7" w:rsidRPr="00244343" w:rsidRDefault="00DC5CC7" w:rsidP="00DC5CC7">
      <w:pPr>
        <w:spacing w:after="0" w:line="240" w:lineRule="auto"/>
        <w:ind w:firstLine="720"/>
        <w:jc w:val="center"/>
        <w:rPr>
          <w:rFonts w:ascii="Times New Roman" w:hAnsi="Times New Roman" w:cs="Times New Roman"/>
          <w:sz w:val="28"/>
          <w:szCs w:val="28"/>
          <w:lang w:val="en-US"/>
        </w:rPr>
      </w:pPr>
    </w:p>
    <w:p w14:paraId="09E8A9B7" w14:textId="6CBA6122" w:rsidR="002D427D" w:rsidRPr="000E56D8" w:rsidRDefault="00DC5CC7" w:rsidP="000E56D8">
      <w:pPr>
        <w:spacing w:after="0" w:line="240" w:lineRule="auto"/>
        <w:ind w:firstLine="709"/>
        <w:contextualSpacing/>
        <w:rPr>
          <w:rFonts w:ascii="Times New Roman" w:hAnsi="Times New Roman" w:cs="Times New Roman"/>
          <w:sz w:val="24"/>
          <w:szCs w:val="24"/>
          <w:lang w:val="en-US"/>
        </w:rPr>
      </w:pPr>
      <w:r w:rsidRPr="002D427D">
        <w:rPr>
          <w:rFonts w:ascii="Times New Roman" w:hAnsi="Times New Roman" w:cs="Times New Roman"/>
          <w:sz w:val="24"/>
          <w:szCs w:val="24"/>
          <w:lang w:val="en-US"/>
        </w:rPr>
        <w:t>Note – Compiled by author based on [9]</w:t>
      </w:r>
    </w:p>
    <w:p w14:paraId="3F27DC74" w14:textId="2810A574" w:rsidR="00572945" w:rsidRDefault="00572945" w:rsidP="004B3CDB">
      <w:pPr>
        <w:spacing w:after="0" w:line="240" w:lineRule="auto"/>
        <w:ind w:firstLine="720"/>
        <w:jc w:val="both"/>
        <w:rPr>
          <w:rFonts w:ascii="Times New Roman" w:hAnsi="Times New Roman" w:cs="Times New Roman"/>
          <w:sz w:val="28"/>
          <w:szCs w:val="28"/>
          <w:lang w:val="en-US"/>
        </w:rPr>
      </w:pPr>
    </w:p>
    <w:p w14:paraId="360BAA26" w14:textId="77777777" w:rsidR="005F2EFC" w:rsidRPr="004B3CDB" w:rsidRDefault="005F2EFC" w:rsidP="005F2EFC">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Figure 14 depicts the thematic clusters in Kazakhstan out of the UIC keyword.  It shows that systematic analysis, health, trends topic frequencies low developed but very relevant; however, “collaboration and knowledge” are centralized as emerging and niche themes id </w:t>
      </w:r>
      <w:proofErr w:type="spellStart"/>
      <w:r w:rsidRPr="00244343">
        <w:rPr>
          <w:rFonts w:ascii="Times New Roman" w:hAnsi="Times New Roman" w:cs="Times New Roman"/>
          <w:sz w:val="28"/>
          <w:szCs w:val="28"/>
          <w:lang w:val="en-US"/>
        </w:rPr>
        <w:t>est</w:t>
      </w:r>
      <w:proofErr w:type="spellEnd"/>
      <w:r w:rsidRPr="00244343">
        <w:rPr>
          <w:rFonts w:ascii="Times New Roman" w:hAnsi="Times New Roman" w:cs="Times New Roman"/>
          <w:sz w:val="28"/>
          <w:szCs w:val="28"/>
          <w:lang w:val="en-US"/>
        </w:rPr>
        <w:t xml:space="preserve"> poorly developed) for Kazakhstan, which proves the significance of the current study for region. Utilizing a clustering method on the keyword network enables the identification of distinct themes within a specific topic. Each cluster or topic can be depicted on a specific plot as a Strategic or Thematic map [</w:t>
      </w:r>
      <w:r>
        <w:rPr>
          <w:rFonts w:ascii="Times New Roman" w:hAnsi="Times New Roman" w:cs="Times New Roman"/>
          <w:sz w:val="28"/>
          <w:szCs w:val="28"/>
          <w:lang w:val="en-US"/>
        </w:rPr>
        <w:t>99</w:t>
      </w:r>
      <w:r w:rsidRPr="00244343">
        <w:rPr>
          <w:rFonts w:ascii="Times New Roman" w:hAnsi="Times New Roman" w:cs="Times New Roman"/>
          <w:sz w:val="28"/>
          <w:szCs w:val="28"/>
          <w:lang w:val="en-US"/>
        </w:rPr>
        <w:t>]. Centrality quantifies the significance of the theme, and density quantifies the progression of the subject.</w:t>
      </w:r>
    </w:p>
    <w:p w14:paraId="21A8087E" w14:textId="77777777" w:rsidR="005F2EFC" w:rsidRPr="00244343" w:rsidRDefault="005F2EFC" w:rsidP="004B3CDB">
      <w:pPr>
        <w:spacing w:after="0" w:line="240" w:lineRule="auto"/>
        <w:ind w:firstLine="720"/>
        <w:jc w:val="both"/>
        <w:rPr>
          <w:rFonts w:ascii="Times New Roman" w:hAnsi="Times New Roman" w:cs="Times New Roman"/>
          <w:sz w:val="28"/>
          <w:szCs w:val="28"/>
          <w:lang w:val="en-US"/>
        </w:rPr>
      </w:pPr>
    </w:p>
    <w:p w14:paraId="0FA1623A" w14:textId="0CE3FCE9" w:rsidR="00572945" w:rsidRPr="00244343" w:rsidRDefault="00DC5CC7" w:rsidP="00572945">
      <w:pPr>
        <w:spacing w:line="240" w:lineRule="auto"/>
        <w:jc w:val="center"/>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4CB419A9" wp14:editId="02E98303">
            <wp:extent cx="5804535" cy="2715904"/>
            <wp:effectExtent l="0" t="0" r="5715"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84209" cy="2799972"/>
                    </a:xfrm>
                    <a:prstGeom prst="rect">
                      <a:avLst/>
                    </a:prstGeom>
                  </pic:spPr>
                </pic:pic>
              </a:graphicData>
            </a:graphic>
          </wp:inline>
        </w:drawing>
      </w:r>
    </w:p>
    <w:p w14:paraId="01013763" w14:textId="77777777" w:rsidR="00572945" w:rsidRDefault="00572945" w:rsidP="00572945">
      <w:pPr>
        <w:spacing w:after="0" w:line="240" w:lineRule="auto"/>
        <w:ind w:firstLine="720"/>
        <w:jc w:val="both"/>
        <w:rPr>
          <w:rFonts w:ascii="Times New Roman" w:hAnsi="Times New Roman" w:cs="Times New Roman"/>
          <w:sz w:val="28"/>
          <w:szCs w:val="28"/>
          <w:lang w:val="en-US"/>
        </w:rPr>
      </w:pPr>
    </w:p>
    <w:p w14:paraId="25B8B7DA" w14:textId="216A2B06" w:rsidR="00DC5CC7" w:rsidRPr="00244343" w:rsidRDefault="00DC5CC7" w:rsidP="00572945">
      <w:pPr>
        <w:spacing w:after="0" w:line="240" w:lineRule="auto"/>
        <w:ind w:firstLine="720"/>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14 - Longitudinal thematic clusters map of UIC: Kazakhstan</w:t>
      </w:r>
    </w:p>
    <w:p w14:paraId="3A71DFF7" w14:textId="77777777" w:rsidR="00DC5CC7" w:rsidRPr="00244343" w:rsidRDefault="00DC5CC7" w:rsidP="00572945">
      <w:pPr>
        <w:spacing w:after="0" w:line="240" w:lineRule="auto"/>
        <w:ind w:firstLine="720"/>
        <w:jc w:val="both"/>
        <w:rPr>
          <w:rFonts w:ascii="Times New Roman" w:hAnsi="Times New Roman" w:cs="Times New Roman"/>
          <w:sz w:val="28"/>
          <w:szCs w:val="28"/>
          <w:lang w:val="en-US"/>
        </w:rPr>
      </w:pPr>
    </w:p>
    <w:p w14:paraId="60EFD6E3" w14:textId="5353B0D4" w:rsidR="005F2EFC" w:rsidRPr="005F2EFC" w:rsidRDefault="00DC5CC7" w:rsidP="006B6DAC">
      <w:pPr>
        <w:spacing w:after="0" w:line="240" w:lineRule="auto"/>
        <w:ind w:firstLine="720"/>
        <w:jc w:val="both"/>
        <w:rPr>
          <w:rFonts w:ascii="Times New Roman" w:hAnsi="Times New Roman" w:cs="Times New Roman"/>
          <w:sz w:val="24"/>
          <w:szCs w:val="24"/>
          <w:lang w:val="en-US"/>
        </w:rPr>
      </w:pPr>
      <w:r w:rsidRPr="00572945">
        <w:rPr>
          <w:rFonts w:ascii="Times New Roman" w:hAnsi="Times New Roman" w:cs="Times New Roman"/>
          <w:sz w:val="24"/>
          <w:szCs w:val="24"/>
          <w:lang w:val="en-US"/>
        </w:rPr>
        <w:t>Note – Compiled by author based on [9]</w:t>
      </w:r>
    </w:p>
    <w:p w14:paraId="302ACAA7" w14:textId="6424AB8E" w:rsidR="00DC5CC7" w:rsidRDefault="00DC5CC7" w:rsidP="00DC5CC7">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lastRenderedPageBreak/>
        <w:t>In co-occurrence network analysis the colors denote the clusters to which each word is assigned. Every cluster can be regarded as a "topic". Co-occurrences can be normalized by employing similarity measures such as Salton's Cosine, Jaccard's Index, Equivalence Index, and Association Strength [</w:t>
      </w:r>
      <w:r w:rsidR="002A6408">
        <w:rPr>
          <w:rFonts w:ascii="Times New Roman" w:hAnsi="Times New Roman" w:cs="Times New Roman"/>
          <w:sz w:val="28"/>
          <w:szCs w:val="28"/>
          <w:lang w:val="en-US"/>
        </w:rPr>
        <w:t>100</w:t>
      </w:r>
      <w:r w:rsidRPr="00244343">
        <w:rPr>
          <w:rFonts w:ascii="Times New Roman" w:hAnsi="Times New Roman" w:cs="Times New Roman"/>
          <w:sz w:val="28"/>
          <w:szCs w:val="28"/>
          <w:lang w:val="en-US"/>
        </w:rPr>
        <w:t>]. Each bubble (vertex) signifies an object (in this instance, each edge corresponds to a word). The size corresponds to the frequency of the items (diagonal elements). The size of the bubbles is proportional to the co-occurrences of items (non-diagonal elements).</w:t>
      </w:r>
    </w:p>
    <w:p w14:paraId="2E0422C1" w14:textId="77777777" w:rsidR="006B6DAC" w:rsidRDefault="006B6DAC" w:rsidP="00DC5CC7">
      <w:pPr>
        <w:spacing w:after="0" w:line="240" w:lineRule="auto"/>
        <w:ind w:firstLine="720"/>
        <w:jc w:val="both"/>
        <w:rPr>
          <w:rFonts w:ascii="Times New Roman" w:hAnsi="Times New Roman" w:cs="Times New Roman"/>
          <w:sz w:val="28"/>
          <w:szCs w:val="28"/>
          <w:lang w:val="en-US"/>
        </w:rPr>
      </w:pPr>
    </w:p>
    <w:p w14:paraId="41CBC6E5" w14:textId="77777777" w:rsidR="004B3CDB" w:rsidRPr="00244343" w:rsidRDefault="004B3CDB" w:rsidP="004B3CDB">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46B7E54A" wp14:editId="5962B234">
            <wp:extent cx="6032704" cy="3275462"/>
            <wp:effectExtent l="0" t="0" r="635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744" t="6730" r="5698" b="5228"/>
                    <a:stretch/>
                  </pic:blipFill>
                  <pic:spPr bwMode="auto">
                    <a:xfrm>
                      <a:off x="0" y="0"/>
                      <a:ext cx="6308563" cy="3425240"/>
                    </a:xfrm>
                    <a:prstGeom prst="rect">
                      <a:avLst/>
                    </a:prstGeom>
                    <a:ln>
                      <a:noFill/>
                    </a:ln>
                    <a:extLst>
                      <a:ext uri="{53640926-AAD7-44D8-BBD7-CCE9431645EC}">
                        <a14:shadowObscured xmlns:a14="http://schemas.microsoft.com/office/drawing/2010/main"/>
                      </a:ext>
                    </a:extLst>
                  </pic:spPr>
                </pic:pic>
              </a:graphicData>
            </a:graphic>
          </wp:inline>
        </w:drawing>
      </w:r>
    </w:p>
    <w:p w14:paraId="7AB81568" w14:textId="77777777" w:rsidR="006B6DAC" w:rsidRDefault="006B6DAC" w:rsidP="004B3CDB">
      <w:pPr>
        <w:spacing w:after="0" w:line="240" w:lineRule="auto"/>
        <w:contextualSpacing/>
        <w:jc w:val="center"/>
        <w:rPr>
          <w:rFonts w:ascii="Times New Roman" w:hAnsi="Times New Roman" w:cs="Times New Roman"/>
          <w:sz w:val="28"/>
          <w:szCs w:val="28"/>
          <w:lang w:val="en-US"/>
        </w:rPr>
      </w:pPr>
    </w:p>
    <w:p w14:paraId="419A11D6" w14:textId="51FC43F4" w:rsidR="004B3CDB" w:rsidRPr="00244343" w:rsidRDefault="004B3CDB" w:rsidP="004B3CDB">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15 - Co-occurrence network of UIC</w:t>
      </w:r>
    </w:p>
    <w:p w14:paraId="4EAB25FE" w14:textId="77777777" w:rsidR="004B3CDB" w:rsidRPr="00244343" w:rsidRDefault="004B3CDB" w:rsidP="004B3CDB">
      <w:pPr>
        <w:spacing w:after="0" w:line="240" w:lineRule="auto"/>
        <w:contextualSpacing/>
        <w:jc w:val="center"/>
        <w:rPr>
          <w:rFonts w:ascii="Times New Roman" w:hAnsi="Times New Roman" w:cs="Times New Roman"/>
          <w:sz w:val="28"/>
          <w:szCs w:val="28"/>
          <w:lang w:val="en-US"/>
        </w:rPr>
      </w:pPr>
    </w:p>
    <w:p w14:paraId="16DD66A7" w14:textId="77777777" w:rsidR="004B3CDB" w:rsidRDefault="004B3CDB" w:rsidP="004B3CDB">
      <w:pPr>
        <w:spacing w:after="0" w:line="240" w:lineRule="auto"/>
        <w:ind w:firstLine="709"/>
        <w:contextualSpacing/>
        <w:rPr>
          <w:rFonts w:ascii="Times New Roman" w:hAnsi="Times New Roman" w:cs="Times New Roman"/>
          <w:sz w:val="24"/>
          <w:szCs w:val="24"/>
          <w:lang w:val="en-US"/>
        </w:rPr>
      </w:pPr>
      <w:r w:rsidRPr="002D427D">
        <w:rPr>
          <w:rFonts w:ascii="Times New Roman" w:hAnsi="Times New Roman" w:cs="Times New Roman"/>
          <w:sz w:val="24"/>
          <w:szCs w:val="24"/>
          <w:lang w:val="en-US"/>
        </w:rPr>
        <w:t>Note – Compiled by author based on [9]</w:t>
      </w:r>
    </w:p>
    <w:p w14:paraId="13CD3089" w14:textId="287DEA65" w:rsidR="004B3CDB" w:rsidRDefault="004B3CDB" w:rsidP="00DC5CC7">
      <w:pPr>
        <w:spacing w:after="0" w:line="240" w:lineRule="auto"/>
        <w:ind w:firstLine="720"/>
        <w:jc w:val="both"/>
        <w:rPr>
          <w:rFonts w:ascii="Times New Roman" w:hAnsi="Times New Roman" w:cs="Times New Roman"/>
          <w:sz w:val="28"/>
          <w:szCs w:val="28"/>
          <w:lang w:val="en-US"/>
        </w:rPr>
      </w:pPr>
    </w:p>
    <w:p w14:paraId="66127AAA" w14:textId="77777777" w:rsidR="005F2EFC" w:rsidRDefault="005F2EFC" w:rsidP="005F2EFC">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Graph theory examines graphs, which are mathematical constructs that represent pairwise relationships among elements. In Science mapping, a network graph is used to represent co-occurrences among bibliographic meta-data. A graph consists of vertices, nodes or points interconnected by edges, referred to as links or lines. A distinction exists between undirected graphs, in which edges connect two vertices symmetrically, and directed graphs, where edges, referred to as arrows, connect two vertices asymmetrically.  </w:t>
      </w:r>
    </w:p>
    <w:p w14:paraId="5785A063" w14:textId="6EC71EF0" w:rsidR="006376AB" w:rsidRDefault="00DC5CC7" w:rsidP="006376AB">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Figure 15 represents the global scale of the co-occurrence network, where innovation is the central topic for the UIC keyword, and performance, knowledge, research, and development are closely linked to innovation. This reveals that the UIC keyword is also of the utmost importance in technology and knowledge transfer studies. While in Kazakhstan context, according to the documents exported (which are only 14) the central topics are collaboration and systematic analysis, the latter one probably due to the method used in these publications and the frequency in mentioning.  The map shows the topic links between innovation and linkages, collaboration.</w:t>
      </w:r>
    </w:p>
    <w:p w14:paraId="1E5113F9" w14:textId="4E494E0F" w:rsidR="006B6DAC" w:rsidRDefault="006B6DAC" w:rsidP="006B6DAC">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lastRenderedPageBreak/>
        <w:t xml:space="preserve">Likewise, network and factorial analysis, a data reduction approach, is beneficial for discovering subfields. Several dimensionality reduction approaches can be employed, including correspondence analysis (CA), multiple correspondence analysis (MCA), multidimensional scaling (MDS), and principal component analysis (PCA). Clustering methods can be applied in both network and factorial analysis. The core idea of factorial methods is to diminish data dimensionality and depict it within a lower-dimensional environment. The closeness of terms reflects shared content. </w:t>
      </w:r>
    </w:p>
    <w:p w14:paraId="6D446818" w14:textId="77777777" w:rsidR="006B6DAC" w:rsidRDefault="006B6DAC" w:rsidP="006B6DAC">
      <w:pPr>
        <w:spacing w:after="0" w:line="240" w:lineRule="auto"/>
        <w:ind w:firstLine="720"/>
        <w:jc w:val="both"/>
        <w:rPr>
          <w:rFonts w:ascii="Times New Roman" w:hAnsi="Times New Roman" w:cs="Times New Roman"/>
          <w:sz w:val="28"/>
          <w:szCs w:val="28"/>
          <w:lang w:val="en-US"/>
        </w:rPr>
      </w:pPr>
    </w:p>
    <w:p w14:paraId="3D224D26" w14:textId="77777777" w:rsidR="006B6DAC" w:rsidRPr="00244343" w:rsidRDefault="006B6DAC" w:rsidP="006B6DAC">
      <w:pPr>
        <w:spacing w:after="0" w:line="240" w:lineRule="auto"/>
        <w:jc w:val="center"/>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57FE3D76" wp14:editId="2A8643BA">
            <wp:extent cx="5920954" cy="2797791"/>
            <wp:effectExtent l="0" t="0" r="381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9809" b="13354"/>
                    <a:stretch/>
                  </pic:blipFill>
                  <pic:spPr bwMode="auto">
                    <a:xfrm>
                      <a:off x="0" y="0"/>
                      <a:ext cx="6237651" cy="2947438"/>
                    </a:xfrm>
                    <a:prstGeom prst="rect">
                      <a:avLst/>
                    </a:prstGeom>
                    <a:ln>
                      <a:noFill/>
                    </a:ln>
                    <a:extLst>
                      <a:ext uri="{53640926-AAD7-44D8-BBD7-CCE9431645EC}">
                        <a14:shadowObscured xmlns:a14="http://schemas.microsoft.com/office/drawing/2010/main"/>
                      </a:ext>
                    </a:extLst>
                  </pic:spPr>
                </pic:pic>
              </a:graphicData>
            </a:graphic>
          </wp:inline>
        </w:drawing>
      </w:r>
    </w:p>
    <w:p w14:paraId="67F68577" w14:textId="77777777" w:rsidR="006B6DAC" w:rsidRDefault="006B6DAC" w:rsidP="006B6DAC">
      <w:pPr>
        <w:spacing w:after="0" w:line="240" w:lineRule="auto"/>
        <w:ind w:firstLine="720"/>
        <w:jc w:val="center"/>
        <w:rPr>
          <w:rFonts w:ascii="Times New Roman" w:hAnsi="Times New Roman" w:cs="Times New Roman"/>
          <w:sz w:val="28"/>
          <w:szCs w:val="28"/>
          <w:lang w:val="en-US"/>
        </w:rPr>
      </w:pPr>
    </w:p>
    <w:p w14:paraId="776B1E30" w14:textId="77777777" w:rsidR="006B6DAC" w:rsidRPr="00244343" w:rsidRDefault="006B6DAC" w:rsidP="006B6DAC">
      <w:pPr>
        <w:spacing w:after="0" w:line="240" w:lineRule="auto"/>
        <w:ind w:firstLine="720"/>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16 - Co-occurrence network of UIC in Kazakhstan</w:t>
      </w:r>
    </w:p>
    <w:p w14:paraId="63721038" w14:textId="77777777" w:rsidR="006B6DAC" w:rsidRPr="00244343" w:rsidRDefault="006B6DAC" w:rsidP="006B6DAC">
      <w:pPr>
        <w:spacing w:after="0" w:line="240" w:lineRule="auto"/>
        <w:ind w:firstLine="720"/>
        <w:jc w:val="center"/>
        <w:rPr>
          <w:rFonts w:ascii="Times New Roman" w:hAnsi="Times New Roman" w:cs="Times New Roman"/>
          <w:sz w:val="28"/>
          <w:szCs w:val="28"/>
          <w:lang w:val="en-US"/>
        </w:rPr>
      </w:pPr>
    </w:p>
    <w:p w14:paraId="29E52D0E" w14:textId="77777777" w:rsidR="006B6DAC" w:rsidRDefault="006B6DAC" w:rsidP="006B6DAC">
      <w:pPr>
        <w:spacing w:after="0" w:line="240" w:lineRule="auto"/>
        <w:ind w:firstLine="709"/>
        <w:contextualSpacing/>
        <w:rPr>
          <w:rFonts w:ascii="Times New Roman" w:hAnsi="Times New Roman" w:cs="Times New Roman"/>
          <w:sz w:val="24"/>
          <w:szCs w:val="24"/>
          <w:lang w:val="en-US"/>
        </w:rPr>
      </w:pPr>
      <w:r w:rsidRPr="00B06CB3">
        <w:rPr>
          <w:rFonts w:ascii="Times New Roman" w:hAnsi="Times New Roman" w:cs="Times New Roman"/>
          <w:sz w:val="24"/>
          <w:szCs w:val="24"/>
          <w:lang w:val="en-US"/>
        </w:rPr>
        <w:t>Note – Compiled by author based on [9]</w:t>
      </w:r>
    </w:p>
    <w:p w14:paraId="6AFBCF58" w14:textId="77777777" w:rsidR="006B6DAC" w:rsidRPr="00244343" w:rsidRDefault="006B6DAC" w:rsidP="006B6DAC">
      <w:pPr>
        <w:spacing w:after="0" w:line="240" w:lineRule="auto"/>
        <w:ind w:firstLine="720"/>
        <w:jc w:val="both"/>
        <w:rPr>
          <w:rFonts w:ascii="Times New Roman" w:hAnsi="Times New Roman" w:cs="Times New Roman"/>
          <w:sz w:val="28"/>
          <w:szCs w:val="28"/>
          <w:lang w:val="en-US"/>
        </w:rPr>
      </w:pPr>
    </w:p>
    <w:p w14:paraId="277801A3" w14:textId="77777777" w:rsidR="006B6DAC" w:rsidRPr="00244343" w:rsidRDefault="006B6DAC" w:rsidP="006B6DAC">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 xml:space="preserve">Keywords are proximate when a significant number of articles address them collectively; </w:t>
      </w:r>
    </w:p>
    <w:p w14:paraId="2CDB4F32" w14:textId="619D7C68" w:rsidR="005F2EFC" w:rsidRPr="006B6DAC" w:rsidRDefault="006B6DAC" w:rsidP="006B6DAC">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They are remote when only a minimal percentage of articles use these terms. The map's origin signifies the average location of all column profiles, indicating the heart of the study domain, encompassing prevalent and widely shared themes [</w:t>
      </w:r>
      <w:r>
        <w:rPr>
          <w:rFonts w:ascii="Times New Roman" w:hAnsi="Times New Roman" w:cs="Times New Roman"/>
          <w:sz w:val="28"/>
          <w:szCs w:val="28"/>
          <w:lang w:val="en-US"/>
        </w:rPr>
        <w:t>101</w:t>
      </w:r>
      <w:r w:rsidRPr="00244343">
        <w:rPr>
          <w:rFonts w:ascii="Times New Roman" w:hAnsi="Times New Roman" w:cs="Times New Roman"/>
          <w:sz w:val="28"/>
          <w:szCs w:val="28"/>
          <w:lang w:val="en-US"/>
        </w:rPr>
        <w:t xml:space="preserve">]. </w:t>
      </w:r>
    </w:p>
    <w:p w14:paraId="084A4847" w14:textId="77777777" w:rsidR="006B6DAC" w:rsidRDefault="006B6DAC" w:rsidP="006B6DAC">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Each color signifies a grouping of words (a "topic"), with clusters determined by</w:t>
      </w:r>
      <w:r w:rsidRPr="00DE1B15">
        <w:rPr>
          <w:rFonts w:ascii="Times New Roman" w:hAnsi="Times New Roman" w:cs="Times New Roman"/>
          <w:sz w:val="28"/>
          <w:szCs w:val="28"/>
          <w:lang w:val="en-US"/>
        </w:rPr>
        <w:t xml:space="preserve"> hierarchical clustering.  </w:t>
      </w:r>
      <w:r w:rsidRPr="00244343">
        <w:rPr>
          <w:rFonts w:ascii="Times New Roman" w:hAnsi="Times New Roman" w:cs="Times New Roman"/>
          <w:sz w:val="28"/>
          <w:szCs w:val="28"/>
          <w:lang w:val="en-US"/>
        </w:rPr>
        <w:t xml:space="preserve">The figures of factorial analysis of UIC in global (17) and Kazakhstani (18) search context reveals different results on maps. </w:t>
      </w:r>
    </w:p>
    <w:p w14:paraId="588ADB5E" w14:textId="0308EBCA" w:rsidR="006B6DAC" w:rsidRDefault="006B6DAC" w:rsidP="006B6DAC">
      <w:pPr>
        <w:spacing w:after="0" w:line="240" w:lineRule="auto"/>
        <w:ind w:firstLine="720"/>
        <w:jc w:val="both"/>
        <w:rPr>
          <w:rFonts w:ascii="Times New Roman" w:hAnsi="Times New Roman" w:cs="Times New Roman"/>
          <w:sz w:val="28"/>
          <w:szCs w:val="28"/>
          <w:lang w:val="kk-KZ"/>
        </w:rPr>
      </w:pPr>
      <w:r w:rsidRPr="00244343">
        <w:rPr>
          <w:rFonts w:ascii="Times New Roman" w:hAnsi="Times New Roman" w:cs="Times New Roman"/>
          <w:sz w:val="28"/>
          <w:szCs w:val="28"/>
          <w:lang w:val="en-US"/>
        </w:rPr>
        <w:t>So, figure 16 demonstrate development and cooperation to be separate organized, while in figure 18 collaboration and innovation located in lower hierarchy and grouped separately. It shows that research publications may explore topics independently. Due to scarce data on research topic publications, the factorial analysis showed poor groupings.</w:t>
      </w:r>
    </w:p>
    <w:p w14:paraId="4402CB20" w14:textId="7BE10850" w:rsidR="00DC5CC7" w:rsidRPr="00244343" w:rsidRDefault="006B6DAC" w:rsidP="006B6DAC">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Each color signifies a grouping of words (a "topic"), with clusters determined by hierarchical clustering.  The figures of factorial analysis of UIC in global (17) and Kazakhstani (18) search context reveals different results on maps.</w:t>
      </w:r>
    </w:p>
    <w:p w14:paraId="3A376178" w14:textId="77777777" w:rsidR="00DC5CC7" w:rsidRPr="00244343" w:rsidRDefault="00DC5CC7" w:rsidP="006B6DAC">
      <w:pPr>
        <w:spacing w:line="240" w:lineRule="auto"/>
        <w:jc w:val="center"/>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lastRenderedPageBreak/>
        <w:drawing>
          <wp:inline distT="0" distB="0" distL="0" distR="0" wp14:anchorId="72CD61D8" wp14:editId="79E22921">
            <wp:extent cx="5622877" cy="31521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2451" cy="3213567"/>
                    </a:xfrm>
                    <a:prstGeom prst="rect">
                      <a:avLst/>
                    </a:prstGeom>
                  </pic:spPr>
                </pic:pic>
              </a:graphicData>
            </a:graphic>
          </wp:inline>
        </w:drawing>
      </w:r>
    </w:p>
    <w:p w14:paraId="7D46BDAD" w14:textId="75EAF895" w:rsidR="00DC5CC7" w:rsidRPr="00244343" w:rsidRDefault="00DC5CC7" w:rsidP="00DC5CC7">
      <w:pPr>
        <w:spacing w:after="0" w:line="240" w:lineRule="auto"/>
        <w:ind w:firstLine="720"/>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Figure 17 </w:t>
      </w:r>
      <w:r w:rsidR="00B06CB3" w:rsidRPr="00B4623F">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Factorial analysis of UIC</w:t>
      </w:r>
    </w:p>
    <w:p w14:paraId="1DE7A1E4" w14:textId="77777777" w:rsidR="00DC5CC7" w:rsidRDefault="00DC5CC7" w:rsidP="00DC5CC7">
      <w:pPr>
        <w:spacing w:after="0" w:line="240" w:lineRule="auto"/>
        <w:ind w:firstLine="720"/>
        <w:jc w:val="center"/>
        <w:rPr>
          <w:rFonts w:ascii="Times New Roman" w:hAnsi="Times New Roman" w:cs="Times New Roman"/>
          <w:sz w:val="28"/>
          <w:szCs w:val="28"/>
          <w:lang w:val="en-US"/>
        </w:rPr>
      </w:pPr>
    </w:p>
    <w:p w14:paraId="5A3A6E09" w14:textId="621368E6" w:rsidR="00DC5CC7" w:rsidRPr="00B06CB3" w:rsidRDefault="00DC5CC7" w:rsidP="00B06CB3">
      <w:pPr>
        <w:spacing w:after="0" w:line="240" w:lineRule="auto"/>
        <w:ind w:firstLine="709"/>
        <w:contextualSpacing/>
        <w:rPr>
          <w:rFonts w:ascii="Times New Roman" w:hAnsi="Times New Roman" w:cs="Times New Roman"/>
          <w:sz w:val="24"/>
          <w:szCs w:val="24"/>
          <w:lang w:val="en-US"/>
        </w:rPr>
      </w:pPr>
      <w:r w:rsidRPr="00B06CB3">
        <w:rPr>
          <w:rFonts w:ascii="Times New Roman" w:hAnsi="Times New Roman" w:cs="Times New Roman"/>
          <w:sz w:val="24"/>
          <w:szCs w:val="24"/>
          <w:lang w:val="en-US"/>
        </w:rPr>
        <w:t>Note – Compiled by author based on [9]</w:t>
      </w:r>
    </w:p>
    <w:p w14:paraId="0E9C30AE" w14:textId="77777777" w:rsidR="00DC5CC7" w:rsidRDefault="00DC5CC7" w:rsidP="00DC5CC7">
      <w:pPr>
        <w:spacing w:after="0" w:line="240" w:lineRule="auto"/>
        <w:ind w:firstLine="720"/>
        <w:jc w:val="both"/>
        <w:rPr>
          <w:rFonts w:ascii="Times New Roman" w:hAnsi="Times New Roman" w:cs="Times New Roman"/>
          <w:sz w:val="28"/>
          <w:szCs w:val="28"/>
          <w:lang w:val="en-US"/>
        </w:rPr>
      </w:pPr>
    </w:p>
    <w:p w14:paraId="4687DA9F" w14:textId="26FCDE7D" w:rsidR="006B6DAC" w:rsidRDefault="006B6DAC" w:rsidP="006B6DAC">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So, figure 16 demonstrate development and cooperation to be separate organized, while in figure 18 collaboration and innovation located in lower hierarchy and grouped separately. It shows that research publications may explore topics independently. </w:t>
      </w:r>
    </w:p>
    <w:p w14:paraId="0D5E9517" w14:textId="77777777" w:rsidR="002C4D5A" w:rsidRPr="00244343" w:rsidRDefault="002C4D5A" w:rsidP="00F7471E">
      <w:pPr>
        <w:spacing w:after="0" w:line="240" w:lineRule="auto"/>
        <w:ind w:firstLine="720"/>
        <w:jc w:val="both"/>
        <w:rPr>
          <w:rFonts w:ascii="Times New Roman" w:hAnsi="Times New Roman" w:cs="Times New Roman"/>
          <w:sz w:val="28"/>
          <w:szCs w:val="28"/>
          <w:lang w:val="en-US"/>
        </w:rPr>
      </w:pPr>
    </w:p>
    <w:p w14:paraId="1E878DA1" w14:textId="77777777" w:rsidR="00DC5CC7" w:rsidRDefault="00DC5CC7" w:rsidP="00DC5CC7">
      <w:pPr>
        <w:spacing w:line="240" w:lineRule="auto"/>
        <w:jc w:val="center"/>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58153702" wp14:editId="48FE1C24">
            <wp:extent cx="5868537" cy="3157220"/>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77409" cy="3269591"/>
                    </a:xfrm>
                    <a:prstGeom prst="rect">
                      <a:avLst/>
                    </a:prstGeom>
                  </pic:spPr>
                </pic:pic>
              </a:graphicData>
            </a:graphic>
          </wp:inline>
        </w:drawing>
      </w:r>
    </w:p>
    <w:p w14:paraId="566FACA8" w14:textId="77777777" w:rsidR="002C4D5A" w:rsidRDefault="002C4D5A" w:rsidP="00DC5CC7">
      <w:pPr>
        <w:spacing w:after="0" w:line="240" w:lineRule="auto"/>
        <w:ind w:firstLine="720"/>
        <w:contextualSpacing/>
        <w:jc w:val="center"/>
        <w:rPr>
          <w:rFonts w:ascii="Times New Roman" w:hAnsi="Times New Roman" w:cs="Times New Roman"/>
          <w:sz w:val="28"/>
          <w:szCs w:val="28"/>
          <w:lang w:val="en-US"/>
        </w:rPr>
      </w:pPr>
    </w:p>
    <w:p w14:paraId="51511AD3" w14:textId="008A5872" w:rsidR="00DC5CC7" w:rsidRPr="00244343" w:rsidRDefault="00DC5CC7" w:rsidP="00DC5CC7">
      <w:pPr>
        <w:spacing w:after="0" w:line="240" w:lineRule="auto"/>
        <w:ind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18 - Factorial analysis of UIC topic in the context of Kazakhstan</w:t>
      </w:r>
    </w:p>
    <w:p w14:paraId="2F7EF97A" w14:textId="77777777" w:rsidR="00DC5CC7" w:rsidRDefault="00DC5CC7" w:rsidP="00DC5CC7">
      <w:pPr>
        <w:spacing w:after="0" w:line="240" w:lineRule="auto"/>
        <w:ind w:firstLine="720"/>
        <w:contextualSpacing/>
        <w:jc w:val="center"/>
        <w:rPr>
          <w:rFonts w:ascii="Times New Roman" w:hAnsi="Times New Roman" w:cs="Times New Roman"/>
          <w:sz w:val="28"/>
          <w:szCs w:val="28"/>
          <w:lang w:val="en-US"/>
        </w:rPr>
      </w:pPr>
    </w:p>
    <w:p w14:paraId="35359B95" w14:textId="5E916F91" w:rsidR="00DC5CC7" w:rsidRPr="00B06CB3" w:rsidRDefault="00DC5CC7" w:rsidP="00B06CB3">
      <w:pPr>
        <w:spacing w:after="0" w:line="240" w:lineRule="auto"/>
        <w:ind w:firstLine="709"/>
        <w:contextualSpacing/>
        <w:rPr>
          <w:rFonts w:ascii="Times New Roman" w:hAnsi="Times New Roman" w:cs="Times New Roman"/>
          <w:sz w:val="24"/>
          <w:szCs w:val="24"/>
          <w:lang w:val="en-US"/>
        </w:rPr>
      </w:pPr>
      <w:r w:rsidRPr="00B06CB3">
        <w:rPr>
          <w:rFonts w:ascii="Times New Roman" w:hAnsi="Times New Roman" w:cs="Times New Roman"/>
          <w:sz w:val="24"/>
          <w:szCs w:val="24"/>
          <w:lang w:val="en-US"/>
        </w:rPr>
        <w:t>Note – Compiled by author based on [9]</w:t>
      </w:r>
    </w:p>
    <w:p w14:paraId="649E69EF" w14:textId="4DF01F86" w:rsidR="00DC5CC7" w:rsidRPr="00F927AD" w:rsidRDefault="006B6DAC"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lastRenderedPageBreak/>
        <w:t xml:space="preserve">Due to scarce data on research topic publications, the factorial analysis showed poor groupings. While in the context of global search partnerships and innovation grouped together and located in above the </w:t>
      </w:r>
      <w:proofErr w:type="spellStart"/>
      <w:r w:rsidRPr="00244343">
        <w:rPr>
          <w:rFonts w:ascii="Times New Roman" w:hAnsi="Times New Roman" w:cs="Times New Roman"/>
          <w:sz w:val="28"/>
          <w:szCs w:val="28"/>
          <w:lang w:val="en-US"/>
        </w:rPr>
        <w:t>centre</w:t>
      </w:r>
      <w:proofErr w:type="spellEnd"/>
      <w:r w:rsidRPr="00244343">
        <w:rPr>
          <w:rFonts w:ascii="Times New Roman" w:hAnsi="Times New Roman" w:cs="Times New Roman"/>
          <w:sz w:val="28"/>
          <w:szCs w:val="28"/>
          <w:lang w:val="en-US"/>
        </w:rPr>
        <w:t xml:space="preserve"> hierarchy. Interesting to note, the researchers and channels are grouped closely to each other and remote from other topic groupings. The notion of channels in the Triple Helix framework primarily relates to the contacts and exchanges among the university, industry, and government sectors, promoting innovation and knowledge transfer. This model highlights the dynamic interrelations and systemic characteristics of innovation processes [</w:t>
      </w:r>
      <w:r>
        <w:rPr>
          <w:rFonts w:ascii="Times New Roman" w:hAnsi="Times New Roman" w:cs="Times New Roman"/>
          <w:sz w:val="28"/>
          <w:szCs w:val="28"/>
          <w:lang w:val="kk-KZ"/>
        </w:rPr>
        <w:t>102</w:t>
      </w:r>
      <w:r w:rsidRPr="00244343">
        <w:rPr>
          <w:rFonts w:ascii="Times New Roman" w:hAnsi="Times New Roman" w:cs="Times New Roman"/>
          <w:sz w:val="28"/>
          <w:szCs w:val="28"/>
          <w:lang w:val="en-US"/>
        </w:rPr>
        <w:t>].</w:t>
      </w:r>
    </w:p>
    <w:p w14:paraId="1D7DCF00" w14:textId="2D86A804" w:rsidR="002C4D5A" w:rsidRDefault="002C4D5A" w:rsidP="002C4D5A">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following figures 19 and 20 represents the annual scientific production on concerned topic (UIC). As graph (figure 19) performs the growth in annual production on the UIC topic from 2007-2008 reaching its peak in 2019, and decreased in 2020. For Kazakhstan the graph 19 shows inconsistency in annual scientific production with tendency to an increase.</w:t>
      </w:r>
    </w:p>
    <w:p w14:paraId="21E87706" w14:textId="77777777" w:rsidR="004B5130" w:rsidRPr="00244343" w:rsidRDefault="004B5130" w:rsidP="002C4D5A">
      <w:pPr>
        <w:spacing w:after="0" w:line="240" w:lineRule="auto"/>
        <w:ind w:firstLine="720"/>
        <w:contextualSpacing/>
        <w:jc w:val="both"/>
        <w:rPr>
          <w:rFonts w:ascii="Times New Roman" w:hAnsi="Times New Roman" w:cs="Times New Roman"/>
          <w:sz w:val="28"/>
          <w:szCs w:val="28"/>
          <w:lang w:val="en-US"/>
        </w:rPr>
      </w:pPr>
    </w:p>
    <w:p w14:paraId="03B2B35E" w14:textId="77777777" w:rsidR="00DC5CC7" w:rsidRPr="00244343" w:rsidRDefault="00DC5CC7" w:rsidP="00DC5CC7">
      <w:pPr>
        <w:spacing w:after="0" w:line="240" w:lineRule="auto"/>
        <w:contextualSpacing/>
        <w:jc w:val="both"/>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3F65D71D" wp14:editId="5AD3C79D">
            <wp:extent cx="5879744" cy="3357349"/>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17337" cy="3435915"/>
                    </a:xfrm>
                    <a:prstGeom prst="rect">
                      <a:avLst/>
                    </a:prstGeom>
                  </pic:spPr>
                </pic:pic>
              </a:graphicData>
            </a:graphic>
          </wp:inline>
        </w:drawing>
      </w:r>
    </w:p>
    <w:p w14:paraId="7997D8F0" w14:textId="77777777" w:rsidR="00DC5CC7" w:rsidRPr="00244343" w:rsidRDefault="00DC5CC7" w:rsidP="00DC5CC7">
      <w:pPr>
        <w:spacing w:line="240" w:lineRule="auto"/>
        <w:jc w:val="center"/>
        <w:rPr>
          <w:rFonts w:ascii="Times New Roman" w:hAnsi="Times New Roman" w:cs="Times New Roman"/>
          <w:sz w:val="28"/>
          <w:szCs w:val="28"/>
          <w:lang w:val="en-US"/>
        </w:rPr>
      </w:pPr>
    </w:p>
    <w:p w14:paraId="516A6D71" w14:textId="77777777" w:rsidR="00DC5CC7" w:rsidRPr="00244343" w:rsidRDefault="00DC5CC7" w:rsidP="00DC5CC7">
      <w:pPr>
        <w:spacing w:after="0" w:line="240" w:lineRule="auto"/>
        <w:ind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19 - Annual scientific production of UIC globally</w:t>
      </w:r>
    </w:p>
    <w:p w14:paraId="7AF5646F" w14:textId="77777777" w:rsidR="00DC5CC7" w:rsidRDefault="00DC5CC7" w:rsidP="00DC5CC7">
      <w:pPr>
        <w:spacing w:after="0" w:line="240" w:lineRule="auto"/>
        <w:ind w:firstLine="720"/>
        <w:contextualSpacing/>
        <w:jc w:val="center"/>
        <w:rPr>
          <w:rFonts w:ascii="Times New Roman" w:hAnsi="Times New Roman" w:cs="Times New Roman"/>
          <w:sz w:val="28"/>
          <w:szCs w:val="28"/>
          <w:lang w:val="en-US"/>
        </w:rPr>
      </w:pPr>
    </w:p>
    <w:p w14:paraId="331AF51B" w14:textId="77777777" w:rsidR="00DC5CC7" w:rsidRPr="009F0B8F" w:rsidRDefault="00DC5CC7" w:rsidP="009F0B8F">
      <w:pPr>
        <w:spacing w:after="0" w:line="240" w:lineRule="auto"/>
        <w:ind w:firstLine="720"/>
        <w:contextualSpacing/>
        <w:rPr>
          <w:rFonts w:ascii="Times New Roman" w:hAnsi="Times New Roman" w:cs="Times New Roman"/>
          <w:sz w:val="24"/>
          <w:szCs w:val="24"/>
          <w:lang w:val="en-US"/>
        </w:rPr>
      </w:pPr>
      <w:r w:rsidRPr="009F0B8F">
        <w:rPr>
          <w:rFonts w:ascii="Times New Roman" w:hAnsi="Times New Roman" w:cs="Times New Roman"/>
          <w:sz w:val="24"/>
          <w:szCs w:val="24"/>
          <w:lang w:val="en-US"/>
        </w:rPr>
        <w:t>Note – Compiled by author based on [9]</w:t>
      </w:r>
    </w:p>
    <w:p w14:paraId="2C39CD2C" w14:textId="77777777" w:rsidR="00DC5CC7" w:rsidRDefault="00DC5CC7" w:rsidP="00DC5CC7">
      <w:pPr>
        <w:spacing w:after="0" w:line="240" w:lineRule="auto"/>
        <w:ind w:firstLine="720"/>
        <w:contextualSpacing/>
        <w:jc w:val="both"/>
        <w:rPr>
          <w:rFonts w:ascii="Times New Roman" w:hAnsi="Times New Roman" w:cs="Times New Roman"/>
          <w:sz w:val="28"/>
          <w:szCs w:val="28"/>
          <w:lang w:val="en-US"/>
        </w:rPr>
      </w:pPr>
    </w:p>
    <w:p w14:paraId="2CE89063" w14:textId="6DF4F500" w:rsidR="00DC5CC7" w:rsidRDefault="002C4D5A" w:rsidP="002C4D5A">
      <w:pPr>
        <w:spacing w:after="0" w:line="240" w:lineRule="auto"/>
        <w:ind w:firstLine="720"/>
        <w:contextualSpacing/>
        <w:jc w:val="both"/>
        <w:rPr>
          <w:rFonts w:ascii="Times New Roman" w:hAnsi="Times New Roman" w:cs="Times New Roman"/>
          <w:sz w:val="28"/>
          <w:szCs w:val="28"/>
          <w:lang w:val="kk-KZ"/>
        </w:rPr>
      </w:pPr>
      <w:r w:rsidRPr="00244343">
        <w:rPr>
          <w:rFonts w:ascii="Times New Roman" w:hAnsi="Times New Roman" w:cs="Times New Roman"/>
          <w:sz w:val="28"/>
          <w:szCs w:val="28"/>
          <w:lang w:val="en-US"/>
        </w:rPr>
        <w:t>The graph for Kazakhstan shows the urgency of increasing research and developing the field of UIC in the future.</w:t>
      </w:r>
      <w:r>
        <w:rPr>
          <w:rFonts w:ascii="Times New Roman" w:hAnsi="Times New Roman" w:cs="Times New Roman"/>
          <w:sz w:val="28"/>
          <w:szCs w:val="28"/>
          <w:lang w:val="kk-KZ"/>
        </w:rPr>
        <w:t xml:space="preserve"> </w:t>
      </w:r>
    </w:p>
    <w:p w14:paraId="7EAB25FD" w14:textId="77777777" w:rsidR="004B5130" w:rsidRPr="00244343" w:rsidRDefault="004B5130" w:rsidP="004B5130">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Figure 21 shows the average citations per year on UIC topics globally, while bibliometric data reveals no analysis for Kazakhstan. In the graph of Figure 21, the highest peak of citations is for 2010, since it fluctuates and shows a decreasing tendency in citations. As mentioned above, Figure 15 proves the linkages to be the linking topics of the Innovation domain. So, to see the significance of UIC in this </w:t>
      </w:r>
      <w:r w:rsidRPr="00244343">
        <w:rPr>
          <w:rFonts w:ascii="Times New Roman" w:hAnsi="Times New Roman" w:cs="Times New Roman"/>
          <w:sz w:val="28"/>
          <w:szCs w:val="28"/>
          <w:lang w:val="en-US"/>
        </w:rPr>
        <w:lastRenderedPageBreak/>
        <w:t xml:space="preserve">exact graphical analysis, we should </w:t>
      </w:r>
      <w:proofErr w:type="spellStart"/>
      <w:r w:rsidRPr="00244343">
        <w:rPr>
          <w:rFonts w:ascii="Times New Roman" w:hAnsi="Times New Roman" w:cs="Times New Roman"/>
          <w:sz w:val="28"/>
          <w:szCs w:val="28"/>
          <w:lang w:val="en-US"/>
        </w:rPr>
        <w:t>analyse</w:t>
      </w:r>
      <w:proofErr w:type="spellEnd"/>
      <w:r w:rsidRPr="00244343">
        <w:rPr>
          <w:rFonts w:ascii="Times New Roman" w:hAnsi="Times New Roman" w:cs="Times New Roman"/>
          <w:sz w:val="28"/>
          <w:szCs w:val="28"/>
          <w:lang w:val="en-US"/>
        </w:rPr>
        <w:t xml:space="preserve"> the “innovation” topic and its citation on average.</w:t>
      </w:r>
    </w:p>
    <w:p w14:paraId="6967F12A" w14:textId="77777777" w:rsidR="002C4D5A" w:rsidRPr="004B5130" w:rsidRDefault="002C4D5A" w:rsidP="002C4D5A">
      <w:pPr>
        <w:spacing w:after="0" w:line="240" w:lineRule="auto"/>
        <w:ind w:firstLine="720"/>
        <w:contextualSpacing/>
        <w:jc w:val="both"/>
        <w:rPr>
          <w:rFonts w:ascii="Times New Roman" w:hAnsi="Times New Roman" w:cs="Times New Roman"/>
          <w:sz w:val="28"/>
          <w:szCs w:val="28"/>
          <w:lang w:val="en-US"/>
        </w:rPr>
      </w:pPr>
    </w:p>
    <w:p w14:paraId="70F7E7E6" w14:textId="77777777" w:rsidR="00DC5CC7" w:rsidRPr="00244343" w:rsidRDefault="00DC5CC7" w:rsidP="00DC5CC7">
      <w:pPr>
        <w:spacing w:line="240" w:lineRule="auto"/>
        <w:jc w:val="both"/>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5C8E5805" wp14:editId="4B8B6061">
            <wp:extent cx="5826595" cy="2524476"/>
            <wp:effectExtent l="0" t="0" r="317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2043" cy="2570163"/>
                    </a:xfrm>
                    <a:prstGeom prst="rect">
                      <a:avLst/>
                    </a:prstGeom>
                  </pic:spPr>
                </pic:pic>
              </a:graphicData>
            </a:graphic>
          </wp:inline>
        </w:drawing>
      </w:r>
    </w:p>
    <w:p w14:paraId="15D7D9A3" w14:textId="77777777" w:rsidR="004B5130" w:rsidRDefault="004B5130" w:rsidP="00DC5CC7">
      <w:pPr>
        <w:spacing w:after="0" w:line="240" w:lineRule="auto"/>
        <w:ind w:firstLine="720"/>
        <w:contextualSpacing/>
        <w:jc w:val="center"/>
        <w:rPr>
          <w:rFonts w:ascii="Times New Roman" w:hAnsi="Times New Roman" w:cs="Times New Roman"/>
          <w:sz w:val="28"/>
          <w:szCs w:val="28"/>
          <w:lang w:val="en-US"/>
        </w:rPr>
      </w:pPr>
    </w:p>
    <w:p w14:paraId="71885CC3" w14:textId="1C341A0B" w:rsidR="00DC5CC7" w:rsidRPr="00244343" w:rsidRDefault="00DC5CC7" w:rsidP="00DC5CC7">
      <w:pPr>
        <w:spacing w:after="0" w:line="240" w:lineRule="auto"/>
        <w:ind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Figure 20 - Annual scientific production of UIC topic in </w:t>
      </w:r>
      <w:proofErr w:type="spellStart"/>
      <w:r w:rsidRPr="00244343">
        <w:rPr>
          <w:rFonts w:ascii="Times New Roman" w:hAnsi="Times New Roman" w:cs="Times New Roman"/>
          <w:sz w:val="28"/>
          <w:szCs w:val="28"/>
          <w:lang w:val="en-US"/>
        </w:rPr>
        <w:t>Kazakshtan</w:t>
      </w:r>
      <w:proofErr w:type="spellEnd"/>
    </w:p>
    <w:p w14:paraId="175B8892" w14:textId="77777777" w:rsidR="00DC5CC7" w:rsidRDefault="00DC5CC7" w:rsidP="00DC5CC7">
      <w:pPr>
        <w:spacing w:after="0" w:line="240" w:lineRule="auto"/>
        <w:ind w:firstLine="720"/>
        <w:contextualSpacing/>
        <w:jc w:val="center"/>
        <w:rPr>
          <w:rFonts w:ascii="Times New Roman" w:hAnsi="Times New Roman" w:cs="Times New Roman"/>
          <w:sz w:val="28"/>
          <w:szCs w:val="28"/>
          <w:lang w:val="en-US"/>
        </w:rPr>
      </w:pPr>
    </w:p>
    <w:p w14:paraId="2D9319E3" w14:textId="14C4FA30" w:rsidR="00DC5CC7" w:rsidRDefault="00DC5CC7" w:rsidP="00C97C92">
      <w:pPr>
        <w:spacing w:after="0" w:line="240" w:lineRule="auto"/>
        <w:ind w:firstLine="720"/>
        <w:contextualSpacing/>
        <w:rPr>
          <w:rFonts w:ascii="Times New Roman" w:hAnsi="Times New Roman" w:cs="Times New Roman"/>
          <w:sz w:val="24"/>
          <w:szCs w:val="24"/>
          <w:lang w:val="en-US"/>
        </w:rPr>
      </w:pPr>
      <w:r w:rsidRPr="00C97C92">
        <w:rPr>
          <w:rFonts w:ascii="Times New Roman" w:hAnsi="Times New Roman" w:cs="Times New Roman"/>
          <w:sz w:val="24"/>
          <w:szCs w:val="24"/>
          <w:lang w:val="en-US"/>
        </w:rPr>
        <w:t>Note – Compiled by author based on [9]</w:t>
      </w:r>
    </w:p>
    <w:p w14:paraId="63BED136" w14:textId="77777777" w:rsidR="004B5130" w:rsidRPr="00C97C92" w:rsidRDefault="004B5130" w:rsidP="00C97C92">
      <w:pPr>
        <w:spacing w:after="0" w:line="240" w:lineRule="auto"/>
        <w:ind w:firstLine="720"/>
        <w:contextualSpacing/>
        <w:rPr>
          <w:rFonts w:ascii="Times New Roman" w:hAnsi="Times New Roman" w:cs="Times New Roman"/>
          <w:sz w:val="24"/>
          <w:szCs w:val="24"/>
          <w:lang w:val="en-US"/>
        </w:rPr>
      </w:pPr>
    </w:p>
    <w:p w14:paraId="25F87830" w14:textId="3C857C9C" w:rsidR="00126C8F" w:rsidRDefault="004B5130" w:rsidP="005544BB">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researcher conducted a trend topic analysis to examine the temporal popularity of keywords (Figure 22/23). The logarithmic frequencies of the terms in the articles were analyzed to identify variations in publication trends over time.</w:t>
      </w:r>
    </w:p>
    <w:p w14:paraId="680A50A0" w14:textId="77777777" w:rsidR="004B5130" w:rsidRPr="00244343" w:rsidRDefault="004B5130" w:rsidP="004B5130">
      <w:pPr>
        <w:spacing w:after="0" w:line="240" w:lineRule="auto"/>
        <w:ind w:firstLine="720"/>
        <w:contextualSpacing/>
        <w:rPr>
          <w:rFonts w:ascii="Times New Roman" w:hAnsi="Times New Roman" w:cs="Times New Roman"/>
          <w:sz w:val="28"/>
          <w:szCs w:val="28"/>
          <w:lang w:val="en-US"/>
        </w:rPr>
      </w:pPr>
    </w:p>
    <w:p w14:paraId="6CFA19BC" w14:textId="77777777" w:rsidR="00DC5CC7" w:rsidRPr="00244343" w:rsidRDefault="00DC5CC7" w:rsidP="002C4D5A">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627E5E0D" wp14:editId="785A0728">
            <wp:extent cx="5857875" cy="2510790"/>
            <wp:effectExtent l="0" t="0" r="9525"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36461" cy="2587335"/>
                    </a:xfrm>
                    <a:prstGeom prst="rect">
                      <a:avLst/>
                    </a:prstGeom>
                  </pic:spPr>
                </pic:pic>
              </a:graphicData>
            </a:graphic>
          </wp:inline>
        </w:drawing>
      </w:r>
    </w:p>
    <w:p w14:paraId="51BA3B0E" w14:textId="77777777" w:rsidR="00DC5CC7" w:rsidRDefault="00DC5CC7" w:rsidP="00DC5CC7">
      <w:pPr>
        <w:spacing w:after="0" w:line="240" w:lineRule="auto"/>
        <w:contextualSpacing/>
        <w:jc w:val="center"/>
        <w:rPr>
          <w:rFonts w:ascii="Times New Roman" w:hAnsi="Times New Roman" w:cs="Times New Roman"/>
          <w:sz w:val="28"/>
          <w:szCs w:val="28"/>
          <w:lang w:val="en-US"/>
        </w:rPr>
      </w:pPr>
    </w:p>
    <w:p w14:paraId="7078685E" w14:textId="77777777" w:rsidR="00DC5CC7" w:rsidRPr="00244343" w:rsidRDefault="00DC5CC7" w:rsidP="00DC5CC7">
      <w:pPr>
        <w:spacing w:after="0" w:line="240" w:lineRule="auto"/>
        <w:ind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21 - Average citations per year of UIC topic</w:t>
      </w:r>
    </w:p>
    <w:p w14:paraId="5648C7A5" w14:textId="015D9C22" w:rsidR="00DC5CC7" w:rsidRPr="00244343" w:rsidRDefault="000E0481" w:rsidP="000E0481">
      <w:pPr>
        <w:tabs>
          <w:tab w:val="left" w:pos="4470"/>
        </w:tabs>
        <w:spacing w:after="0" w:line="240" w:lineRule="auto"/>
        <w:ind w:firstLine="720"/>
        <w:contextualSpacing/>
        <w:rPr>
          <w:rFonts w:ascii="Times New Roman" w:hAnsi="Times New Roman" w:cs="Times New Roman"/>
          <w:sz w:val="28"/>
          <w:szCs w:val="28"/>
          <w:lang w:val="en-US"/>
        </w:rPr>
      </w:pPr>
      <w:r>
        <w:rPr>
          <w:rFonts w:ascii="Times New Roman" w:hAnsi="Times New Roman" w:cs="Times New Roman"/>
          <w:sz w:val="28"/>
          <w:szCs w:val="28"/>
          <w:lang w:val="en-US"/>
        </w:rPr>
        <w:tab/>
      </w:r>
    </w:p>
    <w:p w14:paraId="03023EAC" w14:textId="3481FB79" w:rsidR="00DC5CC7" w:rsidRDefault="00DC5CC7" w:rsidP="00E848CB">
      <w:pPr>
        <w:spacing w:after="0" w:line="240" w:lineRule="auto"/>
        <w:ind w:firstLine="720"/>
        <w:contextualSpacing/>
        <w:rPr>
          <w:rFonts w:ascii="Times New Roman" w:hAnsi="Times New Roman" w:cs="Times New Roman"/>
          <w:sz w:val="24"/>
          <w:szCs w:val="24"/>
          <w:lang w:val="en-US"/>
        </w:rPr>
      </w:pPr>
      <w:r w:rsidRPr="00C97C92">
        <w:rPr>
          <w:rFonts w:ascii="Times New Roman" w:hAnsi="Times New Roman" w:cs="Times New Roman"/>
          <w:sz w:val="24"/>
          <w:szCs w:val="24"/>
          <w:lang w:val="en-US"/>
        </w:rPr>
        <w:t>Note – Compiled by author based on [9]</w:t>
      </w:r>
      <w:bookmarkStart w:id="11" w:name="_Hlk181960918"/>
    </w:p>
    <w:p w14:paraId="79991271" w14:textId="77777777" w:rsidR="00E848CB" w:rsidRPr="00E848CB" w:rsidRDefault="00E848CB" w:rsidP="00E848CB">
      <w:pPr>
        <w:spacing w:after="0" w:line="240" w:lineRule="auto"/>
        <w:ind w:firstLine="720"/>
        <w:contextualSpacing/>
        <w:rPr>
          <w:rFonts w:ascii="Times New Roman" w:hAnsi="Times New Roman" w:cs="Times New Roman"/>
          <w:sz w:val="24"/>
          <w:szCs w:val="24"/>
          <w:lang w:val="en-US"/>
        </w:rPr>
      </w:pPr>
    </w:p>
    <w:p w14:paraId="082AF5EC" w14:textId="556852ED" w:rsidR="00DC5CC7"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As demonstrated in figure 22 “higher education” (from 2019 to present), “motivation”, entrepreneurial university (2022-2024) keywords appeared more in </w:t>
      </w:r>
      <w:r w:rsidRPr="00244343">
        <w:rPr>
          <w:rFonts w:ascii="Times New Roman" w:hAnsi="Times New Roman" w:cs="Times New Roman"/>
          <w:sz w:val="28"/>
          <w:szCs w:val="28"/>
          <w:lang w:val="en-US"/>
        </w:rPr>
        <w:lastRenderedPageBreak/>
        <w:t xml:space="preserve">recent years. Figure 23 depicts the lack of resources to </w:t>
      </w:r>
      <w:proofErr w:type="spellStart"/>
      <w:r w:rsidRPr="00244343">
        <w:rPr>
          <w:rFonts w:ascii="Times New Roman" w:hAnsi="Times New Roman" w:cs="Times New Roman"/>
          <w:sz w:val="28"/>
          <w:szCs w:val="28"/>
          <w:lang w:val="en-US"/>
        </w:rPr>
        <w:t>analyse</w:t>
      </w:r>
      <w:proofErr w:type="spellEnd"/>
      <w:r w:rsidRPr="00244343">
        <w:rPr>
          <w:rFonts w:ascii="Times New Roman" w:hAnsi="Times New Roman" w:cs="Times New Roman"/>
          <w:sz w:val="28"/>
          <w:szCs w:val="28"/>
          <w:lang w:val="en-US"/>
        </w:rPr>
        <w:t xml:space="preserve">, showing only two trending keywords from 2016 to 2020. </w:t>
      </w:r>
      <w:bookmarkEnd w:id="11"/>
    </w:p>
    <w:p w14:paraId="1E423846" w14:textId="77777777" w:rsidR="00E848CB" w:rsidRPr="00244343" w:rsidRDefault="00E848CB" w:rsidP="00DC5CC7">
      <w:pPr>
        <w:spacing w:after="0" w:line="240" w:lineRule="auto"/>
        <w:ind w:firstLine="720"/>
        <w:contextualSpacing/>
        <w:jc w:val="both"/>
        <w:rPr>
          <w:rFonts w:ascii="Times New Roman" w:hAnsi="Times New Roman" w:cs="Times New Roman"/>
          <w:sz w:val="28"/>
          <w:szCs w:val="28"/>
          <w:lang w:val="en-US"/>
        </w:rPr>
      </w:pPr>
    </w:p>
    <w:p w14:paraId="414BBF6D" w14:textId="11FB9A15" w:rsidR="00126C8F" w:rsidRDefault="00DC5CC7" w:rsidP="00126C8F">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64CCEB75" wp14:editId="0BFFB69E">
            <wp:extent cx="5867400" cy="292036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03568" cy="2938367"/>
                    </a:xfrm>
                    <a:prstGeom prst="rect">
                      <a:avLst/>
                    </a:prstGeom>
                  </pic:spPr>
                </pic:pic>
              </a:graphicData>
            </a:graphic>
          </wp:inline>
        </w:drawing>
      </w:r>
    </w:p>
    <w:p w14:paraId="17279F00" w14:textId="77777777" w:rsidR="00E848CB" w:rsidRDefault="00E848CB" w:rsidP="00DC5CC7">
      <w:pPr>
        <w:spacing w:after="0" w:line="240" w:lineRule="auto"/>
        <w:contextualSpacing/>
        <w:jc w:val="center"/>
        <w:rPr>
          <w:rFonts w:ascii="Times New Roman" w:hAnsi="Times New Roman" w:cs="Times New Roman"/>
          <w:sz w:val="28"/>
          <w:szCs w:val="28"/>
          <w:lang w:val="en-US"/>
        </w:rPr>
      </w:pPr>
    </w:p>
    <w:p w14:paraId="7329235E" w14:textId="0B1A9DE2" w:rsidR="00DC5CC7" w:rsidRDefault="00DC5CC7" w:rsidP="00DC5CC7">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22 - Analysis of keywords on trending topics of UIC globally</w:t>
      </w:r>
    </w:p>
    <w:p w14:paraId="247D132E" w14:textId="77777777" w:rsidR="002C4D5A" w:rsidRDefault="002C4D5A" w:rsidP="002C4D5A">
      <w:pPr>
        <w:spacing w:after="0" w:line="240" w:lineRule="auto"/>
        <w:ind w:firstLine="720"/>
        <w:contextualSpacing/>
        <w:rPr>
          <w:rFonts w:ascii="Times New Roman" w:hAnsi="Times New Roman" w:cs="Times New Roman"/>
          <w:sz w:val="28"/>
          <w:szCs w:val="28"/>
          <w:lang w:val="en-US"/>
        </w:rPr>
      </w:pPr>
    </w:p>
    <w:p w14:paraId="5AA76013" w14:textId="6FDD497A" w:rsidR="00DC5CC7" w:rsidRDefault="00DC5CC7" w:rsidP="002C4D5A">
      <w:pPr>
        <w:spacing w:after="0" w:line="240" w:lineRule="auto"/>
        <w:ind w:firstLine="720"/>
        <w:contextualSpacing/>
        <w:rPr>
          <w:rFonts w:ascii="Times New Roman" w:hAnsi="Times New Roman" w:cs="Times New Roman"/>
          <w:sz w:val="24"/>
          <w:szCs w:val="24"/>
          <w:lang w:val="en-US"/>
        </w:rPr>
      </w:pPr>
      <w:r w:rsidRPr="00C97C92">
        <w:rPr>
          <w:rFonts w:ascii="Times New Roman" w:hAnsi="Times New Roman" w:cs="Times New Roman"/>
          <w:sz w:val="24"/>
          <w:szCs w:val="24"/>
          <w:lang w:val="en-US"/>
        </w:rPr>
        <w:t>Note – Compiled by author based on [9]</w:t>
      </w:r>
    </w:p>
    <w:p w14:paraId="1758B83F" w14:textId="77777777" w:rsidR="006B6DAC" w:rsidRDefault="006B6DAC" w:rsidP="002C4D5A">
      <w:pPr>
        <w:spacing w:after="0" w:line="240" w:lineRule="auto"/>
        <w:ind w:firstLine="720"/>
        <w:contextualSpacing/>
        <w:rPr>
          <w:rFonts w:ascii="Times New Roman" w:hAnsi="Times New Roman" w:cs="Times New Roman"/>
          <w:sz w:val="24"/>
          <w:szCs w:val="24"/>
          <w:lang w:val="en-US"/>
        </w:rPr>
      </w:pPr>
    </w:p>
    <w:p w14:paraId="63B296A0" w14:textId="62B1CE53" w:rsidR="00E848CB"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word tree map analysis of the most frequently used keywords in research topic (UIC) figure 23 (global scale) visually demonstrates that “innovation” and knowledge” words were used in research publications 263 and 160 times, respectively. While “triple helix” for 85 times, entrepreneurship for 49 times. The least frequently used words are: “governance” (20times), “barriers” (20 times), “policy” (21 times). </w:t>
      </w:r>
    </w:p>
    <w:p w14:paraId="5A4540CF" w14:textId="77777777" w:rsidR="00E848CB" w:rsidRDefault="00E848CB" w:rsidP="00DC5CC7">
      <w:pPr>
        <w:spacing w:after="0" w:line="240" w:lineRule="auto"/>
        <w:ind w:firstLine="720"/>
        <w:contextualSpacing/>
        <w:jc w:val="both"/>
        <w:rPr>
          <w:rFonts w:ascii="Times New Roman" w:hAnsi="Times New Roman" w:cs="Times New Roman"/>
          <w:sz w:val="28"/>
          <w:szCs w:val="28"/>
          <w:lang w:val="en-US"/>
        </w:rPr>
      </w:pPr>
    </w:p>
    <w:p w14:paraId="3FB45D6A" w14:textId="4B44028A" w:rsidR="00E848CB" w:rsidRDefault="00E848CB" w:rsidP="00E848CB">
      <w:pPr>
        <w:spacing w:line="240" w:lineRule="auto"/>
        <w:jc w:val="center"/>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729B9CA6" wp14:editId="4C9D4502">
            <wp:extent cx="5672983" cy="2210937"/>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08389" cy="2263709"/>
                    </a:xfrm>
                    <a:prstGeom prst="rect">
                      <a:avLst/>
                    </a:prstGeom>
                  </pic:spPr>
                </pic:pic>
              </a:graphicData>
            </a:graphic>
          </wp:inline>
        </w:drawing>
      </w:r>
    </w:p>
    <w:p w14:paraId="0B224631" w14:textId="77777777" w:rsidR="00E848CB" w:rsidRPr="00244343" w:rsidRDefault="00E848CB" w:rsidP="00E848CB">
      <w:pPr>
        <w:spacing w:line="240" w:lineRule="auto"/>
        <w:jc w:val="center"/>
        <w:rPr>
          <w:rFonts w:ascii="Times New Roman" w:hAnsi="Times New Roman" w:cs="Times New Roman"/>
          <w:sz w:val="28"/>
          <w:szCs w:val="28"/>
          <w:lang w:val="en-US"/>
        </w:rPr>
      </w:pPr>
    </w:p>
    <w:p w14:paraId="1BE42416" w14:textId="77777777" w:rsidR="00E848CB" w:rsidRPr="00244343" w:rsidRDefault="00E848CB" w:rsidP="00E848CB">
      <w:pPr>
        <w:spacing w:after="0" w:line="240" w:lineRule="auto"/>
        <w:ind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23 - Analysis of keywords on trending topics of UIC in Kazakhstan</w:t>
      </w:r>
    </w:p>
    <w:p w14:paraId="1A490EFA" w14:textId="77777777" w:rsidR="00E848CB" w:rsidRDefault="00E848CB" w:rsidP="00E848CB">
      <w:pPr>
        <w:spacing w:after="0" w:line="240" w:lineRule="auto"/>
        <w:ind w:firstLine="720"/>
        <w:contextualSpacing/>
        <w:jc w:val="both"/>
        <w:rPr>
          <w:rFonts w:ascii="Times New Roman" w:hAnsi="Times New Roman" w:cs="Times New Roman"/>
          <w:sz w:val="28"/>
          <w:szCs w:val="28"/>
          <w:lang w:val="en-US"/>
        </w:rPr>
      </w:pPr>
    </w:p>
    <w:p w14:paraId="7A6CB04B" w14:textId="486D3F0F" w:rsidR="00E848CB" w:rsidRPr="00E848CB" w:rsidRDefault="00E848CB" w:rsidP="00E848CB">
      <w:pPr>
        <w:spacing w:after="0" w:line="240" w:lineRule="auto"/>
        <w:ind w:firstLine="720"/>
        <w:contextualSpacing/>
        <w:jc w:val="both"/>
        <w:rPr>
          <w:rFonts w:ascii="Times New Roman" w:hAnsi="Times New Roman" w:cs="Times New Roman"/>
          <w:sz w:val="24"/>
          <w:szCs w:val="24"/>
          <w:lang w:val="en-US"/>
        </w:rPr>
      </w:pPr>
      <w:r w:rsidRPr="005D65EC">
        <w:rPr>
          <w:rFonts w:ascii="Times New Roman" w:hAnsi="Times New Roman" w:cs="Times New Roman"/>
          <w:sz w:val="24"/>
          <w:szCs w:val="24"/>
          <w:lang w:val="en-US"/>
        </w:rPr>
        <w:t>Note – Compiled by author based on [9]</w:t>
      </w:r>
    </w:p>
    <w:p w14:paraId="37B55816" w14:textId="2218FA6B" w:rsidR="005D65EC" w:rsidRPr="00E848CB" w:rsidRDefault="00DC5CC7" w:rsidP="00E848CB">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lastRenderedPageBreak/>
        <w:t>The latter words demonstrating the lowest frequency increases necessity to explore unrevealed patterns, for instance why “barriers” and “policy” are mentioned only few times, although being crucial for any interactions between University and Industry.</w:t>
      </w:r>
    </w:p>
    <w:p w14:paraId="3E887A44" w14:textId="0BE2A9AF" w:rsidR="00DC5CC7"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Figure (24) represents Kazakhstani research publications. The word frequency tree map is less affluent than the global one.  However, we can observe that “collaboration” frequency is 5 times, and synonymous “linkages” 2 times. The remaining words' frequency show only 1 frequency.</w:t>
      </w:r>
      <w:r>
        <w:rPr>
          <w:rFonts w:ascii="Times New Roman" w:hAnsi="Times New Roman" w:cs="Times New Roman"/>
          <w:sz w:val="28"/>
          <w:szCs w:val="28"/>
          <w:lang w:val="en-US"/>
        </w:rPr>
        <w:t xml:space="preserve"> </w:t>
      </w:r>
    </w:p>
    <w:p w14:paraId="11944670" w14:textId="77777777" w:rsidR="00BC4956" w:rsidRPr="005D65EC" w:rsidRDefault="00BC4956" w:rsidP="00DC5CC7">
      <w:pPr>
        <w:spacing w:after="0" w:line="240" w:lineRule="auto"/>
        <w:ind w:firstLine="720"/>
        <w:contextualSpacing/>
        <w:jc w:val="both"/>
        <w:rPr>
          <w:rFonts w:ascii="Times New Roman" w:hAnsi="Times New Roman" w:cs="Times New Roman"/>
          <w:sz w:val="28"/>
          <w:szCs w:val="28"/>
          <w:lang w:val="kk-KZ"/>
        </w:rPr>
      </w:pPr>
    </w:p>
    <w:p w14:paraId="14C761DD" w14:textId="60FB5789" w:rsidR="00DC5CC7" w:rsidRPr="00244343" w:rsidRDefault="00DC5CC7" w:rsidP="00DC5CC7">
      <w:pPr>
        <w:spacing w:line="240" w:lineRule="auto"/>
        <w:jc w:val="both"/>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68DB6A0A" wp14:editId="4B8A9F5A">
            <wp:extent cx="5918691" cy="2620370"/>
            <wp:effectExtent l="0" t="0" r="635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60212" cy="2771571"/>
                    </a:xfrm>
                    <a:prstGeom prst="rect">
                      <a:avLst/>
                    </a:prstGeom>
                  </pic:spPr>
                </pic:pic>
              </a:graphicData>
            </a:graphic>
          </wp:inline>
        </w:drawing>
      </w:r>
    </w:p>
    <w:p w14:paraId="207A38D3" w14:textId="77777777" w:rsidR="00BC4956" w:rsidRDefault="00BC4956" w:rsidP="00DC5CC7">
      <w:pPr>
        <w:spacing w:after="0" w:line="240" w:lineRule="auto"/>
        <w:ind w:firstLine="720"/>
        <w:contextualSpacing/>
        <w:jc w:val="center"/>
        <w:rPr>
          <w:rFonts w:ascii="Times New Roman" w:hAnsi="Times New Roman" w:cs="Times New Roman"/>
          <w:sz w:val="28"/>
          <w:szCs w:val="28"/>
          <w:lang w:val="en-US"/>
        </w:rPr>
      </w:pPr>
    </w:p>
    <w:p w14:paraId="400228FC" w14:textId="1E25855E" w:rsidR="00DC5CC7" w:rsidRPr="00244343" w:rsidRDefault="00DC5CC7" w:rsidP="00DC5CC7">
      <w:pPr>
        <w:spacing w:after="0" w:line="240" w:lineRule="auto"/>
        <w:ind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24 - Word tree map of the most frequent words used in UIC research topic Globally</w:t>
      </w:r>
    </w:p>
    <w:p w14:paraId="2DEB3340" w14:textId="77777777" w:rsidR="00DC5CC7" w:rsidRPr="00244343" w:rsidRDefault="00DC5CC7" w:rsidP="005D65EC">
      <w:pPr>
        <w:spacing w:after="0" w:line="240" w:lineRule="auto"/>
        <w:contextualSpacing/>
        <w:rPr>
          <w:rFonts w:ascii="Times New Roman" w:hAnsi="Times New Roman" w:cs="Times New Roman"/>
          <w:sz w:val="28"/>
          <w:szCs w:val="28"/>
          <w:lang w:val="en-US"/>
        </w:rPr>
      </w:pPr>
    </w:p>
    <w:p w14:paraId="02CE8462" w14:textId="42436017" w:rsidR="00DC5CC7" w:rsidRPr="005D65EC" w:rsidRDefault="00DC5CC7" w:rsidP="005D65EC">
      <w:pPr>
        <w:spacing w:after="0" w:line="240" w:lineRule="auto"/>
        <w:ind w:firstLine="720"/>
        <w:contextualSpacing/>
        <w:rPr>
          <w:rFonts w:ascii="Times New Roman" w:hAnsi="Times New Roman" w:cs="Times New Roman"/>
          <w:sz w:val="24"/>
          <w:szCs w:val="24"/>
          <w:lang w:val="en-US"/>
        </w:rPr>
      </w:pPr>
      <w:r w:rsidRPr="00C97C92">
        <w:rPr>
          <w:rFonts w:ascii="Times New Roman" w:hAnsi="Times New Roman" w:cs="Times New Roman"/>
          <w:sz w:val="24"/>
          <w:szCs w:val="24"/>
          <w:lang w:val="en-US"/>
        </w:rPr>
        <w:t>Note – Compiled by author based on [9]</w:t>
      </w:r>
    </w:p>
    <w:p w14:paraId="7FDF899E" w14:textId="10112102" w:rsidR="005D65EC" w:rsidRPr="005D65EC" w:rsidRDefault="005D65EC" w:rsidP="005D65EC">
      <w:pPr>
        <w:spacing w:after="0" w:line="240" w:lineRule="auto"/>
        <w:ind w:firstLine="720"/>
        <w:contextualSpacing/>
        <w:jc w:val="both"/>
        <w:rPr>
          <w:rFonts w:ascii="Times New Roman" w:hAnsi="Times New Roman" w:cs="Times New Roman"/>
          <w:sz w:val="28"/>
          <w:szCs w:val="28"/>
          <w:lang w:val="kk-KZ"/>
        </w:rPr>
      </w:pPr>
      <w:r w:rsidRPr="00244343">
        <w:rPr>
          <w:rFonts w:ascii="Times New Roman" w:hAnsi="Times New Roman" w:cs="Times New Roman"/>
          <w:sz w:val="28"/>
          <w:szCs w:val="28"/>
          <w:lang w:val="en-US"/>
        </w:rPr>
        <w:t>To sum up, all the above-mentioned bibliometric calculations show the topic trend and tendency, the affluence and the number of publications demonstrating meticulousness on a global scale and a huge gap in the Kazakhstani research context.</w:t>
      </w:r>
    </w:p>
    <w:p w14:paraId="47B9440C" w14:textId="3488D1A5"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frequency of keywords utilized in scholarly articles offers significant insights into the relevance and challenges associated with specific research topics. By systematically analyzing keyword usage patterns, researchers can identify emerging trends, evaluate the degree of academic interest, and enhance understanding of the knowledge gaps present within a particular field of study. This method is a valuable tool for mapping the evolution of research themes and informing future inquiries.</w:t>
      </w:r>
    </w:p>
    <w:p w14:paraId="29744CCA"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Keywords serve as essential descriptors that encapsulate the primary subject matter of a research paper, significantly facilitating the identification of core issues and thematic elements. Through the meticulous selection and analysis of keywords, researchers can gain a nuanced comprehension of the research landscape, accurately identify gaps in the existing body of knowledge, and formulate precise and focused research questions. This process not only enhances the clarity and accessibility of the research but also supports broader academic discourse. Keywords are </w:t>
      </w:r>
      <w:r w:rsidRPr="00244343">
        <w:rPr>
          <w:rFonts w:ascii="Times New Roman" w:hAnsi="Times New Roman" w:cs="Times New Roman"/>
          <w:sz w:val="28"/>
          <w:szCs w:val="28"/>
          <w:lang w:val="en-US"/>
        </w:rPr>
        <w:lastRenderedPageBreak/>
        <w:t>fundamental elements in bibliometric analysis, offering a systematic approach to categorizing and evaluating research outputs. By examining the keywords prevalent within a particular domain, researchers can discern emerging trends and investigate the temporal evolution of research topics. Furthermore, this analysis aids in the discovery of the intellectual structure of a field, enabling the mapping of relationships among various concepts and subfields. Additionally, it facilitates the identification of knowledge gaps, thereby highlighting areas that require further investigation. Ultimately, the research impact assessment can be conducted by measuring the influence of specific research topics within the academic community.</w:t>
      </w:r>
    </w:p>
    <w:p w14:paraId="6DB2B659"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p>
    <w:p w14:paraId="7C0A73C8" w14:textId="77777777" w:rsidR="00DC5CC7" w:rsidRPr="00244343" w:rsidRDefault="00DC5CC7" w:rsidP="00DC5CC7">
      <w:pPr>
        <w:spacing w:after="0" w:line="240" w:lineRule="auto"/>
        <w:contextualSpacing/>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7D352786" wp14:editId="12DEE683">
            <wp:extent cx="5922335" cy="2567305"/>
            <wp:effectExtent l="0" t="0" r="254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89397" cy="2639726"/>
                    </a:xfrm>
                    <a:prstGeom prst="rect">
                      <a:avLst/>
                    </a:prstGeom>
                  </pic:spPr>
                </pic:pic>
              </a:graphicData>
            </a:graphic>
          </wp:inline>
        </w:drawing>
      </w:r>
    </w:p>
    <w:p w14:paraId="3808BECF" w14:textId="77777777" w:rsidR="00DC5CC7" w:rsidRPr="00244343" w:rsidRDefault="00DC5CC7" w:rsidP="00DC5CC7">
      <w:pPr>
        <w:spacing w:after="0" w:line="240" w:lineRule="auto"/>
        <w:ind w:firstLine="720"/>
        <w:contextualSpacing/>
        <w:jc w:val="both"/>
        <w:rPr>
          <w:rFonts w:ascii="Times New Roman" w:hAnsi="Times New Roman" w:cs="Times New Roman"/>
          <w:sz w:val="28"/>
          <w:szCs w:val="28"/>
          <w:lang w:val="en-US"/>
        </w:rPr>
      </w:pPr>
    </w:p>
    <w:p w14:paraId="428CEE7B" w14:textId="77777777" w:rsidR="00DC5CC7" w:rsidRDefault="00DC5CC7" w:rsidP="00DC5CC7">
      <w:pPr>
        <w:spacing w:after="0" w:line="240" w:lineRule="auto"/>
        <w:ind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25 - Word tree map of the frequent words used in UIC research topic of Kazakhstan</w:t>
      </w:r>
    </w:p>
    <w:p w14:paraId="33A5B203" w14:textId="77777777" w:rsidR="00DC5CC7" w:rsidRPr="00244343" w:rsidRDefault="00DC5CC7" w:rsidP="00DC5CC7">
      <w:pPr>
        <w:spacing w:after="0" w:line="240" w:lineRule="auto"/>
        <w:ind w:firstLine="720"/>
        <w:contextualSpacing/>
        <w:jc w:val="center"/>
        <w:rPr>
          <w:rFonts w:ascii="Times New Roman" w:hAnsi="Times New Roman" w:cs="Times New Roman"/>
          <w:sz w:val="28"/>
          <w:szCs w:val="28"/>
          <w:lang w:val="en-US"/>
        </w:rPr>
      </w:pPr>
    </w:p>
    <w:p w14:paraId="14AAFE59" w14:textId="3017F891" w:rsidR="00DC5CC7" w:rsidRPr="009F28F0" w:rsidRDefault="00DC5CC7" w:rsidP="009F28F0">
      <w:pPr>
        <w:spacing w:after="0" w:line="240" w:lineRule="auto"/>
        <w:ind w:firstLine="720"/>
        <w:contextualSpacing/>
        <w:rPr>
          <w:rFonts w:ascii="Times New Roman" w:hAnsi="Times New Roman" w:cs="Times New Roman"/>
          <w:sz w:val="24"/>
          <w:szCs w:val="24"/>
          <w:lang w:val="en-US"/>
        </w:rPr>
      </w:pPr>
      <w:r w:rsidRPr="00C97C92">
        <w:rPr>
          <w:rFonts w:ascii="Times New Roman" w:hAnsi="Times New Roman" w:cs="Times New Roman"/>
          <w:sz w:val="24"/>
          <w:szCs w:val="24"/>
          <w:lang w:val="en-US"/>
        </w:rPr>
        <w:t>Note – Compiled by author based on [9]</w:t>
      </w:r>
    </w:p>
    <w:p w14:paraId="7EEC5280" w14:textId="77777777" w:rsidR="00DC5CC7" w:rsidRPr="00244343" w:rsidRDefault="00DC5CC7" w:rsidP="00840120">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Implementing the Triple Helix model in Kazakhstan, mainly through enhanced university-industry collaboration and regional cluster development, requires a strategic approach that addresses the exact needs and challenges of the country. Here is a proposed mechanism based on multiple bibliometric analyses for strengthening UIC:</w:t>
      </w:r>
    </w:p>
    <w:p w14:paraId="4B260537" w14:textId="77777777" w:rsidR="00DC5CC7" w:rsidRPr="00244343" w:rsidRDefault="00DC5CC7" w:rsidP="00840120">
      <w:pPr>
        <w:pStyle w:val="ad"/>
        <w:numPr>
          <w:ilvl w:val="0"/>
          <w:numId w:val="3"/>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Joint Research Projects: Encourage joint research projects between universities and businesses to address industry-specific challenges and generate innovative solutions.</w:t>
      </w:r>
    </w:p>
    <w:p w14:paraId="0CA2ED9E" w14:textId="77777777" w:rsidR="00DC5CC7" w:rsidRPr="00244343" w:rsidRDefault="00DC5CC7" w:rsidP="00840120">
      <w:pPr>
        <w:pStyle w:val="ad"/>
        <w:numPr>
          <w:ilvl w:val="0"/>
          <w:numId w:val="3"/>
        </w:numPr>
        <w:spacing w:after="0" w:line="240" w:lineRule="auto"/>
        <w:jc w:val="both"/>
        <w:rPr>
          <w:rFonts w:ascii="Times New Roman" w:eastAsia="Times New Roman" w:hAnsi="Times New Roman" w:cs="Times New Roman"/>
          <w:sz w:val="28"/>
          <w:szCs w:val="28"/>
          <w:lang w:val="en-US"/>
        </w:rPr>
      </w:pPr>
      <w:bookmarkStart w:id="12" w:name="_Hlk189919918"/>
      <w:r w:rsidRPr="00244343">
        <w:rPr>
          <w:rFonts w:ascii="Times New Roman" w:eastAsia="Times New Roman" w:hAnsi="Times New Roman" w:cs="Times New Roman"/>
          <w:sz w:val="28"/>
          <w:szCs w:val="28"/>
          <w:lang w:val="en-US"/>
        </w:rPr>
        <w:t>Technology Transfer Offices (TTOs): Establish or strengthen TTOs to facilitate university research and intellectual property commercialization.</w:t>
      </w:r>
    </w:p>
    <w:p w14:paraId="618289AF" w14:textId="77777777" w:rsidR="00DC5CC7" w:rsidRPr="00244343" w:rsidRDefault="00DC5CC7" w:rsidP="00840120">
      <w:pPr>
        <w:pStyle w:val="ad"/>
        <w:numPr>
          <w:ilvl w:val="0"/>
          <w:numId w:val="3"/>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Industry-Sponsored Research: Foster industry-sponsored research programs to align academic research with industry needs.</w:t>
      </w:r>
    </w:p>
    <w:p w14:paraId="67E8DCC2" w14:textId="77777777" w:rsidR="00DC5CC7" w:rsidRPr="00244343" w:rsidRDefault="00DC5CC7" w:rsidP="00840120">
      <w:pPr>
        <w:pStyle w:val="ad"/>
        <w:numPr>
          <w:ilvl w:val="0"/>
          <w:numId w:val="3"/>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Talent Development Programs: Implement joint programs to develop a highly skilled workforce that satisfies the needs of both academia and industry.</w:t>
      </w:r>
    </w:p>
    <w:p w14:paraId="6B69E4AD" w14:textId="77777777" w:rsidR="00DC5CC7" w:rsidRPr="00244343" w:rsidRDefault="00DC5CC7" w:rsidP="00840120">
      <w:pPr>
        <w:pStyle w:val="ad"/>
        <w:numPr>
          <w:ilvl w:val="0"/>
          <w:numId w:val="3"/>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Incubation and Acceleration Programs: Create incubation and acceleration programs to support the growth of technology-based startups emerging from universities.</w:t>
      </w:r>
    </w:p>
    <w:p w14:paraId="5876B7C2" w14:textId="77777777" w:rsidR="00DC5CC7" w:rsidRPr="00244343" w:rsidRDefault="00DC5CC7" w:rsidP="00840120">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lastRenderedPageBreak/>
        <w:t xml:space="preserve">Based on the </w:t>
      </w:r>
      <w:proofErr w:type="spellStart"/>
      <w:r w:rsidRPr="00244343">
        <w:rPr>
          <w:rFonts w:ascii="Times New Roman" w:eastAsia="Times New Roman" w:hAnsi="Times New Roman" w:cs="Times New Roman"/>
          <w:sz w:val="28"/>
          <w:szCs w:val="28"/>
          <w:lang w:val="en-US"/>
        </w:rPr>
        <w:t>VosViewer</w:t>
      </w:r>
      <w:proofErr w:type="spellEnd"/>
      <w:r w:rsidRPr="00244343">
        <w:rPr>
          <w:rFonts w:ascii="Times New Roman" w:eastAsia="Times New Roman" w:hAnsi="Times New Roman" w:cs="Times New Roman"/>
          <w:sz w:val="28"/>
          <w:szCs w:val="28"/>
          <w:lang w:val="en-US"/>
        </w:rPr>
        <w:t xml:space="preserve"> results, we offer the following:</w:t>
      </w:r>
    </w:p>
    <w:p w14:paraId="5D747181" w14:textId="1F3EFCC1" w:rsidR="00DC5CC7" w:rsidRPr="002E2B56" w:rsidRDefault="000F1099" w:rsidP="00840120">
      <w:pPr>
        <w:pStyle w:val="af"/>
        <w:ind w:firstLine="709"/>
        <w:jc w:val="both"/>
        <w:rPr>
          <w:rFonts w:ascii="Times New Roman" w:hAnsi="Times New Roman" w:cs="Times New Roman"/>
          <w:sz w:val="28"/>
          <w:szCs w:val="28"/>
          <w:lang w:val="en-US"/>
        </w:rPr>
      </w:pPr>
      <w:r w:rsidRPr="000F1099">
        <w:rPr>
          <w:rFonts w:ascii="Times New Roman" w:hAnsi="Times New Roman" w:cs="Times New Roman"/>
          <w:sz w:val="28"/>
          <w:szCs w:val="28"/>
          <w:lang w:val="en-US"/>
        </w:rPr>
        <w:t xml:space="preserve">- </w:t>
      </w:r>
      <w:r w:rsidR="00DC5CC7" w:rsidRPr="002E2B56">
        <w:rPr>
          <w:rFonts w:ascii="Times New Roman" w:hAnsi="Times New Roman" w:cs="Times New Roman"/>
          <w:sz w:val="28"/>
          <w:szCs w:val="28"/>
          <w:lang w:val="en-US"/>
        </w:rPr>
        <w:t>Identify each region's core competencies and strategic assets to determine the potential for cluster development.</w:t>
      </w:r>
    </w:p>
    <w:p w14:paraId="57334E82" w14:textId="75769779" w:rsidR="00DC5CC7" w:rsidRPr="002E2B56" w:rsidRDefault="00DC5CC7" w:rsidP="00840120">
      <w:pPr>
        <w:pStyle w:val="af"/>
        <w:ind w:firstLine="709"/>
        <w:jc w:val="both"/>
        <w:rPr>
          <w:rFonts w:ascii="Times New Roman" w:hAnsi="Times New Roman" w:cs="Times New Roman"/>
          <w:sz w:val="28"/>
          <w:szCs w:val="28"/>
          <w:lang w:val="en-US"/>
        </w:rPr>
      </w:pPr>
      <w:r w:rsidRPr="002E2B56">
        <w:rPr>
          <w:rFonts w:ascii="Times New Roman" w:hAnsi="Times New Roman" w:cs="Times New Roman"/>
          <w:sz w:val="28"/>
          <w:szCs w:val="28"/>
          <w:lang w:val="en-US"/>
        </w:rPr>
        <w:t>- Organize networking events and workshops to connect businesses, universities, and government agencies within a specific region.</w:t>
      </w:r>
    </w:p>
    <w:p w14:paraId="6657B99A" w14:textId="2BB61AA2" w:rsidR="00DC5CC7" w:rsidRPr="002E2B56" w:rsidRDefault="00DC5CC7" w:rsidP="00840120">
      <w:pPr>
        <w:pStyle w:val="af"/>
        <w:ind w:firstLine="709"/>
        <w:jc w:val="both"/>
        <w:rPr>
          <w:rFonts w:ascii="Times New Roman" w:hAnsi="Times New Roman" w:cs="Times New Roman"/>
          <w:sz w:val="28"/>
          <w:szCs w:val="28"/>
          <w:lang w:val="en-US"/>
        </w:rPr>
      </w:pPr>
      <w:r w:rsidRPr="002E2B56">
        <w:rPr>
          <w:rFonts w:ascii="Times New Roman" w:hAnsi="Times New Roman" w:cs="Times New Roman"/>
          <w:sz w:val="28"/>
          <w:szCs w:val="28"/>
          <w:lang w:val="en-US"/>
        </w:rPr>
        <w:t>- Offer tax incentives and grants to encourage businesses to locate in clusters and collaborate with universities. Government initiatives should probably focus more on this point.</w:t>
      </w:r>
    </w:p>
    <w:p w14:paraId="4E7823C2" w14:textId="0B6C90D6" w:rsidR="00DC5CC7" w:rsidRPr="002E2B56" w:rsidRDefault="00DC5CC7" w:rsidP="00840120">
      <w:pPr>
        <w:pStyle w:val="af"/>
        <w:ind w:firstLine="709"/>
        <w:jc w:val="both"/>
        <w:rPr>
          <w:rFonts w:ascii="Times New Roman" w:hAnsi="Times New Roman" w:cs="Times New Roman"/>
          <w:sz w:val="28"/>
          <w:szCs w:val="28"/>
          <w:lang w:val="en-US"/>
        </w:rPr>
      </w:pPr>
      <w:r w:rsidRPr="002E2B56">
        <w:rPr>
          <w:rFonts w:ascii="Times New Roman" w:hAnsi="Times New Roman" w:cs="Times New Roman"/>
          <w:sz w:val="28"/>
          <w:szCs w:val="28"/>
          <w:lang w:val="en-US"/>
        </w:rPr>
        <w:t xml:space="preserve">- Develop shared infrastructure, such as research facilities, technology parks, and incubators, to support cluster development. The Government of the Republic of </w:t>
      </w:r>
      <w:proofErr w:type="spellStart"/>
      <w:r w:rsidRPr="002E2B56">
        <w:rPr>
          <w:rFonts w:ascii="Times New Roman" w:hAnsi="Times New Roman" w:cs="Times New Roman"/>
          <w:sz w:val="28"/>
          <w:szCs w:val="28"/>
          <w:lang w:val="en-US"/>
        </w:rPr>
        <w:t>Qazaqstan</w:t>
      </w:r>
      <w:proofErr w:type="spellEnd"/>
      <w:r w:rsidRPr="002E2B56">
        <w:rPr>
          <w:rFonts w:ascii="Times New Roman" w:hAnsi="Times New Roman" w:cs="Times New Roman"/>
          <w:sz w:val="28"/>
          <w:szCs w:val="28"/>
          <w:lang w:val="en-US"/>
        </w:rPr>
        <w:t xml:space="preserve"> established the Autonomous Cluster Fund "Park of Innovative Technologies" in 2014, which operates under the Tech Garden trademark.</w:t>
      </w:r>
    </w:p>
    <w:p w14:paraId="7200A902" w14:textId="0E8F62CC" w:rsidR="00DC5CC7" w:rsidRPr="002E2B56" w:rsidRDefault="00DC5CC7" w:rsidP="00840120">
      <w:pPr>
        <w:pStyle w:val="af"/>
        <w:ind w:firstLine="709"/>
        <w:jc w:val="both"/>
        <w:rPr>
          <w:rFonts w:ascii="Times New Roman" w:hAnsi="Times New Roman" w:cs="Times New Roman"/>
          <w:sz w:val="28"/>
          <w:szCs w:val="28"/>
          <w:lang w:val="en-US"/>
        </w:rPr>
      </w:pPr>
      <w:r w:rsidRPr="002E2B56">
        <w:rPr>
          <w:rFonts w:ascii="Times New Roman" w:hAnsi="Times New Roman" w:cs="Times New Roman"/>
          <w:sz w:val="28"/>
          <w:szCs w:val="28"/>
          <w:lang w:val="en-US"/>
        </w:rPr>
        <w:t>- Foster a Culture of Innovation: Promote entrepreneurship, risk-taking, and intellectual property protection to create a supportive culture of innovation.</w:t>
      </w:r>
    </w:p>
    <w:p w14:paraId="1E60A245" w14:textId="72709611" w:rsidR="00DC5CC7" w:rsidRPr="00244343" w:rsidRDefault="00DC5CC7" w:rsidP="00840120">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What does Kazakhstan already have?</w:t>
      </w:r>
      <w:r w:rsidR="002E2B56">
        <w:rPr>
          <w:rFonts w:ascii="Times New Roman" w:eastAsia="Times New Roman" w:hAnsi="Times New Roman" w:cs="Times New Roman"/>
          <w:sz w:val="28"/>
          <w:szCs w:val="28"/>
          <w:lang w:val="en-US"/>
        </w:rPr>
        <w:t xml:space="preserve"> </w:t>
      </w:r>
    </w:p>
    <w:p w14:paraId="7C3E044F" w14:textId="77777777" w:rsidR="00DC5CC7" w:rsidRPr="00244343" w:rsidRDefault="00DC5CC7" w:rsidP="00840120">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Favorable Regulatory Environment: Implement policies encouraging innovation and entrepreneurship, such as streamlined regulations for starting businesses and intellectual property protection.</w:t>
      </w:r>
    </w:p>
    <w:p w14:paraId="1216D580" w14:textId="77777777" w:rsidR="0018540F" w:rsidRDefault="00DC5CC7" w:rsidP="00840120">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Sponsored education and internship programs to develop a skilled workforce supporting innovation and technological advancement.</w:t>
      </w:r>
    </w:p>
    <w:p w14:paraId="2FD8AEF8" w14:textId="0B4FDE7B" w:rsidR="0018540F"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What the government needs to foster:</w:t>
      </w:r>
    </w:p>
    <w:p w14:paraId="66FB96CC" w14:textId="77777777" w:rsidR="00C71DA9" w:rsidRDefault="00C71DA9" w:rsidP="00C71DA9">
      <w:pPr>
        <w:spacing w:after="0" w:line="240" w:lineRule="auto"/>
        <w:ind w:firstLine="113"/>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18540F">
        <w:rPr>
          <w:rFonts w:ascii="Times New Roman" w:eastAsia="Times New Roman" w:hAnsi="Times New Roman" w:cs="Times New Roman"/>
          <w:sz w:val="28"/>
          <w:szCs w:val="28"/>
          <w:lang w:val="en-US"/>
        </w:rPr>
        <w:t xml:space="preserve">- </w:t>
      </w:r>
      <w:r w:rsidR="00DC5CC7" w:rsidRPr="00244343">
        <w:rPr>
          <w:rFonts w:ascii="Times New Roman" w:eastAsia="Times New Roman" w:hAnsi="Times New Roman" w:cs="Times New Roman"/>
          <w:sz w:val="28"/>
          <w:szCs w:val="28"/>
          <w:lang w:val="en-US"/>
        </w:rPr>
        <w:t>Public-Private Partnerships: Foster solid public-private partnerships to mobilize resources and coordinate efforts</w:t>
      </w:r>
      <w:r w:rsidR="0018540F">
        <w:rPr>
          <w:rFonts w:ascii="Times New Roman" w:eastAsia="Times New Roman" w:hAnsi="Times New Roman" w:cs="Times New Roman"/>
          <w:sz w:val="28"/>
          <w:szCs w:val="28"/>
          <w:lang w:val="en-US"/>
        </w:rPr>
        <w:t>.</w:t>
      </w:r>
    </w:p>
    <w:p w14:paraId="2BA4395C" w14:textId="0C650E05" w:rsidR="00DC5CC7" w:rsidRPr="00244343" w:rsidRDefault="00C71DA9" w:rsidP="00C71DA9">
      <w:pPr>
        <w:spacing w:after="0" w:line="240" w:lineRule="auto"/>
        <w:ind w:firstLine="113"/>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 </w:t>
      </w:r>
      <w:r w:rsidR="00DC5CC7" w:rsidRPr="00244343">
        <w:rPr>
          <w:rFonts w:ascii="Times New Roman" w:eastAsia="Times New Roman" w:hAnsi="Times New Roman" w:cs="Times New Roman"/>
          <w:sz w:val="28"/>
          <w:szCs w:val="28"/>
          <w:lang w:val="en-US"/>
        </w:rPr>
        <w:t>Targeted Funding: Allocate targeted funding to support research and development, technology transfer, and innovation initiatives.</w:t>
      </w:r>
    </w:p>
    <w:p w14:paraId="56395843"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By implementing these strategies, Kazakhstan can leverage the Triple Helix model to drive regional development, foster innovation, and enhance its competitiveness in the global economy.</w:t>
      </w:r>
    </w:p>
    <w:p w14:paraId="70FBD402"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It is crucial to note that the success of the Triple Helix model depends on a solid commitment from all agents, including government, academia, and industry. A clear vision, effective leadership, and sustained efforts are essential to achieve the desired outcomes.</w:t>
      </w:r>
    </w:p>
    <w:p w14:paraId="0801507C"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Bibliometric analysis is a powerful tool that utilizes quantitative methods to study the patterns of scholarly communication. It provides valuable insights into the research landscape, helping the author to understand a) Identifying Emerging Trends: Researchers can identify emerging topics and methodologies gaining traction in their field by analyzing publication trends. b) Tracking Evolution of Research: </w:t>
      </w:r>
      <w:proofErr w:type="spellStart"/>
      <w:r w:rsidRPr="00244343">
        <w:rPr>
          <w:rFonts w:ascii="Times New Roman" w:eastAsia="Times New Roman" w:hAnsi="Times New Roman" w:cs="Times New Roman"/>
          <w:sz w:val="28"/>
          <w:szCs w:val="28"/>
          <w:lang w:val="en-US"/>
        </w:rPr>
        <w:t>Biblioshiny</w:t>
      </w:r>
      <w:proofErr w:type="spellEnd"/>
      <w:r w:rsidRPr="00244343">
        <w:rPr>
          <w:rFonts w:ascii="Times New Roman" w:eastAsia="Times New Roman" w:hAnsi="Times New Roman" w:cs="Times New Roman"/>
          <w:sz w:val="28"/>
          <w:szCs w:val="28"/>
          <w:lang w:val="en-US"/>
        </w:rPr>
        <w:t xml:space="preserve"> web browser by R-studio helped the researcher understand how research questions and methodologies have evolved. Thus, visually, we could identify trends in UIC and how important those trends are in shaping UIC.</w:t>
      </w:r>
    </w:p>
    <w:bookmarkEnd w:id="12"/>
    <w:p w14:paraId="35794CFC"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This chapter delves into the thematic evolution of university-industry collaboration (UIC) using bibliometric analysis, primarily focusing on global trends and contrasting them with the limited data available for Kazakhstan. It explains the importance of thematic evolution in understanding research trends and uses tools </w:t>
      </w:r>
      <w:r w:rsidRPr="00244343">
        <w:rPr>
          <w:rFonts w:ascii="Times New Roman" w:eastAsia="Times New Roman" w:hAnsi="Times New Roman" w:cs="Times New Roman"/>
          <w:sz w:val="28"/>
          <w:szCs w:val="28"/>
          <w:lang w:val="en-US"/>
        </w:rPr>
        <w:lastRenderedPageBreak/>
        <w:t xml:space="preserve">like </w:t>
      </w:r>
      <w:proofErr w:type="spellStart"/>
      <w:r w:rsidRPr="00244343">
        <w:rPr>
          <w:rFonts w:ascii="Times New Roman" w:eastAsia="Times New Roman" w:hAnsi="Times New Roman" w:cs="Times New Roman"/>
          <w:sz w:val="28"/>
          <w:szCs w:val="28"/>
          <w:lang w:val="en-US"/>
        </w:rPr>
        <w:t>Biblioshiny</w:t>
      </w:r>
      <w:proofErr w:type="spellEnd"/>
      <w:r w:rsidRPr="00244343">
        <w:rPr>
          <w:rFonts w:ascii="Times New Roman" w:eastAsia="Times New Roman" w:hAnsi="Times New Roman" w:cs="Times New Roman"/>
          <w:sz w:val="28"/>
          <w:szCs w:val="28"/>
          <w:lang w:val="en-US"/>
        </w:rPr>
        <w:t xml:space="preserve"> and </w:t>
      </w:r>
      <w:proofErr w:type="spellStart"/>
      <w:r w:rsidRPr="00244343">
        <w:rPr>
          <w:rFonts w:ascii="Times New Roman" w:eastAsia="Times New Roman" w:hAnsi="Times New Roman" w:cs="Times New Roman"/>
          <w:sz w:val="28"/>
          <w:szCs w:val="28"/>
          <w:lang w:val="en-US"/>
        </w:rPr>
        <w:t>VOSviewer</w:t>
      </w:r>
      <w:proofErr w:type="spellEnd"/>
      <w:r w:rsidRPr="00244343">
        <w:rPr>
          <w:rFonts w:ascii="Times New Roman" w:eastAsia="Times New Roman" w:hAnsi="Times New Roman" w:cs="Times New Roman"/>
          <w:sz w:val="28"/>
          <w:szCs w:val="28"/>
          <w:lang w:val="en-US"/>
        </w:rPr>
        <w:t>. The analysis of global UIC literature from 1978 to 2024, divided into six time periods, reveals:</w:t>
      </w:r>
    </w:p>
    <w:p w14:paraId="098B3245" w14:textId="77777777" w:rsidR="00DC5CC7" w:rsidRPr="00244343" w:rsidRDefault="00DC5CC7" w:rsidP="001B500C">
      <w:pPr>
        <w:numPr>
          <w:ilvl w:val="0"/>
          <w:numId w:val="5"/>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Consistent use of the term "UIC" throughout.</w:t>
      </w:r>
    </w:p>
    <w:p w14:paraId="3C1448EC" w14:textId="77777777" w:rsidR="00DC5CC7" w:rsidRPr="00244343" w:rsidRDefault="00DC5CC7" w:rsidP="001B500C">
      <w:pPr>
        <w:numPr>
          <w:ilvl w:val="0"/>
          <w:numId w:val="5"/>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From 2019 onwards, the term "collaboration" will be broader to include related concepts like "cooperation," "linkages," and "interaction."</w:t>
      </w:r>
    </w:p>
    <w:p w14:paraId="713E66FD" w14:textId="77777777" w:rsidR="00DC5CC7" w:rsidRPr="00244343" w:rsidRDefault="00DC5CC7" w:rsidP="001B500C">
      <w:pPr>
        <w:numPr>
          <w:ilvl w:val="0"/>
          <w:numId w:val="5"/>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 emergence of "entrepreneurship" as a key theme from 2012-2015.</w:t>
      </w:r>
    </w:p>
    <w:p w14:paraId="0201EF46" w14:textId="77777777" w:rsidR="00DC5CC7" w:rsidRPr="00244343" w:rsidRDefault="00DC5CC7" w:rsidP="001B500C">
      <w:pPr>
        <w:numPr>
          <w:ilvl w:val="0"/>
          <w:numId w:val="5"/>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 introduction of the "Triple Helix," "Management," and "barriers" are important themes from 2019.</w:t>
      </w:r>
    </w:p>
    <w:p w14:paraId="1F45118B" w14:textId="77777777" w:rsidR="00DC5CC7" w:rsidRPr="00244343" w:rsidRDefault="00DC5CC7" w:rsidP="001B500C">
      <w:pPr>
        <w:numPr>
          <w:ilvl w:val="0"/>
          <w:numId w:val="5"/>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Increasing focus on "Higher Education," "performance measurement," and "knowledge management" in recent years (2021-2022).</w:t>
      </w:r>
    </w:p>
    <w:p w14:paraId="37BED56B" w14:textId="77777777" w:rsidR="00DC5CC7" w:rsidRPr="00244343" w:rsidRDefault="00DC5CC7" w:rsidP="001B500C">
      <w:pPr>
        <w:numPr>
          <w:ilvl w:val="0"/>
          <w:numId w:val="5"/>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Emphasis on "Triple Helix," "UIC," "education," and "partnerships" in the most recent period (2023-2024).</w:t>
      </w:r>
    </w:p>
    <w:p w14:paraId="2F0E4523"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Due to the country's scarcity of data, thematic evolution analysis could not be performed. It reinforces the research gap identified in previous chapters.</w:t>
      </w:r>
    </w:p>
    <w:p w14:paraId="517F0C55"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Global analysis shows distinct groupings related to development and cooperation, while Kazakhstan's analysis, due to limited data, shows less defined groupings. The global analysis also highlights the importance of "researchers" and "channels" (connections between university, industry, and government). Global production on UIC shows growth, peaking in 2019. Kazakhstan's production is inconsistent but tends to increase, highlighting the need for more research in this area.</w:t>
      </w:r>
    </w:p>
    <w:p w14:paraId="1208F0B3" w14:textId="77777777" w:rsidR="00DC5CC7" w:rsidRPr="00244343"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bookmarkStart w:id="13" w:name="_Hlk189919940"/>
      <w:r w:rsidRPr="00244343">
        <w:rPr>
          <w:rFonts w:ascii="Times New Roman" w:eastAsia="Times New Roman" w:hAnsi="Times New Roman" w:cs="Times New Roman"/>
          <w:sz w:val="28"/>
          <w:szCs w:val="28"/>
          <w:lang w:val="en-US"/>
        </w:rPr>
        <w:t>Based on the bibliometric analysis, the chapter proposes strategies for strengthening UIC in Kazakhstan:</w:t>
      </w:r>
    </w:p>
    <w:p w14:paraId="7C06B201" w14:textId="77777777" w:rsidR="00DC5CC7" w:rsidRPr="00244343" w:rsidRDefault="00DC5CC7" w:rsidP="001B500C">
      <w:pPr>
        <w:numPr>
          <w:ilvl w:val="0"/>
          <w:numId w:val="5"/>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Joint research projects.</w:t>
      </w:r>
    </w:p>
    <w:p w14:paraId="27E7CC4C" w14:textId="77777777" w:rsidR="00DC5CC7" w:rsidRPr="00244343" w:rsidRDefault="00DC5CC7" w:rsidP="001B500C">
      <w:pPr>
        <w:numPr>
          <w:ilvl w:val="0"/>
          <w:numId w:val="5"/>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More substantial Technology Transfer Offices (TTOs).</w:t>
      </w:r>
    </w:p>
    <w:p w14:paraId="029543E0" w14:textId="77777777" w:rsidR="00DC5CC7" w:rsidRPr="00244343" w:rsidRDefault="00DC5CC7" w:rsidP="001B500C">
      <w:pPr>
        <w:numPr>
          <w:ilvl w:val="0"/>
          <w:numId w:val="5"/>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Industry-sponsored research.</w:t>
      </w:r>
    </w:p>
    <w:p w14:paraId="335987B2" w14:textId="77777777" w:rsidR="00DC5CC7" w:rsidRPr="00244343" w:rsidRDefault="00DC5CC7" w:rsidP="001B500C">
      <w:pPr>
        <w:numPr>
          <w:ilvl w:val="0"/>
          <w:numId w:val="5"/>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Talent development programs.</w:t>
      </w:r>
    </w:p>
    <w:p w14:paraId="0CB78EA9" w14:textId="77777777" w:rsidR="00DC5CC7" w:rsidRPr="00244343" w:rsidRDefault="00DC5CC7" w:rsidP="001B500C">
      <w:pPr>
        <w:numPr>
          <w:ilvl w:val="0"/>
          <w:numId w:val="5"/>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Incubation and acceleration program.</w:t>
      </w:r>
    </w:p>
    <w:p w14:paraId="78E8AF73" w14:textId="77777777" w:rsidR="00DC5CC7" w:rsidRPr="00244343" w:rsidRDefault="00DC5CC7" w:rsidP="001B500C">
      <w:pPr>
        <w:numPr>
          <w:ilvl w:val="0"/>
          <w:numId w:val="5"/>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Regional cluster development (identifying competencies, networking, incentives, infrastructure).</w:t>
      </w:r>
    </w:p>
    <w:p w14:paraId="119FC89D" w14:textId="77777777" w:rsidR="00DC5CC7" w:rsidRPr="00244343" w:rsidRDefault="00DC5CC7" w:rsidP="001B500C">
      <w:pPr>
        <w:numPr>
          <w:ilvl w:val="0"/>
          <w:numId w:val="5"/>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Fostering a culture of innovation.</w:t>
      </w:r>
    </w:p>
    <w:p w14:paraId="39DFF000" w14:textId="77777777" w:rsidR="00DC5CC7" w:rsidRPr="00244343" w:rsidRDefault="00DC5CC7" w:rsidP="001B500C">
      <w:pPr>
        <w:numPr>
          <w:ilvl w:val="0"/>
          <w:numId w:val="5"/>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Leveraging existing favorable regulatory environment and sponsored programs.</w:t>
      </w:r>
    </w:p>
    <w:p w14:paraId="5F06F5FB" w14:textId="77777777" w:rsidR="00DC5CC7" w:rsidRPr="00244343" w:rsidRDefault="00DC5CC7" w:rsidP="001B500C">
      <w:pPr>
        <w:numPr>
          <w:ilvl w:val="0"/>
          <w:numId w:val="5"/>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Strengthening public-private partnerships.</w:t>
      </w:r>
    </w:p>
    <w:p w14:paraId="082464A9" w14:textId="6452B2BF" w:rsidR="00DC5CC7" w:rsidRPr="00FE196C" w:rsidRDefault="00DC5CC7" w:rsidP="001B500C">
      <w:pPr>
        <w:numPr>
          <w:ilvl w:val="0"/>
          <w:numId w:val="5"/>
        </w:numPr>
        <w:spacing w:after="0" w:line="240" w:lineRule="auto"/>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Targeted funding for R&amp;D and innovation.</w:t>
      </w:r>
      <w:bookmarkEnd w:id="13"/>
    </w:p>
    <w:p w14:paraId="77365F10" w14:textId="77777777" w:rsidR="00DC5CC7"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566F5D">
        <w:rPr>
          <w:rFonts w:ascii="Times New Roman" w:eastAsia="Times New Roman" w:hAnsi="Times New Roman" w:cs="Times New Roman"/>
          <w:sz w:val="28"/>
          <w:szCs w:val="28"/>
          <w:lang w:val="en-US"/>
        </w:rPr>
        <w:t xml:space="preserve">This chapter explores the THM as a framework for understanding the interaction between universities, industry, and government in driving innovation. Using the analogy of a biological triple helix, the chapter illustrates how these three actors collaborate to foster innovation. The chapter distinguishes between two approaches to implementing the THM: the statist model, which involves strong governmental involvement, and the laissez-faire model, where the market is the primary driver. Despite the considerable research on the THM and its related concepts, the chapter highlights a gap in understanding innovation management within universities. It emphasizes that universities are not merely knowledge </w:t>
      </w:r>
      <w:r w:rsidRPr="00566F5D">
        <w:rPr>
          <w:rFonts w:ascii="Times New Roman" w:eastAsia="Times New Roman" w:hAnsi="Times New Roman" w:cs="Times New Roman"/>
          <w:sz w:val="28"/>
          <w:szCs w:val="28"/>
          <w:lang w:val="en-US"/>
        </w:rPr>
        <w:lastRenderedPageBreak/>
        <w:t>producers but also play an entrepreneurial role in this framework. It also introduces the concept of U-S-C spirals (University, Student, Company) as a novel framework for analyzing university-based innovation, where each spiral represents different innovation activities.</w:t>
      </w:r>
    </w:p>
    <w:p w14:paraId="7BE9E770" w14:textId="57D6A06E" w:rsidR="00DC5CC7" w:rsidRDefault="00DC5CC7" w:rsidP="00DC5CC7">
      <w:pPr>
        <w:spacing w:after="0" w:line="240" w:lineRule="auto"/>
        <w:ind w:firstLine="720"/>
        <w:contextualSpacing/>
        <w:jc w:val="both"/>
        <w:rPr>
          <w:rFonts w:ascii="Times New Roman" w:eastAsia="Times New Roman" w:hAnsi="Times New Roman" w:cs="Times New Roman"/>
          <w:sz w:val="28"/>
          <w:szCs w:val="28"/>
          <w:lang w:val="en-US"/>
        </w:rPr>
      </w:pPr>
      <w:r w:rsidRPr="00566F5D">
        <w:rPr>
          <w:rFonts w:ascii="Times New Roman" w:eastAsia="Times New Roman" w:hAnsi="Times New Roman" w:cs="Times New Roman"/>
          <w:sz w:val="28"/>
          <w:szCs w:val="28"/>
          <w:lang w:val="en-US"/>
        </w:rPr>
        <w:t xml:space="preserve">The chapter also presents an in-depth bibliometric analysis to examine global and Kazakhstani trends in university-industry collaboration (UIC) and the implementation of the THM. The analysis, which uses tools like </w:t>
      </w:r>
      <w:proofErr w:type="spellStart"/>
      <w:r w:rsidRPr="00566F5D">
        <w:rPr>
          <w:rFonts w:ascii="Times New Roman" w:eastAsia="Times New Roman" w:hAnsi="Times New Roman" w:cs="Times New Roman"/>
          <w:sz w:val="28"/>
          <w:szCs w:val="28"/>
          <w:lang w:val="en-US"/>
        </w:rPr>
        <w:t>VOSviewer</w:t>
      </w:r>
      <w:proofErr w:type="spellEnd"/>
      <w:r w:rsidRPr="00566F5D">
        <w:rPr>
          <w:rFonts w:ascii="Times New Roman" w:eastAsia="Times New Roman" w:hAnsi="Times New Roman" w:cs="Times New Roman"/>
          <w:sz w:val="28"/>
          <w:szCs w:val="28"/>
          <w:lang w:val="en-US"/>
        </w:rPr>
        <w:t xml:space="preserve"> and </w:t>
      </w:r>
      <w:proofErr w:type="spellStart"/>
      <w:r w:rsidRPr="00566F5D">
        <w:rPr>
          <w:rFonts w:ascii="Times New Roman" w:eastAsia="Times New Roman" w:hAnsi="Times New Roman" w:cs="Times New Roman"/>
          <w:sz w:val="28"/>
          <w:szCs w:val="28"/>
          <w:lang w:val="en-US"/>
        </w:rPr>
        <w:t>Biblioshiny</w:t>
      </w:r>
      <w:proofErr w:type="spellEnd"/>
      <w:r w:rsidRPr="00566F5D">
        <w:rPr>
          <w:rFonts w:ascii="Times New Roman" w:eastAsia="Times New Roman" w:hAnsi="Times New Roman" w:cs="Times New Roman"/>
          <w:sz w:val="28"/>
          <w:szCs w:val="28"/>
          <w:lang w:val="en-US"/>
        </w:rPr>
        <w:t>, reveals that global research on UIC has been growing, focusing on related concepts like "entrepreneurship" and "knowledge management" in recent years. The analysis identifies the emergence of important themes such as "Triple Helix," "education," and "partnerships," especially in the latest period (2023-2024). However, in the case of Kazakhstan, the lack of sufficient data limits the scope of analysis, and the results show less defined groupings of themes. This chapter identifies a notable gap in the research concerning "Kazakhstan Regional Innovation," especially in relation to the application of the THM, highlighting the necessity for additional studies to enhance understanding and support for innovation within the country.</w:t>
      </w:r>
    </w:p>
    <w:p w14:paraId="162CB28A" w14:textId="130A52A6" w:rsidR="00DC5CC7" w:rsidRDefault="00DC5CC7" w:rsidP="00FD37D3">
      <w:pPr>
        <w:ind w:firstLine="720"/>
        <w:jc w:val="both"/>
        <w:rPr>
          <w:rFonts w:ascii="Times New Roman" w:eastAsia="Times New Roman" w:hAnsi="Times New Roman" w:cs="Times New Roman"/>
          <w:sz w:val="28"/>
          <w:szCs w:val="28"/>
          <w:lang w:val="en-US"/>
        </w:rPr>
      </w:pPr>
      <w:r w:rsidRPr="00566F5D">
        <w:rPr>
          <w:rFonts w:ascii="Times New Roman" w:eastAsia="Times New Roman" w:hAnsi="Times New Roman" w:cs="Times New Roman"/>
          <w:sz w:val="28"/>
          <w:szCs w:val="28"/>
          <w:lang w:val="en-US"/>
        </w:rPr>
        <w:t>The chapter investigates the significance of the THM for regional development in Kazakhstan. The successful implementation of this model can address regional disparities, diversify the economy beyond natural resources, and enhance innovation capacity. The author advocates for further research on the implementation of THM in Kazakhstan to assist policymakers in enhancing the National Innovation ecosystem.</w:t>
      </w:r>
      <w:r w:rsidR="00981A09">
        <w:rPr>
          <w:rFonts w:ascii="Times New Roman" w:eastAsia="Times New Roman" w:hAnsi="Times New Roman" w:cs="Times New Roman"/>
          <w:sz w:val="28"/>
          <w:szCs w:val="28"/>
          <w:lang w:val="en-US"/>
        </w:rPr>
        <w:t xml:space="preserve"> </w:t>
      </w:r>
      <w:r w:rsidRPr="00566F5D">
        <w:rPr>
          <w:rFonts w:ascii="Times New Roman" w:eastAsia="Times New Roman" w:hAnsi="Times New Roman" w:cs="Times New Roman"/>
          <w:sz w:val="28"/>
          <w:szCs w:val="28"/>
          <w:lang w:val="en-US"/>
        </w:rPr>
        <w:t>Drawing on international best practices, the chapter proposes strategies for strengthening UIC in Kazakhstan, including joint research projects, developing Technology Transfer Offices (TTOs), industry-sponsored research, talent development, and regional cluster development.</w:t>
      </w:r>
      <w:r w:rsidR="00981A09">
        <w:rPr>
          <w:rFonts w:ascii="Times New Roman" w:eastAsia="Times New Roman" w:hAnsi="Times New Roman" w:cs="Times New Roman"/>
          <w:sz w:val="28"/>
          <w:szCs w:val="28"/>
          <w:lang w:val="en-US"/>
        </w:rPr>
        <w:t xml:space="preserve"> </w:t>
      </w:r>
      <w:r w:rsidRPr="00566F5D">
        <w:rPr>
          <w:rFonts w:ascii="Times New Roman" w:eastAsia="Times New Roman" w:hAnsi="Times New Roman" w:cs="Times New Roman"/>
          <w:sz w:val="28"/>
          <w:szCs w:val="28"/>
          <w:lang w:val="en-US"/>
        </w:rPr>
        <w:t>These programs seek to create an innovative culture, improve collaboration between universities and industry, and enhance the country's overall innovation</w:t>
      </w:r>
      <w:r w:rsidR="00981A09">
        <w:rPr>
          <w:rFonts w:ascii="Times New Roman" w:eastAsia="Times New Roman" w:hAnsi="Times New Roman" w:cs="Times New Roman"/>
          <w:sz w:val="28"/>
          <w:szCs w:val="28"/>
          <w:lang w:val="en-US"/>
        </w:rPr>
        <w:t>.</w:t>
      </w:r>
    </w:p>
    <w:p w14:paraId="0DE473DC" w14:textId="77777777" w:rsidR="00FD37D3" w:rsidRDefault="00FD37D3" w:rsidP="00FD37D3">
      <w:pPr>
        <w:spacing w:before="100" w:beforeAutospacing="1" w:after="100" w:afterAutospacing="1" w:line="240" w:lineRule="auto"/>
        <w:contextualSpacing/>
        <w:outlineLvl w:val="2"/>
        <w:rPr>
          <w:rFonts w:ascii="Times New Roman" w:eastAsia="Times New Roman" w:hAnsi="Times New Roman" w:cs="Times New Roman"/>
          <w:sz w:val="28"/>
          <w:szCs w:val="28"/>
          <w:lang w:val="en-US"/>
        </w:rPr>
      </w:pPr>
    </w:p>
    <w:p w14:paraId="1EC816D6" w14:textId="77777777" w:rsidR="00FD37D3" w:rsidRDefault="00FD37D3" w:rsidP="00FD37D3">
      <w:pPr>
        <w:spacing w:before="100" w:beforeAutospacing="1" w:after="100" w:afterAutospacing="1" w:line="240" w:lineRule="auto"/>
        <w:contextualSpacing/>
        <w:outlineLvl w:val="2"/>
        <w:rPr>
          <w:rFonts w:ascii="Times New Roman" w:eastAsia="Times New Roman" w:hAnsi="Times New Roman" w:cs="Times New Roman"/>
          <w:sz w:val="28"/>
          <w:szCs w:val="28"/>
          <w:lang w:val="en-US"/>
        </w:rPr>
      </w:pPr>
    </w:p>
    <w:p w14:paraId="6D164B34" w14:textId="77777777" w:rsidR="00FD37D3" w:rsidRDefault="00FD37D3" w:rsidP="00FD37D3">
      <w:pPr>
        <w:spacing w:before="100" w:beforeAutospacing="1" w:after="100" w:afterAutospacing="1" w:line="240" w:lineRule="auto"/>
        <w:contextualSpacing/>
        <w:outlineLvl w:val="2"/>
        <w:rPr>
          <w:rFonts w:ascii="Times New Roman" w:eastAsia="Times New Roman" w:hAnsi="Times New Roman" w:cs="Times New Roman"/>
          <w:sz w:val="28"/>
          <w:szCs w:val="28"/>
          <w:lang w:val="en-US"/>
        </w:rPr>
      </w:pPr>
    </w:p>
    <w:p w14:paraId="15A92E9C" w14:textId="77777777" w:rsidR="00FD37D3" w:rsidRDefault="00FD37D3" w:rsidP="00FD37D3">
      <w:pPr>
        <w:spacing w:before="100" w:beforeAutospacing="1" w:after="100" w:afterAutospacing="1" w:line="240" w:lineRule="auto"/>
        <w:contextualSpacing/>
        <w:outlineLvl w:val="2"/>
        <w:rPr>
          <w:rFonts w:ascii="Times New Roman" w:eastAsia="Times New Roman" w:hAnsi="Times New Roman" w:cs="Times New Roman"/>
          <w:sz w:val="28"/>
          <w:szCs w:val="28"/>
          <w:lang w:val="en-US"/>
        </w:rPr>
      </w:pPr>
    </w:p>
    <w:p w14:paraId="0FFBE26F" w14:textId="77777777" w:rsidR="00FD37D3" w:rsidRDefault="00FD37D3" w:rsidP="00FD37D3">
      <w:pPr>
        <w:spacing w:before="100" w:beforeAutospacing="1" w:after="100" w:afterAutospacing="1" w:line="240" w:lineRule="auto"/>
        <w:contextualSpacing/>
        <w:outlineLvl w:val="2"/>
        <w:rPr>
          <w:rFonts w:ascii="Times New Roman" w:eastAsia="Times New Roman" w:hAnsi="Times New Roman" w:cs="Times New Roman"/>
          <w:sz w:val="28"/>
          <w:szCs w:val="28"/>
          <w:lang w:val="en-US"/>
        </w:rPr>
      </w:pPr>
    </w:p>
    <w:p w14:paraId="6F5AC54A" w14:textId="77777777" w:rsidR="00FD37D3" w:rsidRDefault="00FD37D3" w:rsidP="00FD37D3">
      <w:pPr>
        <w:spacing w:before="100" w:beforeAutospacing="1" w:after="100" w:afterAutospacing="1" w:line="240" w:lineRule="auto"/>
        <w:contextualSpacing/>
        <w:outlineLvl w:val="2"/>
        <w:rPr>
          <w:rFonts w:ascii="Times New Roman" w:eastAsia="Times New Roman" w:hAnsi="Times New Roman" w:cs="Times New Roman"/>
          <w:sz w:val="28"/>
          <w:szCs w:val="28"/>
          <w:lang w:val="en-US"/>
        </w:rPr>
      </w:pPr>
    </w:p>
    <w:p w14:paraId="7188D5FA" w14:textId="77777777" w:rsidR="00FD37D3" w:rsidRDefault="00FD37D3" w:rsidP="00FD37D3">
      <w:pPr>
        <w:spacing w:before="100" w:beforeAutospacing="1" w:after="100" w:afterAutospacing="1" w:line="240" w:lineRule="auto"/>
        <w:contextualSpacing/>
        <w:outlineLvl w:val="2"/>
        <w:rPr>
          <w:rFonts w:ascii="Times New Roman" w:eastAsia="Times New Roman" w:hAnsi="Times New Roman" w:cs="Times New Roman"/>
          <w:sz w:val="28"/>
          <w:szCs w:val="28"/>
          <w:lang w:val="en-US"/>
        </w:rPr>
      </w:pPr>
    </w:p>
    <w:p w14:paraId="0D785E9E" w14:textId="77777777" w:rsidR="00FD37D3" w:rsidRDefault="00FD37D3" w:rsidP="00FD37D3">
      <w:pPr>
        <w:spacing w:before="100" w:beforeAutospacing="1" w:after="100" w:afterAutospacing="1" w:line="240" w:lineRule="auto"/>
        <w:contextualSpacing/>
        <w:outlineLvl w:val="2"/>
        <w:rPr>
          <w:rFonts w:ascii="Times New Roman" w:eastAsia="Times New Roman" w:hAnsi="Times New Roman" w:cs="Times New Roman"/>
          <w:sz w:val="28"/>
          <w:szCs w:val="28"/>
          <w:lang w:val="en-US"/>
        </w:rPr>
      </w:pPr>
    </w:p>
    <w:p w14:paraId="735E9095" w14:textId="77777777" w:rsidR="00FD37D3" w:rsidRDefault="00FD37D3" w:rsidP="00FD37D3">
      <w:pPr>
        <w:spacing w:before="100" w:beforeAutospacing="1" w:after="100" w:afterAutospacing="1" w:line="240" w:lineRule="auto"/>
        <w:contextualSpacing/>
        <w:outlineLvl w:val="2"/>
        <w:rPr>
          <w:rFonts w:ascii="Times New Roman" w:eastAsia="Times New Roman" w:hAnsi="Times New Roman" w:cs="Times New Roman"/>
          <w:sz w:val="28"/>
          <w:szCs w:val="28"/>
          <w:lang w:val="en-US"/>
        </w:rPr>
      </w:pPr>
    </w:p>
    <w:p w14:paraId="0B1B80E0" w14:textId="77777777" w:rsidR="00FD37D3" w:rsidRDefault="00FD37D3" w:rsidP="00FD37D3">
      <w:pPr>
        <w:spacing w:before="100" w:beforeAutospacing="1" w:after="100" w:afterAutospacing="1" w:line="240" w:lineRule="auto"/>
        <w:contextualSpacing/>
        <w:outlineLvl w:val="2"/>
        <w:rPr>
          <w:rFonts w:ascii="Times New Roman" w:eastAsia="Times New Roman" w:hAnsi="Times New Roman" w:cs="Times New Roman"/>
          <w:sz w:val="28"/>
          <w:szCs w:val="28"/>
          <w:lang w:val="en-US"/>
        </w:rPr>
      </w:pPr>
    </w:p>
    <w:p w14:paraId="5CD2EBE5" w14:textId="77777777" w:rsidR="00FD37D3" w:rsidRDefault="00FD37D3" w:rsidP="00FD37D3">
      <w:pPr>
        <w:spacing w:before="100" w:beforeAutospacing="1" w:after="100" w:afterAutospacing="1" w:line="240" w:lineRule="auto"/>
        <w:contextualSpacing/>
        <w:outlineLvl w:val="2"/>
        <w:rPr>
          <w:rFonts w:ascii="Times New Roman" w:eastAsia="Times New Roman" w:hAnsi="Times New Roman" w:cs="Times New Roman"/>
          <w:sz w:val="28"/>
          <w:szCs w:val="28"/>
          <w:lang w:val="en-US"/>
        </w:rPr>
      </w:pPr>
    </w:p>
    <w:p w14:paraId="6C32E97A" w14:textId="77777777" w:rsidR="00FD37D3" w:rsidRDefault="00FD37D3" w:rsidP="00FD37D3">
      <w:pPr>
        <w:spacing w:before="100" w:beforeAutospacing="1" w:after="100" w:afterAutospacing="1" w:line="240" w:lineRule="auto"/>
        <w:contextualSpacing/>
        <w:outlineLvl w:val="2"/>
        <w:rPr>
          <w:rFonts w:ascii="Times New Roman" w:eastAsia="Times New Roman" w:hAnsi="Times New Roman" w:cs="Times New Roman"/>
          <w:sz w:val="28"/>
          <w:szCs w:val="28"/>
          <w:lang w:val="en-US"/>
        </w:rPr>
      </w:pPr>
    </w:p>
    <w:p w14:paraId="5FBF8A39" w14:textId="2010199D" w:rsidR="00BD1FCB" w:rsidRDefault="00BD1FCB" w:rsidP="00FD37D3">
      <w:pPr>
        <w:spacing w:before="100" w:beforeAutospacing="1" w:after="100" w:afterAutospacing="1" w:line="240" w:lineRule="auto"/>
        <w:contextualSpacing/>
        <w:jc w:val="center"/>
        <w:outlineLvl w:val="2"/>
        <w:rPr>
          <w:rFonts w:ascii="Times New Roman" w:eastAsia="Times New Roman" w:hAnsi="Times New Roman" w:cs="Times New Roman"/>
          <w:sz w:val="28"/>
          <w:szCs w:val="28"/>
          <w:lang w:val="en-US"/>
        </w:rPr>
      </w:pPr>
    </w:p>
    <w:p w14:paraId="24B34E50" w14:textId="77777777" w:rsidR="00BC4956" w:rsidRDefault="00BC4956" w:rsidP="00FD37D3">
      <w:pPr>
        <w:spacing w:before="100" w:beforeAutospacing="1" w:after="100" w:afterAutospacing="1" w:line="240" w:lineRule="auto"/>
        <w:contextualSpacing/>
        <w:jc w:val="center"/>
        <w:outlineLvl w:val="2"/>
        <w:rPr>
          <w:rFonts w:ascii="Times New Roman" w:eastAsia="Times New Roman" w:hAnsi="Times New Roman" w:cs="Times New Roman"/>
          <w:sz w:val="28"/>
          <w:szCs w:val="28"/>
          <w:lang w:val="en-US"/>
        </w:rPr>
      </w:pPr>
    </w:p>
    <w:p w14:paraId="3DE7A246" w14:textId="7F8E8715" w:rsidR="00600C79" w:rsidRPr="00FE196C" w:rsidRDefault="00600C79" w:rsidP="00CA4883">
      <w:pPr>
        <w:pStyle w:val="ad"/>
        <w:numPr>
          <w:ilvl w:val="0"/>
          <w:numId w:val="37"/>
        </w:numPr>
        <w:spacing w:after="0" w:line="240" w:lineRule="auto"/>
        <w:ind w:left="0" w:firstLine="709"/>
        <w:jc w:val="both"/>
        <w:rPr>
          <w:rFonts w:ascii="Times New Roman" w:hAnsi="Times New Roman" w:cs="Times New Roman"/>
          <w:b/>
          <w:bCs/>
          <w:sz w:val="28"/>
          <w:szCs w:val="28"/>
          <w:lang w:val="en-US"/>
        </w:rPr>
      </w:pPr>
      <w:r w:rsidRPr="00FE196C">
        <w:rPr>
          <w:rFonts w:ascii="Times New Roman" w:hAnsi="Times New Roman" w:cs="Times New Roman"/>
          <w:b/>
          <w:bCs/>
          <w:sz w:val="28"/>
          <w:szCs w:val="28"/>
          <w:lang w:val="en-US"/>
        </w:rPr>
        <w:lastRenderedPageBreak/>
        <w:t>EMPIRICAL ANALYSIS – THE CASE OF</w:t>
      </w:r>
      <w:r w:rsidR="00FD37D3" w:rsidRPr="00FE196C">
        <w:rPr>
          <w:rFonts w:ascii="Times New Roman" w:hAnsi="Times New Roman" w:cs="Times New Roman"/>
          <w:b/>
          <w:bCs/>
          <w:sz w:val="28"/>
          <w:szCs w:val="28"/>
          <w:lang w:val="en-US"/>
        </w:rPr>
        <w:t xml:space="preserve"> </w:t>
      </w:r>
      <w:r w:rsidRPr="00FE196C">
        <w:rPr>
          <w:rFonts w:ascii="Times New Roman" w:hAnsi="Times New Roman" w:cs="Times New Roman"/>
          <w:b/>
          <w:bCs/>
          <w:sz w:val="28"/>
          <w:szCs w:val="28"/>
          <w:lang w:val="en-US"/>
        </w:rPr>
        <w:t>KAZAKHSTAN</w:t>
      </w:r>
    </w:p>
    <w:p w14:paraId="28C6DA91" w14:textId="77777777" w:rsidR="00FD37D3" w:rsidRPr="00FE196C" w:rsidRDefault="00FD37D3" w:rsidP="00FE196C">
      <w:pPr>
        <w:pStyle w:val="af"/>
        <w:rPr>
          <w:rFonts w:ascii="Times New Roman" w:hAnsi="Times New Roman" w:cs="Times New Roman"/>
          <w:b/>
          <w:bCs/>
          <w:sz w:val="28"/>
          <w:szCs w:val="28"/>
          <w:lang w:val="en-US"/>
        </w:rPr>
      </w:pPr>
    </w:p>
    <w:p w14:paraId="7A493F0D" w14:textId="56A91F46" w:rsidR="00600C79" w:rsidRDefault="00600C79" w:rsidP="00CA4883">
      <w:pPr>
        <w:pStyle w:val="ad"/>
        <w:numPr>
          <w:ilvl w:val="1"/>
          <w:numId w:val="37"/>
        </w:numPr>
        <w:spacing w:after="0" w:line="240" w:lineRule="auto"/>
        <w:ind w:left="0" w:firstLine="709"/>
        <w:jc w:val="both"/>
        <w:rPr>
          <w:rFonts w:ascii="Times New Roman" w:hAnsi="Times New Roman" w:cs="Times New Roman"/>
          <w:b/>
          <w:bCs/>
          <w:sz w:val="28"/>
          <w:szCs w:val="28"/>
          <w:lang w:val="en-US"/>
        </w:rPr>
      </w:pPr>
      <w:r w:rsidRPr="00FE196C">
        <w:rPr>
          <w:rFonts w:ascii="Times New Roman" w:hAnsi="Times New Roman" w:cs="Times New Roman"/>
          <w:b/>
          <w:bCs/>
          <w:sz w:val="28"/>
          <w:szCs w:val="28"/>
          <w:lang w:val="en-US"/>
        </w:rPr>
        <w:t>Overview of Kazakhstan’s National Innovation Ecosystem: University-Industry Collaboration</w:t>
      </w:r>
      <w:r w:rsidR="00FD37D3" w:rsidRPr="00FE196C">
        <w:rPr>
          <w:rFonts w:ascii="Times New Roman" w:hAnsi="Times New Roman" w:cs="Times New Roman"/>
          <w:b/>
          <w:bCs/>
          <w:sz w:val="28"/>
          <w:szCs w:val="28"/>
          <w:lang w:val="en-US"/>
        </w:rPr>
        <w:t xml:space="preserve"> </w:t>
      </w:r>
    </w:p>
    <w:p w14:paraId="284D12AE" w14:textId="77777777" w:rsidR="00FE196C" w:rsidRPr="00FE196C" w:rsidRDefault="00FE196C" w:rsidP="00FE196C">
      <w:pPr>
        <w:pStyle w:val="af"/>
        <w:rPr>
          <w:rFonts w:ascii="Times New Roman" w:hAnsi="Times New Roman" w:cs="Times New Roman"/>
          <w:b/>
          <w:bCs/>
          <w:sz w:val="28"/>
          <w:szCs w:val="28"/>
          <w:lang w:val="en-US"/>
        </w:rPr>
      </w:pPr>
    </w:p>
    <w:p w14:paraId="6704DDF1" w14:textId="666E214D" w:rsidR="00600C79" w:rsidRPr="00EC7493" w:rsidRDefault="00600C79" w:rsidP="00600C79">
      <w:pPr>
        <w:spacing w:after="0" w:line="240" w:lineRule="auto"/>
        <w:ind w:firstLine="720"/>
        <w:contextualSpacing/>
        <w:jc w:val="both"/>
        <w:rPr>
          <w:rFonts w:ascii="Times New Roman" w:hAnsi="Times New Roman" w:cs="Times New Roman"/>
          <w:sz w:val="28"/>
          <w:szCs w:val="28"/>
          <w:lang w:val="en-US"/>
        </w:rPr>
      </w:pPr>
      <w:r w:rsidRPr="00EC7493">
        <w:rPr>
          <w:rFonts w:ascii="Times New Roman" w:hAnsi="Times New Roman" w:cs="Times New Roman"/>
          <w:sz w:val="28"/>
          <w:szCs w:val="28"/>
          <w:lang w:val="en-US"/>
        </w:rPr>
        <w:t xml:space="preserve">Innovation is an essential component in the progression of a high-tech knowledge economy. It is especially vital for developing, transitional, and growing economies. </w:t>
      </w:r>
      <w:r w:rsidRPr="00465214">
        <w:rPr>
          <w:rFonts w:ascii="Times New Roman" w:hAnsi="Times New Roman" w:cs="Times New Roman"/>
          <w:sz w:val="28"/>
          <w:szCs w:val="28"/>
          <w:lang w:val="en-US"/>
        </w:rPr>
        <w:t>Lundvall</w:t>
      </w:r>
      <w:r w:rsidR="00465214">
        <w:rPr>
          <w:rFonts w:ascii="Times New Roman" w:hAnsi="Times New Roman" w:cs="Times New Roman"/>
          <w:sz w:val="28"/>
          <w:szCs w:val="28"/>
          <w:lang w:val="en-US"/>
        </w:rPr>
        <w:t xml:space="preserve"> </w:t>
      </w:r>
      <w:r w:rsidRPr="00EC7493">
        <w:rPr>
          <w:rFonts w:ascii="Times New Roman" w:hAnsi="Times New Roman" w:cs="Times New Roman"/>
          <w:sz w:val="28"/>
          <w:szCs w:val="28"/>
          <w:lang w:val="en-US"/>
        </w:rPr>
        <w:t>conceptualizes national systems of innovation (NSI) from an evolutionary perspective, emphasizing how different national contexts generate diversity, sustain routines, and shape the selection of firms, products, and practices</w:t>
      </w:r>
      <w:r w:rsidR="00465214">
        <w:rPr>
          <w:rFonts w:ascii="Times New Roman" w:hAnsi="Times New Roman" w:cs="Times New Roman"/>
          <w:sz w:val="28"/>
          <w:szCs w:val="28"/>
          <w:lang w:val="en-US"/>
        </w:rPr>
        <w:t xml:space="preserve"> [103-104]</w:t>
      </w:r>
      <w:r w:rsidRPr="00EC7493">
        <w:rPr>
          <w:rFonts w:ascii="Times New Roman" w:hAnsi="Times New Roman" w:cs="Times New Roman"/>
          <w:sz w:val="28"/>
          <w:szCs w:val="28"/>
          <w:lang w:val="en-US"/>
        </w:rPr>
        <w:t>. He highlights the co-evolution of production structures, technology, and institutions as a critical factor in understanding historical transformations in innovation systems. The strategic role of knowledge and learning is central to this approach, as innovation emerges through interactive and socially embedded learning processes.</w:t>
      </w:r>
    </w:p>
    <w:p w14:paraId="40C34915" w14:textId="166F39EE" w:rsidR="00600C79" w:rsidRPr="00EC7493" w:rsidRDefault="00600C79" w:rsidP="00600C79">
      <w:pPr>
        <w:spacing w:after="0" w:line="240" w:lineRule="auto"/>
        <w:ind w:firstLine="720"/>
        <w:contextualSpacing/>
        <w:jc w:val="both"/>
        <w:rPr>
          <w:rFonts w:ascii="Times New Roman" w:hAnsi="Times New Roman" w:cs="Times New Roman"/>
          <w:sz w:val="28"/>
          <w:szCs w:val="28"/>
          <w:lang w:val="en-US"/>
        </w:rPr>
      </w:pPr>
      <w:r w:rsidRPr="00EC7493">
        <w:rPr>
          <w:rFonts w:ascii="Times New Roman" w:hAnsi="Times New Roman" w:cs="Times New Roman"/>
          <w:sz w:val="28"/>
          <w:szCs w:val="28"/>
          <w:lang w:val="en-US"/>
        </w:rPr>
        <w:t>Lundvall outlines several key assumptions underpinning the    NIS framework. First, knowledge crucial for economic performance is localized and not easily transferable across regions. Second, essential knowledge is embodied in individuals, organizational routines, and social relationships, making diffusion context-dependent. Third, learning and innovation are inherently interactive, requiring engagement between firms, institutions, and actors. Fourth, purely economic analyses are insufficient, as social and institutional factors shape learning. Fifth, while learning and innovation are interconnected, they are distinct processes. Sixth, national systems exhibit specialization in production, trade, and knowledge bases, leading to variation in innovation capabilities. Finally, NSIs are systemic and interdependent, meaning the interactions between elements significantly influence innovation performance. The interactionist nature of this framework underscores the role of collaboration and networks in driving national innovation</w:t>
      </w:r>
      <w:r w:rsidR="00465214">
        <w:rPr>
          <w:rFonts w:ascii="Times New Roman" w:hAnsi="Times New Roman" w:cs="Times New Roman"/>
          <w:sz w:val="28"/>
          <w:szCs w:val="28"/>
          <w:lang w:val="en-US"/>
        </w:rPr>
        <w:t xml:space="preserve"> [103-104]. </w:t>
      </w:r>
      <w:r w:rsidRPr="00EC7493">
        <w:rPr>
          <w:rFonts w:ascii="Times New Roman" w:hAnsi="Times New Roman" w:cs="Times New Roman"/>
          <w:sz w:val="28"/>
          <w:szCs w:val="28"/>
          <w:lang w:val="en-US"/>
        </w:rPr>
        <w:t>TH concept, which promotes collaboration among universities, industries, and governments to enhance innovation, is presently utilized to develop National Innovation Systems (NIS) in several countries. The TH paradigm is currently used to promote National Innovation Systems (NIS) in many countries, which helps interaction among governments, businesses, and universities to drive innovation.</w:t>
      </w:r>
    </w:p>
    <w:p w14:paraId="1ED77F00" w14:textId="7FF672E3" w:rsidR="00600C79" w:rsidRPr="00EC7493" w:rsidRDefault="00600C79" w:rsidP="00600C79">
      <w:pPr>
        <w:spacing w:line="240" w:lineRule="auto"/>
        <w:ind w:firstLine="720"/>
        <w:contextualSpacing/>
        <w:jc w:val="both"/>
        <w:rPr>
          <w:rFonts w:ascii="Times New Roman" w:hAnsi="Times New Roman" w:cs="Times New Roman"/>
          <w:sz w:val="28"/>
          <w:szCs w:val="28"/>
          <w:lang w:val="en-US"/>
        </w:rPr>
      </w:pPr>
      <w:r w:rsidRPr="00EC7493">
        <w:rPr>
          <w:rFonts w:ascii="Times New Roman" w:hAnsi="Times New Roman" w:cs="Times New Roman"/>
          <w:sz w:val="28"/>
          <w:szCs w:val="28"/>
          <w:lang w:val="en-US"/>
        </w:rPr>
        <w:t xml:space="preserve">Kazakhstan has a great potential for innovation to establish itself as a hub in Central Asia, so the country's startup </w:t>
      </w:r>
      <w:r>
        <w:rPr>
          <w:rFonts w:ascii="Times New Roman" w:hAnsi="Times New Roman" w:cs="Times New Roman"/>
          <w:sz w:val="28"/>
          <w:szCs w:val="28"/>
          <w:lang w:val="en-US"/>
        </w:rPr>
        <w:t>+</w:t>
      </w:r>
      <w:r w:rsidRPr="00EC7493">
        <w:rPr>
          <w:rFonts w:ascii="Times New Roman" w:hAnsi="Times New Roman" w:cs="Times New Roman"/>
          <w:sz w:val="28"/>
          <w:szCs w:val="28"/>
          <w:lang w:val="en-US"/>
        </w:rPr>
        <w:t>scene remains young. Driven chiefly by oil and gas, the country's economy is becoming a knowledge-based digital country. Thanks to many government projects and policies, several funding sources are available to support entrepreneurial activities in Kazakhstan.</w:t>
      </w:r>
    </w:p>
    <w:p w14:paraId="4C2FEAB5" w14:textId="4804EC9F" w:rsidR="00600C79" w:rsidRPr="00EC7493" w:rsidRDefault="00600C79" w:rsidP="00600C79">
      <w:pPr>
        <w:spacing w:line="240" w:lineRule="auto"/>
        <w:ind w:firstLine="720"/>
        <w:contextualSpacing/>
        <w:jc w:val="both"/>
        <w:rPr>
          <w:rFonts w:ascii="Times New Roman" w:hAnsi="Times New Roman" w:cs="Times New Roman"/>
          <w:sz w:val="28"/>
          <w:szCs w:val="28"/>
          <w:lang w:val="en-US"/>
        </w:rPr>
      </w:pPr>
      <w:r w:rsidRPr="00EC7493">
        <w:rPr>
          <w:rFonts w:ascii="Times New Roman" w:hAnsi="Times New Roman" w:cs="Times New Roman"/>
          <w:sz w:val="28"/>
          <w:szCs w:val="28"/>
          <w:lang w:val="en-US"/>
        </w:rPr>
        <w:t xml:space="preserve">One strategy involves the establishment of innovative technology parks, hubs, and accelerator programs to attract businesses and furnish early-stage finance. The government has invested in developing Astana into a financial </w:t>
      </w:r>
      <w:proofErr w:type="spellStart"/>
      <w:r w:rsidRPr="00EC7493">
        <w:rPr>
          <w:rFonts w:ascii="Times New Roman" w:hAnsi="Times New Roman" w:cs="Times New Roman"/>
          <w:sz w:val="28"/>
          <w:szCs w:val="28"/>
          <w:lang w:val="en-US"/>
        </w:rPr>
        <w:t>centre</w:t>
      </w:r>
      <w:proofErr w:type="spellEnd"/>
      <w:r w:rsidRPr="00EC7493">
        <w:rPr>
          <w:rFonts w:ascii="Times New Roman" w:hAnsi="Times New Roman" w:cs="Times New Roman"/>
          <w:sz w:val="28"/>
          <w:szCs w:val="28"/>
          <w:lang w:val="en-US"/>
        </w:rPr>
        <w:t xml:space="preserve">, with projects such as Astana Hub facilitating the development of local and foreign technological entrepreneurial organizations. Additionally, governmental initiatives like the </w:t>
      </w:r>
      <w:r w:rsidRPr="00EC7493">
        <w:rPr>
          <w:rFonts w:ascii="Times New Roman" w:hAnsi="Times New Roman" w:cs="Times New Roman"/>
          <w:sz w:val="28"/>
          <w:szCs w:val="28"/>
          <w:lang w:val="en-US"/>
        </w:rPr>
        <w:lastRenderedPageBreak/>
        <w:t>National Entrepreneurship Development Project and Business Roadmap 2025 seek financial assistance and support to entrepreneurs in key sectors and rural regions.</w:t>
      </w:r>
    </w:p>
    <w:p w14:paraId="654BF512" w14:textId="0C94EAEB" w:rsidR="00600C79" w:rsidRPr="00EC7493" w:rsidRDefault="00600C79" w:rsidP="00600C79">
      <w:pPr>
        <w:spacing w:line="240" w:lineRule="auto"/>
        <w:ind w:firstLine="720"/>
        <w:contextualSpacing/>
        <w:jc w:val="both"/>
        <w:rPr>
          <w:rFonts w:ascii="Times New Roman" w:hAnsi="Times New Roman" w:cs="Times New Roman"/>
          <w:sz w:val="28"/>
          <w:szCs w:val="28"/>
          <w:lang w:val="en-US"/>
        </w:rPr>
      </w:pPr>
      <w:r w:rsidRPr="00EC7493">
        <w:rPr>
          <w:rFonts w:ascii="Times New Roman" w:hAnsi="Times New Roman" w:cs="Times New Roman"/>
          <w:sz w:val="28"/>
          <w:szCs w:val="28"/>
          <w:lang w:val="en-US"/>
        </w:rPr>
        <w:t>Universities in Kazakhstan, such as Nazarbayev University's Innovation Cluster (NURIS), are crucial in fostering high-tech firms by providing resources, training, and investment opportunities. Kazakhstan's involvement in UNICEF's Digital Public Goods project and its sponsorship of events such as the Digital Bridge International Technology Forum underscores the nation's dedication to promoting innovation and educational accessibility.</w:t>
      </w:r>
    </w:p>
    <w:p w14:paraId="2E05B325" w14:textId="58068122" w:rsidR="00600C79" w:rsidRPr="00EC7493" w:rsidRDefault="00600C79" w:rsidP="00600C79">
      <w:pPr>
        <w:spacing w:line="240" w:lineRule="auto"/>
        <w:ind w:firstLine="720"/>
        <w:contextualSpacing/>
        <w:jc w:val="both"/>
        <w:rPr>
          <w:rFonts w:ascii="Times New Roman" w:hAnsi="Times New Roman" w:cs="Times New Roman"/>
          <w:sz w:val="28"/>
          <w:szCs w:val="28"/>
          <w:lang w:val="en-US"/>
        </w:rPr>
      </w:pPr>
      <w:r w:rsidRPr="00EC7493">
        <w:rPr>
          <w:rFonts w:ascii="Times New Roman" w:hAnsi="Times New Roman" w:cs="Times New Roman"/>
          <w:sz w:val="28"/>
          <w:szCs w:val="28"/>
          <w:lang w:val="en-US"/>
        </w:rPr>
        <w:t>As Kazakhstan embraces the world community, recruiting foreign investment and fostering entrepreneurship will be crucial for advancing its startup ecosystem. By utilizing its resources, initiatives, and robust support network, Kazakhstan can emerge as a flourishing center for technology startups and entrepreneurship in the area.</w:t>
      </w:r>
    </w:p>
    <w:p w14:paraId="2BB652BB" w14:textId="58CC7B63" w:rsidR="00600C79" w:rsidRPr="00EC7493" w:rsidRDefault="00600C79" w:rsidP="00600C79">
      <w:pPr>
        <w:spacing w:line="240" w:lineRule="auto"/>
        <w:ind w:firstLine="720"/>
        <w:contextualSpacing/>
        <w:jc w:val="both"/>
        <w:rPr>
          <w:rFonts w:ascii="Times New Roman" w:hAnsi="Times New Roman" w:cs="Times New Roman"/>
          <w:sz w:val="28"/>
          <w:szCs w:val="28"/>
          <w:lang w:val="en-US"/>
        </w:rPr>
      </w:pPr>
      <w:r w:rsidRPr="00EC7493">
        <w:rPr>
          <w:rFonts w:ascii="Times New Roman" w:hAnsi="Times New Roman" w:cs="Times New Roman"/>
          <w:sz w:val="28"/>
          <w:szCs w:val="28"/>
          <w:lang w:val="en-US"/>
        </w:rPr>
        <w:t xml:space="preserve">Kazakhstan's startup ecosystem is nascent, with significant potential for growth and innovation to establish itself as a hub in Central Asia. The nation's economy, predominantly fueled by oil and gas, is evolving into a knowledge-based digital economy. Numerous funding sources exist to promote entrepreneurial </w:t>
      </w:r>
      <w:proofErr w:type="spellStart"/>
      <w:r w:rsidRPr="00EC7493">
        <w:rPr>
          <w:rFonts w:ascii="Times New Roman" w:hAnsi="Times New Roman" w:cs="Times New Roman"/>
          <w:sz w:val="28"/>
          <w:szCs w:val="28"/>
          <w:lang w:val="en-US"/>
        </w:rPr>
        <w:t>endeavours</w:t>
      </w:r>
      <w:proofErr w:type="spellEnd"/>
      <w:r w:rsidRPr="00EC7493">
        <w:rPr>
          <w:rFonts w:ascii="Times New Roman" w:hAnsi="Times New Roman" w:cs="Times New Roman"/>
          <w:sz w:val="28"/>
          <w:szCs w:val="28"/>
          <w:lang w:val="en-US"/>
        </w:rPr>
        <w:t xml:space="preserve"> in Kazakhstan, facilitated by numerous government programs and initiatives.</w:t>
      </w:r>
    </w:p>
    <w:p w14:paraId="0C90A3EF" w14:textId="37A666AC" w:rsidR="00600C79" w:rsidRPr="00EC7493" w:rsidRDefault="00600C79" w:rsidP="00600C79">
      <w:pPr>
        <w:spacing w:line="240" w:lineRule="auto"/>
        <w:ind w:firstLine="720"/>
        <w:contextualSpacing/>
        <w:jc w:val="both"/>
        <w:rPr>
          <w:rFonts w:ascii="Times New Roman" w:hAnsi="Times New Roman" w:cs="Times New Roman"/>
          <w:sz w:val="28"/>
          <w:szCs w:val="28"/>
          <w:lang w:val="en-US"/>
        </w:rPr>
      </w:pPr>
      <w:r w:rsidRPr="00EC7493">
        <w:rPr>
          <w:rFonts w:ascii="Times New Roman" w:hAnsi="Times New Roman" w:cs="Times New Roman"/>
          <w:sz w:val="28"/>
          <w:szCs w:val="28"/>
          <w:lang w:val="en-US"/>
        </w:rPr>
        <w:t>Establishing innovative technology parks, hubs, and accelerator programs aims to attract businesses and furnish early-stage finance. The government has invested in developing Astana into a financial center, with projects such as Astana Hub facilitating the development of local and foreign technological enterprises. Additionally, governmental initiatives like the National Entrepreneurship Development Project and Business Roadmap 202</w:t>
      </w:r>
      <w:r w:rsidR="00465214">
        <w:rPr>
          <w:rFonts w:ascii="Times New Roman" w:hAnsi="Times New Roman" w:cs="Times New Roman"/>
          <w:sz w:val="28"/>
          <w:szCs w:val="28"/>
          <w:lang w:val="en-US"/>
        </w:rPr>
        <w:t xml:space="preserve">5 </w:t>
      </w:r>
      <w:r w:rsidRPr="00EC7493">
        <w:rPr>
          <w:rFonts w:ascii="Times New Roman" w:hAnsi="Times New Roman" w:cs="Times New Roman"/>
          <w:sz w:val="28"/>
          <w:szCs w:val="28"/>
          <w:lang w:val="en-US"/>
        </w:rPr>
        <w:t>seek financial assistance and support to entrepreneurs in key sectors and rural regions</w:t>
      </w:r>
      <w:r w:rsidR="00465214">
        <w:rPr>
          <w:rFonts w:ascii="Times New Roman" w:hAnsi="Times New Roman" w:cs="Times New Roman"/>
          <w:sz w:val="28"/>
          <w:szCs w:val="28"/>
          <w:lang w:val="kk-KZ"/>
        </w:rPr>
        <w:t xml:space="preserve"> </w:t>
      </w:r>
      <w:r w:rsidR="00465214">
        <w:rPr>
          <w:rFonts w:ascii="Times New Roman" w:hAnsi="Times New Roman" w:cs="Times New Roman"/>
          <w:sz w:val="28"/>
          <w:szCs w:val="28"/>
          <w:lang w:val="en-US"/>
        </w:rPr>
        <w:t>[105]</w:t>
      </w:r>
      <w:r w:rsidRPr="00EC7493">
        <w:rPr>
          <w:rFonts w:ascii="Times New Roman" w:hAnsi="Times New Roman" w:cs="Times New Roman"/>
          <w:sz w:val="28"/>
          <w:szCs w:val="28"/>
          <w:lang w:val="en-US"/>
        </w:rPr>
        <w:t>.</w:t>
      </w:r>
      <w:r w:rsidR="00465214">
        <w:rPr>
          <w:rFonts w:ascii="Times New Roman" w:hAnsi="Times New Roman" w:cs="Times New Roman"/>
          <w:sz w:val="28"/>
          <w:szCs w:val="28"/>
          <w:lang w:val="en-US"/>
        </w:rPr>
        <w:t xml:space="preserve"> </w:t>
      </w:r>
    </w:p>
    <w:p w14:paraId="23EDACB1" w14:textId="19A37EB4" w:rsidR="00600C79" w:rsidRPr="00EC7493" w:rsidRDefault="00600C79" w:rsidP="00E24D6B">
      <w:pPr>
        <w:spacing w:line="240" w:lineRule="auto"/>
        <w:ind w:firstLine="720"/>
        <w:contextualSpacing/>
        <w:jc w:val="both"/>
        <w:rPr>
          <w:rFonts w:ascii="Times New Roman" w:hAnsi="Times New Roman" w:cs="Times New Roman"/>
          <w:sz w:val="28"/>
          <w:szCs w:val="28"/>
          <w:lang w:val="en-US"/>
        </w:rPr>
      </w:pPr>
      <w:r w:rsidRPr="00EC7493">
        <w:rPr>
          <w:rFonts w:ascii="Times New Roman" w:hAnsi="Times New Roman" w:cs="Times New Roman"/>
          <w:sz w:val="28"/>
          <w:szCs w:val="28"/>
          <w:lang w:val="en-US"/>
        </w:rPr>
        <w:t>Universities in Kazakhstan, such as NU's Innovation Cluster (NURIS), are crucial in facilitating high-tech enterprises by providing resources, training, and investment opportunities. Kazakhstan's involvement in UNICEF's Digital Public Goods project and its sponsorship of events such as the Digital Bridge International Technology Forum underscores the nation's dedication to promoting innovation and educational access.</w:t>
      </w:r>
    </w:p>
    <w:p w14:paraId="7006C3DC" w14:textId="05BDA8EF" w:rsidR="00600C79" w:rsidRDefault="00600C79" w:rsidP="00600C79">
      <w:pPr>
        <w:spacing w:line="240" w:lineRule="auto"/>
        <w:ind w:firstLine="720"/>
        <w:contextualSpacing/>
        <w:jc w:val="both"/>
        <w:rPr>
          <w:rFonts w:ascii="Times New Roman" w:hAnsi="Times New Roman" w:cs="Times New Roman"/>
          <w:sz w:val="28"/>
          <w:szCs w:val="28"/>
          <w:lang w:val="en-US"/>
        </w:rPr>
      </w:pPr>
      <w:r w:rsidRPr="00EC7493">
        <w:rPr>
          <w:rFonts w:ascii="Times New Roman" w:hAnsi="Times New Roman" w:cs="Times New Roman"/>
          <w:sz w:val="28"/>
          <w:szCs w:val="28"/>
          <w:lang w:val="en-US"/>
        </w:rPr>
        <w:t>Kazakhstan's engagement with the international community necessitates attracting foreign investment and promoting entrepreneurship to stimulate the growth of its startup ecosystem. By utilizing its resources, initiatives, and robust support network, Kazakhstan possesses the potential to emerge as a flourishing center for technology startups and entrepreneurship in the area</w:t>
      </w:r>
      <w:r w:rsidR="003853CC">
        <w:rPr>
          <w:rFonts w:ascii="Times New Roman" w:hAnsi="Times New Roman" w:cs="Times New Roman"/>
          <w:sz w:val="28"/>
          <w:szCs w:val="28"/>
          <w:lang w:val="en-US"/>
        </w:rPr>
        <w:t xml:space="preserve"> [106].</w:t>
      </w:r>
      <w:r w:rsidRPr="00EC7493">
        <w:rPr>
          <w:rFonts w:ascii="Times New Roman" w:hAnsi="Times New Roman" w:cs="Times New Roman"/>
          <w:sz w:val="28"/>
          <w:szCs w:val="28"/>
          <w:lang w:val="en-US"/>
        </w:rPr>
        <w:t xml:space="preserve"> </w:t>
      </w:r>
    </w:p>
    <w:p w14:paraId="4E94CCA7" w14:textId="1DC86919" w:rsidR="00600C79" w:rsidRDefault="00600C79" w:rsidP="00600C79">
      <w:pPr>
        <w:spacing w:line="240" w:lineRule="auto"/>
        <w:ind w:firstLine="720"/>
        <w:contextualSpacing/>
        <w:jc w:val="both"/>
        <w:rPr>
          <w:rFonts w:ascii="Times New Roman" w:hAnsi="Times New Roman" w:cs="Times New Roman"/>
          <w:sz w:val="28"/>
          <w:szCs w:val="28"/>
          <w:lang w:val="en-US"/>
        </w:rPr>
      </w:pPr>
      <w:r w:rsidRPr="00DA1DF2">
        <w:rPr>
          <w:rFonts w:ascii="Times New Roman" w:hAnsi="Times New Roman" w:cs="Times New Roman"/>
          <w:sz w:val="28"/>
          <w:szCs w:val="28"/>
          <w:lang w:val="en-US"/>
        </w:rPr>
        <w:t xml:space="preserve">The OECD "Managing National Innovation Systems" paper describes how the development of a knowledge-based society has made innovation a progressively crucial component in the competitiveness of companies, the wealth of countries, and dynamic world growth.  One of the secrets to sustainable development is innovation, which takes advantage of technological advancement to satisfy society's evolving requirements.  Nowadays, most OECD nations give promoting innovation top importance.  However, the quest for this goal is sometimes complicated by poor </w:t>
      </w:r>
      <w:r w:rsidRPr="00DA1DF2">
        <w:rPr>
          <w:rFonts w:ascii="Times New Roman" w:hAnsi="Times New Roman" w:cs="Times New Roman"/>
          <w:sz w:val="28"/>
          <w:szCs w:val="28"/>
          <w:lang w:val="en-US"/>
        </w:rPr>
        <w:lastRenderedPageBreak/>
        <w:t>awareness of the degree to which globali</w:t>
      </w:r>
      <w:r>
        <w:rPr>
          <w:rFonts w:ascii="Times New Roman" w:hAnsi="Times New Roman" w:cs="Times New Roman"/>
          <w:sz w:val="28"/>
          <w:szCs w:val="28"/>
          <w:lang w:val="en-US"/>
        </w:rPr>
        <w:t>z</w:t>
      </w:r>
      <w:r w:rsidRPr="00DA1DF2">
        <w:rPr>
          <w:rFonts w:ascii="Times New Roman" w:hAnsi="Times New Roman" w:cs="Times New Roman"/>
          <w:sz w:val="28"/>
          <w:szCs w:val="28"/>
          <w:lang w:val="en-US"/>
        </w:rPr>
        <w:t>ation, the evolution of information and communications technology, and the growing scientific knowledge base are changing the mechanics of innovation</w:t>
      </w:r>
      <w:r w:rsidR="003853CC">
        <w:rPr>
          <w:rFonts w:ascii="Times New Roman" w:hAnsi="Times New Roman" w:cs="Times New Roman"/>
          <w:sz w:val="28"/>
          <w:szCs w:val="28"/>
          <w:lang w:val="en-US"/>
        </w:rPr>
        <w:t xml:space="preserve"> [107].</w:t>
      </w:r>
    </w:p>
    <w:p w14:paraId="3D7BF4B7" w14:textId="597449B9" w:rsidR="00600C79" w:rsidRPr="006810E1" w:rsidRDefault="00600C79" w:rsidP="00600C79">
      <w:pPr>
        <w:spacing w:line="240" w:lineRule="auto"/>
        <w:ind w:firstLine="720"/>
        <w:contextualSpacing/>
        <w:jc w:val="both"/>
        <w:rPr>
          <w:rFonts w:ascii="Times New Roman" w:hAnsi="Times New Roman" w:cs="Times New Roman"/>
          <w:sz w:val="28"/>
          <w:szCs w:val="28"/>
          <w:lang w:val="en-US"/>
        </w:rPr>
      </w:pPr>
      <w:r w:rsidRPr="006810E1">
        <w:rPr>
          <w:rFonts w:ascii="Times New Roman" w:hAnsi="Times New Roman" w:cs="Times New Roman"/>
          <w:sz w:val="28"/>
          <w:szCs w:val="28"/>
          <w:lang w:val="en-US"/>
        </w:rPr>
        <w:t>The National Innovation System (NIS) provides a conceptual framework for understanding how institutions, policies, and interactions between key actors—such as governments, universities, and industries—contribute to the innovation process within a country. The NIS approach emphasizes the systemic nature of innovation, where knowledge generation, diffusion, and application depend on institutional structures and dynamic interactions</w:t>
      </w:r>
      <w:r w:rsidR="003853CC">
        <w:rPr>
          <w:rFonts w:ascii="Times New Roman" w:hAnsi="Times New Roman" w:cs="Times New Roman"/>
          <w:sz w:val="28"/>
          <w:szCs w:val="28"/>
          <w:lang w:val="en-US"/>
        </w:rPr>
        <w:t xml:space="preserve"> [104, 108]</w:t>
      </w:r>
      <w:r w:rsidRPr="006810E1">
        <w:rPr>
          <w:rFonts w:ascii="Times New Roman" w:hAnsi="Times New Roman" w:cs="Times New Roman"/>
          <w:sz w:val="28"/>
          <w:szCs w:val="28"/>
          <w:lang w:val="en-US"/>
        </w:rPr>
        <w:t>. Within this framework, University-Industry Collaboration (UIC) emerges as a crucial mechanism for fostering knowledge transfer, fostering technological advancements, and bridging the gap between research and commercial application.</w:t>
      </w:r>
    </w:p>
    <w:p w14:paraId="5767E659" w14:textId="1A9A9002" w:rsidR="00600C79" w:rsidRPr="006810E1" w:rsidRDefault="00600C79" w:rsidP="00600C79">
      <w:pPr>
        <w:spacing w:line="240" w:lineRule="auto"/>
        <w:ind w:firstLine="720"/>
        <w:contextualSpacing/>
        <w:jc w:val="both"/>
        <w:rPr>
          <w:rFonts w:ascii="Times New Roman" w:hAnsi="Times New Roman" w:cs="Times New Roman"/>
          <w:sz w:val="28"/>
          <w:szCs w:val="28"/>
          <w:lang w:val="en-US"/>
        </w:rPr>
      </w:pPr>
      <w:r w:rsidRPr="006810E1">
        <w:rPr>
          <w:rFonts w:ascii="Times New Roman" w:hAnsi="Times New Roman" w:cs="Times New Roman"/>
          <w:sz w:val="28"/>
          <w:szCs w:val="28"/>
          <w:lang w:val="en-US"/>
        </w:rPr>
        <w:t>The THM further expands the NIS by emphasizing the interdependent relationships between universities, industry, and government as key drivers of knowledge-based economic development</w:t>
      </w:r>
      <w:r w:rsidR="00036FEF">
        <w:rPr>
          <w:rFonts w:ascii="Times New Roman" w:hAnsi="Times New Roman" w:cs="Times New Roman"/>
          <w:sz w:val="28"/>
          <w:szCs w:val="28"/>
          <w:lang w:val="en-US"/>
        </w:rPr>
        <w:t xml:space="preserve"> [109]</w:t>
      </w:r>
      <w:r w:rsidRPr="006810E1">
        <w:rPr>
          <w:rFonts w:ascii="Times New Roman" w:hAnsi="Times New Roman" w:cs="Times New Roman"/>
          <w:sz w:val="28"/>
          <w:szCs w:val="28"/>
          <w:lang w:val="en-US"/>
        </w:rPr>
        <w:t>. In this model, universities evolve beyond their traditional role of education and research to become active participants in innovation ecosystems, engaging directly with industry to facilitate technological commercialization. Industry benefits from access to cutting-edge research and human capital, while governments create enabling environments through policies, funding, and regulatory frameworks.</w:t>
      </w:r>
    </w:p>
    <w:p w14:paraId="47FCC451" w14:textId="77777777" w:rsidR="00600C79" w:rsidRPr="00D92EAF" w:rsidRDefault="00600C79" w:rsidP="00600C79">
      <w:pPr>
        <w:spacing w:line="240" w:lineRule="auto"/>
        <w:ind w:firstLine="720"/>
        <w:contextualSpacing/>
        <w:jc w:val="both"/>
        <w:rPr>
          <w:rFonts w:ascii="Times New Roman" w:hAnsi="Times New Roman" w:cs="Times New Roman"/>
          <w:sz w:val="28"/>
          <w:szCs w:val="28"/>
          <w:lang w:val="en-US"/>
        </w:rPr>
      </w:pPr>
      <w:r w:rsidRPr="006810E1">
        <w:rPr>
          <w:rFonts w:ascii="Times New Roman" w:hAnsi="Times New Roman" w:cs="Times New Roman"/>
          <w:sz w:val="28"/>
          <w:szCs w:val="28"/>
          <w:lang w:val="en-US"/>
        </w:rPr>
        <w:t xml:space="preserve">These three concepts' shared emphasis on systemic interactions and knowledge flows is the relationship between them. The NIS provides the overarching structure within which innovation occurs, UIC serves as a key operational mechanism for knowledge exchange, and the THM offers a theoretical model explaining how these interactions evolve dynamically. The integration of these frameworks suggests that a well-functioning NIS fosters effective UIC, which, in turn, aligns with the principles of the Triple Helix, where U-I-G collaboration becomes a catalyst for </w:t>
      </w:r>
      <w:r w:rsidRPr="00D92EAF">
        <w:rPr>
          <w:rFonts w:ascii="Times New Roman" w:hAnsi="Times New Roman" w:cs="Times New Roman"/>
          <w:sz w:val="28"/>
          <w:szCs w:val="28"/>
          <w:lang w:val="en-US"/>
        </w:rPr>
        <w:t>sustainable innovation and economic development.</w:t>
      </w:r>
    </w:p>
    <w:p w14:paraId="4704250D" w14:textId="76CA3546" w:rsidR="00600C79" w:rsidRPr="00FD37D3" w:rsidRDefault="00600C79" w:rsidP="00FD37D3">
      <w:pPr>
        <w:spacing w:line="240" w:lineRule="auto"/>
        <w:ind w:firstLine="720"/>
        <w:contextualSpacing/>
        <w:jc w:val="both"/>
        <w:rPr>
          <w:rFonts w:ascii="Times New Roman" w:hAnsi="Times New Roman" w:cs="Times New Roman"/>
          <w:sz w:val="28"/>
          <w:szCs w:val="28"/>
          <w:lang w:val="en-US"/>
        </w:rPr>
      </w:pPr>
      <w:r w:rsidRPr="00FD37D3">
        <w:rPr>
          <w:rFonts w:ascii="Times New Roman" w:hAnsi="Times New Roman" w:cs="Times New Roman"/>
          <w:sz w:val="28"/>
          <w:szCs w:val="28"/>
          <w:lang w:val="en-US"/>
        </w:rPr>
        <w:t>Because of variations in institutional structures, policy approaches, and economic priorities, NIS and THM implementation have different effectiveness across countries. Although the fundamental ideas of university-industry-government cooperation are global, their application relies on national settings, historical paths, and economic development plans. Analyzing leading innovation-driven economies' experiences helps one better understand how NIS and THM support knowledge</w:t>
      </w:r>
      <w:r w:rsidR="00FD37D3">
        <w:rPr>
          <w:rFonts w:ascii="Times New Roman" w:hAnsi="Times New Roman" w:cs="Times New Roman"/>
          <w:sz w:val="28"/>
          <w:szCs w:val="28"/>
          <w:lang w:val="en-US"/>
        </w:rPr>
        <w:t>-</w:t>
      </w:r>
      <w:r w:rsidRPr="00FD37D3">
        <w:rPr>
          <w:rFonts w:ascii="Times New Roman" w:hAnsi="Times New Roman" w:cs="Times New Roman"/>
          <w:sz w:val="28"/>
          <w:szCs w:val="28"/>
          <w:lang w:val="en-US"/>
        </w:rPr>
        <w:t>based development, economic growth, and technology advancement.</w:t>
      </w:r>
    </w:p>
    <w:p w14:paraId="050E4476" w14:textId="77777777" w:rsidR="00600C79" w:rsidRPr="00FD37D3" w:rsidRDefault="00600C79" w:rsidP="00FD37D3">
      <w:pPr>
        <w:spacing w:line="240" w:lineRule="auto"/>
        <w:ind w:firstLine="720"/>
        <w:contextualSpacing/>
        <w:jc w:val="both"/>
        <w:rPr>
          <w:rFonts w:ascii="Times New Roman" w:hAnsi="Times New Roman" w:cs="Times New Roman"/>
          <w:sz w:val="28"/>
          <w:szCs w:val="28"/>
          <w:lang w:val="en-US"/>
        </w:rPr>
      </w:pPr>
      <w:r w:rsidRPr="00FD37D3">
        <w:rPr>
          <w:rFonts w:ascii="Times New Roman" w:hAnsi="Times New Roman" w:cs="Times New Roman"/>
          <w:sz w:val="28"/>
          <w:szCs w:val="28"/>
          <w:lang w:val="en-US"/>
        </w:rPr>
        <w:t>Each with different strengths and problems, nations including Japan, Italy, and China have chosen different ways to include colleges, businesses, and government projects in their innovation ecosystems. Likewise, the US and Israel have established globally recognized models of innovation driven by entrepreneurial universities, strong venture capital networks, and government-supported R&amp;D. Analyzing these foreign practices offers critical lessons for Kazakhstan's evolving innovation landscape, highlighting potential strategies for strengthening U-I-C, research commercialization, and policy-driven innovation growth.</w:t>
      </w:r>
    </w:p>
    <w:p w14:paraId="0F650317" w14:textId="6B7A8D49" w:rsidR="00600C79" w:rsidRPr="00244343" w:rsidRDefault="00600C79" w:rsidP="00FD37D3">
      <w:pPr>
        <w:spacing w:line="240" w:lineRule="auto"/>
        <w:ind w:firstLine="720"/>
        <w:contextualSpacing/>
        <w:jc w:val="both"/>
        <w:rPr>
          <w:rFonts w:ascii="Times New Roman" w:eastAsia="Times New Roman" w:hAnsi="Times New Roman" w:cs="Times New Roman"/>
          <w:sz w:val="28"/>
          <w:szCs w:val="28"/>
          <w:lang w:val="en-US" w:eastAsia="ru-RU"/>
        </w:rPr>
      </w:pPr>
      <w:r w:rsidRPr="00FD37D3">
        <w:rPr>
          <w:rFonts w:ascii="Times New Roman" w:hAnsi="Times New Roman" w:cs="Times New Roman"/>
          <w:sz w:val="28"/>
          <w:szCs w:val="28"/>
          <w:lang w:val="en-US"/>
        </w:rPr>
        <w:lastRenderedPageBreak/>
        <w:t>The triple helix model of innovation is taking different forms between three helices and evolving as time passes. Initially, two helices (government-university) were the typical form of interaction to develop the nation's wealth</w:t>
      </w:r>
      <w:r w:rsidRPr="00244343">
        <w:rPr>
          <w:rFonts w:ascii="Times New Roman" w:eastAsia="Times New Roman" w:hAnsi="Times New Roman" w:cs="Times New Roman"/>
          <w:sz w:val="28"/>
          <w:szCs w:val="28"/>
          <w:lang w:val="en-US" w:eastAsia="ru-RU"/>
        </w:rPr>
        <w:t xml:space="preserve">. Gradually, the industry emerged as the third </w:t>
      </w:r>
      <w:proofErr w:type="spellStart"/>
      <w:r w:rsidRPr="00244343">
        <w:rPr>
          <w:rFonts w:ascii="Times New Roman" w:eastAsia="Times New Roman" w:hAnsi="Times New Roman" w:cs="Times New Roman"/>
          <w:sz w:val="28"/>
          <w:szCs w:val="28"/>
          <w:lang w:val="en-US" w:eastAsia="ru-RU"/>
        </w:rPr>
        <w:t>helice</w:t>
      </w:r>
      <w:proofErr w:type="spellEnd"/>
      <w:r w:rsidRPr="00244343">
        <w:rPr>
          <w:rFonts w:ascii="Times New Roman" w:eastAsia="Times New Roman" w:hAnsi="Times New Roman" w:cs="Times New Roman"/>
          <w:sz w:val="28"/>
          <w:szCs w:val="28"/>
          <w:lang w:val="en-US" w:eastAsia="ru-RU"/>
        </w:rPr>
        <w:t xml:space="preserve"> for triple helix interactions. Over time, this model experienced evolutions according to the neo-evolutionary perspective by </w:t>
      </w:r>
      <w:proofErr w:type="spellStart"/>
      <w:r w:rsidRPr="00244343">
        <w:rPr>
          <w:rFonts w:ascii="Times New Roman" w:eastAsia="Times New Roman" w:hAnsi="Times New Roman" w:cs="Times New Roman"/>
          <w:sz w:val="28"/>
          <w:szCs w:val="28"/>
          <w:lang w:val="en-US" w:eastAsia="ru-RU"/>
        </w:rPr>
        <w:t>Leydesdorff</w:t>
      </w:r>
      <w:proofErr w:type="spellEnd"/>
      <w:r w:rsidRPr="00244343">
        <w:rPr>
          <w:rFonts w:ascii="Times New Roman" w:eastAsia="Times New Roman" w:hAnsi="Times New Roman" w:cs="Times New Roman"/>
          <w:sz w:val="28"/>
          <w:szCs w:val="28"/>
          <w:lang w:val="en-US" w:eastAsia="ru-RU"/>
        </w:rPr>
        <w:t xml:space="preserve"> [</w:t>
      </w:r>
      <w:r w:rsidR="00036FEF">
        <w:rPr>
          <w:rFonts w:ascii="Times New Roman" w:eastAsia="Times New Roman" w:hAnsi="Times New Roman" w:cs="Times New Roman"/>
          <w:sz w:val="28"/>
          <w:szCs w:val="28"/>
          <w:lang w:val="en-US" w:eastAsia="ru-RU"/>
        </w:rPr>
        <w:t>110</w:t>
      </w:r>
      <w:r w:rsidRPr="00244343">
        <w:rPr>
          <w:rFonts w:ascii="Times New Roman" w:eastAsia="Times New Roman" w:hAnsi="Times New Roman" w:cs="Times New Roman"/>
          <w:sz w:val="28"/>
          <w:szCs w:val="28"/>
          <w:lang w:val="en-US" w:eastAsia="ru-RU"/>
        </w:rPr>
        <w:t>].</w:t>
      </w:r>
    </w:p>
    <w:p w14:paraId="313440E1" w14:textId="77777777" w:rsidR="00600C79" w:rsidRPr="00B57D93" w:rsidRDefault="00600C79" w:rsidP="007D5D8E">
      <w:pPr>
        <w:spacing w:line="240" w:lineRule="auto"/>
        <w:ind w:firstLine="720"/>
        <w:contextualSpacing/>
        <w:jc w:val="both"/>
        <w:rPr>
          <w:rFonts w:ascii="Times New Roman" w:eastAsia="Times New Roman" w:hAnsi="Times New Roman" w:cs="Times New Roman"/>
          <w:color w:val="0E101A"/>
          <w:sz w:val="28"/>
          <w:szCs w:val="28"/>
          <w:lang w:val="en-US"/>
        </w:rPr>
      </w:pPr>
      <w:r w:rsidRPr="00B57D93">
        <w:rPr>
          <w:rFonts w:ascii="Times New Roman" w:eastAsia="Times New Roman" w:hAnsi="Times New Roman" w:cs="Times New Roman"/>
          <w:color w:val="0E101A"/>
          <w:sz w:val="28"/>
          <w:szCs w:val="28"/>
          <w:lang w:val="en-US"/>
        </w:rPr>
        <w:t>We conducted a comparative synthesis of cases from developed and developing countries. The selection criteria for the cases included at least one of the following characteristics:</w:t>
      </w:r>
    </w:p>
    <w:p w14:paraId="3CA9C211" w14:textId="77777777" w:rsidR="00600C79" w:rsidRPr="00B57D93" w:rsidRDefault="00600C79" w:rsidP="001B500C">
      <w:pPr>
        <w:numPr>
          <w:ilvl w:val="0"/>
          <w:numId w:val="13"/>
        </w:numPr>
        <w:spacing w:after="0" w:line="240" w:lineRule="auto"/>
        <w:rPr>
          <w:rFonts w:ascii="Times New Roman" w:eastAsia="Times New Roman" w:hAnsi="Times New Roman" w:cs="Times New Roman"/>
          <w:color w:val="0E101A"/>
          <w:sz w:val="28"/>
          <w:szCs w:val="28"/>
          <w:lang w:val="en-US"/>
        </w:rPr>
      </w:pPr>
      <w:r w:rsidRPr="00B57D93">
        <w:rPr>
          <w:rFonts w:ascii="Times New Roman" w:eastAsia="Times New Roman" w:hAnsi="Times New Roman" w:cs="Times New Roman"/>
          <w:color w:val="0E101A"/>
          <w:sz w:val="28"/>
          <w:szCs w:val="28"/>
          <w:lang w:val="en-US"/>
        </w:rPr>
        <w:t>A historical perspective on U-I collaboration;</w:t>
      </w:r>
    </w:p>
    <w:p w14:paraId="5786E735" w14:textId="77777777" w:rsidR="00600C79" w:rsidRPr="00B57D93" w:rsidRDefault="00600C79" w:rsidP="001B500C">
      <w:pPr>
        <w:numPr>
          <w:ilvl w:val="0"/>
          <w:numId w:val="13"/>
        </w:numPr>
        <w:spacing w:after="0" w:line="240" w:lineRule="auto"/>
        <w:rPr>
          <w:rFonts w:ascii="Times New Roman" w:eastAsia="Times New Roman" w:hAnsi="Times New Roman" w:cs="Times New Roman"/>
          <w:color w:val="0E101A"/>
          <w:sz w:val="28"/>
          <w:szCs w:val="28"/>
          <w:lang w:val="en-US"/>
        </w:rPr>
      </w:pPr>
      <w:r w:rsidRPr="00B57D93">
        <w:rPr>
          <w:rFonts w:ascii="Times New Roman" w:eastAsia="Times New Roman" w:hAnsi="Times New Roman" w:cs="Times New Roman"/>
          <w:color w:val="0E101A"/>
          <w:sz w:val="28"/>
          <w:szCs w:val="28"/>
          <w:lang w:val="en-US"/>
        </w:rPr>
        <w:t>The presence of a U-I relationship or network within TH data;</w:t>
      </w:r>
    </w:p>
    <w:p w14:paraId="6D60BEB5" w14:textId="77777777" w:rsidR="00600C79" w:rsidRPr="00B57D93" w:rsidRDefault="00600C79" w:rsidP="001B500C">
      <w:pPr>
        <w:numPr>
          <w:ilvl w:val="0"/>
          <w:numId w:val="13"/>
        </w:numPr>
        <w:spacing w:after="0" w:line="240" w:lineRule="auto"/>
        <w:rPr>
          <w:rFonts w:ascii="Times New Roman" w:eastAsia="Times New Roman" w:hAnsi="Times New Roman" w:cs="Times New Roman"/>
          <w:color w:val="0E101A"/>
          <w:sz w:val="28"/>
          <w:szCs w:val="28"/>
          <w:lang w:val="en-US"/>
        </w:rPr>
      </w:pPr>
      <w:r w:rsidRPr="00B57D93">
        <w:rPr>
          <w:rFonts w:ascii="Times New Roman" w:eastAsia="Times New Roman" w:hAnsi="Times New Roman" w:cs="Times New Roman"/>
          <w:color w:val="0E101A"/>
          <w:sz w:val="28"/>
          <w:szCs w:val="28"/>
          <w:lang w:val="en-US"/>
        </w:rPr>
        <w:t>Documented outputs of Triple Helix model implementation;</w:t>
      </w:r>
    </w:p>
    <w:p w14:paraId="33811985" w14:textId="77777777" w:rsidR="00600C79" w:rsidRPr="00B57D93" w:rsidRDefault="00600C79" w:rsidP="001B500C">
      <w:pPr>
        <w:numPr>
          <w:ilvl w:val="0"/>
          <w:numId w:val="13"/>
        </w:numPr>
        <w:spacing w:after="0" w:line="240" w:lineRule="auto"/>
        <w:rPr>
          <w:rFonts w:ascii="Times New Roman" w:eastAsia="Times New Roman" w:hAnsi="Times New Roman" w:cs="Times New Roman"/>
          <w:color w:val="0E101A"/>
          <w:sz w:val="28"/>
          <w:szCs w:val="28"/>
          <w:lang w:val="en-US"/>
        </w:rPr>
      </w:pPr>
      <w:r w:rsidRPr="00B57D93">
        <w:rPr>
          <w:rFonts w:ascii="Times New Roman" w:eastAsia="Times New Roman" w:hAnsi="Times New Roman" w:cs="Times New Roman"/>
          <w:color w:val="0E101A"/>
          <w:sz w:val="28"/>
          <w:szCs w:val="28"/>
          <w:lang w:val="en-US"/>
        </w:rPr>
        <w:t>Positive or negative trends in Triple Helix linkages;</w:t>
      </w:r>
    </w:p>
    <w:p w14:paraId="7ABCCF37" w14:textId="77777777" w:rsidR="00600C79" w:rsidRPr="00B57D93" w:rsidRDefault="00600C79" w:rsidP="001B500C">
      <w:pPr>
        <w:numPr>
          <w:ilvl w:val="0"/>
          <w:numId w:val="13"/>
        </w:numPr>
        <w:spacing w:after="0" w:line="240" w:lineRule="auto"/>
        <w:rPr>
          <w:rFonts w:ascii="Times New Roman" w:eastAsia="Times New Roman" w:hAnsi="Times New Roman" w:cs="Times New Roman"/>
          <w:color w:val="0E101A"/>
          <w:sz w:val="28"/>
          <w:szCs w:val="28"/>
          <w:lang w:val="en-US"/>
        </w:rPr>
      </w:pPr>
      <w:r w:rsidRPr="00B57D93">
        <w:rPr>
          <w:rFonts w:ascii="Times New Roman" w:eastAsia="Times New Roman" w:hAnsi="Times New Roman" w:cs="Times New Roman"/>
          <w:color w:val="0E101A"/>
          <w:sz w:val="28"/>
          <w:szCs w:val="28"/>
          <w:lang w:val="en-US"/>
        </w:rPr>
        <w:t>NIS aligned with the THM;</w:t>
      </w:r>
    </w:p>
    <w:p w14:paraId="38667142"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B57D93">
        <w:rPr>
          <w:rFonts w:ascii="Times New Roman" w:eastAsia="Times New Roman" w:hAnsi="Times New Roman" w:cs="Times New Roman"/>
          <w:sz w:val="28"/>
          <w:szCs w:val="28"/>
          <w:lang w:val="en-US" w:eastAsia="ru-RU"/>
        </w:rPr>
        <w:t>Employing cases as the</w:t>
      </w:r>
      <w:r w:rsidRPr="00244343">
        <w:rPr>
          <w:rFonts w:ascii="Times New Roman" w:eastAsia="Times New Roman" w:hAnsi="Times New Roman" w:cs="Times New Roman"/>
          <w:sz w:val="28"/>
          <w:szCs w:val="28"/>
          <w:lang w:val="en-US" w:eastAsia="ru-RU"/>
        </w:rPr>
        <w:t xml:space="preserve"> basis of our further research calls for the question:  why</w:t>
      </w:r>
      <w:r>
        <w:rPr>
          <w:rFonts w:ascii="Times New Roman" w:eastAsia="Times New Roman" w:hAnsi="Times New Roman" w:cs="Times New Roman"/>
          <w:sz w:val="28"/>
          <w:szCs w:val="28"/>
          <w:lang w:val="en-US" w:eastAsia="ru-RU"/>
        </w:rPr>
        <w:t xml:space="preserve"> do</w:t>
      </w:r>
      <w:r w:rsidRPr="00244343">
        <w:rPr>
          <w:rFonts w:ascii="Times New Roman" w:eastAsia="Times New Roman" w:hAnsi="Times New Roman" w:cs="Times New Roman"/>
          <w:sz w:val="28"/>
          <w:szCs w:val="28"/>
          <w:lang w:val="en-US" w:eastAsia="ru-RU"/>
        </w:rPr>
        <w:t xml:space="preserve"> we need to study the cases of U-I formations/evolutions/relationships and their performances? We need to have a solid understanding of how these ties (the TH) are formed, managed and resulted in to understand at what point are our U-I links and the TH model, and are there a better solution or method for its best implementation. </w:t>
      </w:r>
    </w:p>
    <w:p w14:paraId="4D13C99E"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The massive disadvantage of synthesizing the handy articles is that every considered research paper has its structures and forms of research, which vary the image of the desired approach. As examples of the countries in TH model implementation in this section, we chose according to the availability of the research results in scientific databases</w:t>
      </w:r>
      <w:r>
        <w:rPr>
          <w:rFonts w:ascii="Times New Roman" w:eastAsia="Times New Roman" w:hAnsi="Times New Roman" w:cs="Times New Roman"/>
          <w:sz w:val="28"/>
          <w:szCs w:val="28"/>
          <w:lang w:val="en-US" w:eastAsia="ru-RU"/>
        </w:rPr>
        <w:t xml:space="preserve"> as Scopus and Web </w:t>
      </w:r>
      <w:proofErr w:type="gramStart"/>
      <w:r>
        <w:rPr>
          <w:rFonts w:ascii="Times New Roman" w:eastAsia="Times New Roman" w:hAnsi="Times New Roman" w:cs="Times New Roman"/>
          <w:sz w:val="28"/>
          <w:szCs w:val="28"/>
          <w:lang w:val="en-US" w:eastAsia="ru-RU"/>
        </w:rPr>
        <w:t>Of</w:t>
      </w:r>
      <w:proofErr w:type="gramEnd"/>
      <w:r>
        <w:rPr>
          <w:rFonts w:ascii="Times New Roman" w:eastAsia="Times New Roman" w:hAnsi="Times New Roman" w:cs="Times New Roman"/>
          <w:sz w:val="28"/>
          <w:szCs w:val="28"/>
          <w:lang w:val="en-US" w:eastAsia="ru-RU"/>
        </w:rPr>
        <w:t xml:space="preserve"> Science.</w:t>
      </w:r>
    </w:p>
    <w:p w14:paraId="0B2A87AC"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We determined to explore the research articles retrieved from three different countries of three different subcontinents, such as Japan (Asian subcontinent) and China (as neighboring country), Italy (as developed country in Europe subcontinent, and as first head of the TH quarter).</w:t>
      </w:r>
    </w:p>
    <w:p w14:paraId="79A379B8"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Japan - has one of the most competitive economies and advanced technology in the world. However, the government's stringent regulations over its universities had not been relaxed until the end of the 1990s. Before that period, the budget fund spent on the research-based expenditure was low and resulted in a deteriorated research environment in Japan's state-level and private universities. </w:t>
      </w:r>
    </w:p>
    <w:p w14:paraId="0F817671"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Generally, the national system of innovation or NIS (national innovation system) is composed of three institutions: the government, university and industry. Each of these sectors interacts with another, consequently forging a ground to the innovation.</w:t>
      </w:r>
    </w:p>
    <w:p w14:paraId="0F2CE1D9" w14:textId="79D2F912" w:rsidR="00E76DBE" w:rsidRDefault="00600C79" w:rsidP="00E76DBE">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During the TH model implementation management, it is important to take into account the culture of the organizational function and forms. National contexts and other social factors are mainly ignored by the Triple Helix concept. In the industry section, the employment system of Japan is not similar to others, and lifetime employment is key to keeping the core employers in the company further sharing the tacit knowledge [</w:t>
      </w:r>
      <w:r w:rsidR="00036FEF">
        <w:rPr>
          <w:rFonts w:ascii="Times New Roman" w:eastAsia="Times New Roman" w:hAnsi="Times New Roman" w:cs="Times New Roman"/>
          <w:sz w:val="28"/>
          <w:szCs w:val="28"/>
          <w:lang w:val="en-US" w:eastAsia="ru-RU"/>
        </w:rPr>
        <w:t>111</w:t>
      </w:r>
      <w:r w:rsidRPr="00244343">
        <w:rPr>
          <w:rFonts w:ascii="Times New Roman" w:eastAsia="Times New Roman" w:hAnsi="Times New Roman" w:cs="Times New Roman"/>
          <w:sz w:val="28"/>
          <w:szCs w:val="28"/>
          <w:lang w:val="en-US" w:eastAsia="ru-RU"/>
        </w:rPr>
        <w:t>].</w:t>
      </w:r>
      <w:bookmarkStart w:id="14" w:name="_Toc146656846"/>
    </w:p>
    <w:p w14:paraId="264A05FE" w14:textId="73EE7913" w:rsidR="00600C79" w:rsidRDefault="00600C79" w:rsidP="00E76DBE">
      <w:pPr>
        <w:spacing w:after="0" w:line="240" w:lineRule="auto"/>
        <w:ind w:firstLine="720"/>
        <w:contextualSpacing/>
        <w:jc w:val="both"/>
        <w:rPr>
          <w:rFonts w:ascii="Times New Roman" w:hAnsi="Times New Roman" w:cs="Times New Roman"/>
          <w:sz w:val="28"/>
          <w:szCs w:val="28"/>
        </w:rPr>
      </w:pPr>
      <w:r w:rsidRPr="00E76DBE">
        <w:rPr>
          <w:rFonts w:ascii="Times New Roman" w:hAnsi="Times New Roman" w:cs="Times New Roman"/>
          <w:sz w:val="28"/>
          <w:szCs w:val="28"/>
          <w:lang w:val="en-US"/>
        </w:rPr>
        <w:lastRenderedPageBreak/>
        <w:t xml:space="preserve">Table </w:t>
      </w:r>
      <w:r w:rsidR="00FE57A7" w:rsidRPr="00E76DBE">
        <w:rPr>
          <w:rFonts w:ascii="Times New Roman" w:hAnsi="Times New Roman" w:cs="Times New Roman"/>
          <w:sz w:val="28"/>
          <w:szCs w:val="28"/>
          <w:lang w:val="en-US"/>
        </w:rPr>
        <w:t>4</w:t>
      </w:r>
      <w:r w:rsidRPr="00E76DBE">
        <w:rPr>
          <w:rFonts w:ascii="Times New Roman" w:hAnsi="Times New Roman" w:cs="Times New Roman"/>
          <w:sz w:val="28"/>
          <w:szCs w:val="28"/>
          <w:lang w:val="en-US"/>
        </w:rPr>
        <w:t xml:space="preserve"> </w:t>
      </w:r>
      <w:r w:rsidR="00E76DBE" w:rsidRPr="00E76DBE">
        <w:rPr>
          <w:rFonts w:ascii="Times New Roman" w:hAnsi="Times New Roman" w:cs="Times New Roman"/>
          <w:sz w:val="28"/>
          <w:szCs w:val="28"/>
          <w:lang w:val="en-US"/>
        </w:rPr>
        <w:t>–</w:t>
      </w:r>
      <w:r w:rsidRPr="00E76DBE">
        <w:rPr>
          <w:rFonts w:ascii="Times New Roman" w:hAnsi="Times New Roman" w:cs="Times New Roman"/>
          <w:sz w:val="28"/>
          <w:szCs w:val="28"/>
          <w:lang w:val="en-US"/>
        </w:rPr>
        <w:t xml:space="preserve"> Japanese National Innovation System</w:t>
      </w:r>
      <w:bookmarkEnd w:id="14"/>
      <w:r w:rsidR="00464943">
        <w:rPr>
          <w:rFonts w:ascii="Times New Roman" w:hAnsi="Times New Roman" w:cs="Times New Roman"/>
          <w:sz w:val="28"/>
          <w:szCs w:val="28"/>
        </w:rPr>
        <w:t xml:space="preserve"> </w:t>
      </w:r>
    </w:p>
    <w:p w14:paraId="1EA7CA10" w14:textId="77777777" w:rsidR="00017CD9" w:rsidRPr="00464943" w:rsidRDefault="00017CD9" w:rsidP="00E76DBE">
      <w:pPr>
        <w:spacing w:after="0" w:line="240" w:lineRule="auto"/>
        <w:ind w:firstLine="720"/>
        <w:contextualSpacing/>
        <w:jc w:val="both"/>
        <w:rPr>
          <w:rFonts w:ascii="Times New Roman" w:hAnsi="Times New Roman" w:cs="Times New Roman"/>
          <w:sz w:val="28"/>
          <w:szCs w:val="28"/>
        </w:rPr>
      </w:pPr>
    </w:p>
    <w:tbl>
      <w:tblPr>
        <w:tblStyle w:val="a8"/>
        <w:tblW w:w="9351" w:type="dxa"/>
        <w:shd w:val="clear" w:color="auto" w:fill="FFFFFF" w:themeFill="background1"/>
        <w:tblLook w:val="04A0" w:firstRow="1" w:lastRow="0" w:firstColumn="1" w:lastColumn="0" w:noHBand="0" w:noVBand="1"/>
      </w:tblPr>
      <w:tblGrid>
        <w:gridCol w:w="3256"/>
        <w:gridCol w:w="3543"/>
        <w:gridCol w:w="2552"/>
      </w:tblGrid>
      <w:tr w:rsidR="00600C79" w:rsidRPr="00464943" w14:paraId="36CB5924" w14:textId="77777777" w:rsidTr="00464943">
        <w:trPr>
          <w:trHeight w:val="234"/>
        </w:trPr>
        <w:tc>
          <w:tcPr>
            <w:tcW w:w="3256" w:type="dxa"/>
            <w:shd w:val="clear" w:color="auto" w:fill="FFFFFF" w:themeFill="background1"/>
            <w:vAlign w:val="center"/>
          </w:tcPr>
          <w:p w14:paraId="00D4A457" w14:textId="77777777" w:rsidR="00600C79" w:rsidRPr="00464943" w:rsidRDefault="00600C79" w:rsidP="00464943">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Industry</w:t>
            </w:r>
          </w:p>
        </w:tc>
        <w:tc>
          <w:tcPr>
            <w:tcW w:w="3543" w:type="dxa"/>
            <w:shd w:val="clear" w:color="auto" w:fill="FFFFFF" w:themeFill="background1"/>
            <w:vAlign w:val="center"/>
          </w:tcPr>
          <w:p w14:paraId="78B14085" w14:textId="77777777" w:rsidR="00600C79" w:rsidRPr="00464943" w:rsidRDefault="00600C79" w:rsidP="00464943">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University</w:t>
            </w:r>
          </w:p>
        </w:tc>
        <w:tc>
          <w:tcPr>
            <w:tcW w:w="2552" w:type="dxa"/>
            <w:shd w:val="clear" w:color="auto" w:fill="FFFFFF" w:themeFill="background1"/>
            <w:vAlign w:val="center"/>
          </w:tcPr>
          <w:p w14:paraId="430520E2" w14:textId="77777777" w:rsidR="00600C79" w:rsidRPr="00464943" w:rsidRDefault="00600C79" w:rsidP="00464943">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Government</w:t>
            </w:r>
          </w:p>
        </w:tc>
      </w:tr>
      <w:tr w:rsidR="00AF3610" w:rsidRPr="000E0481" w14:paraId="71DDF055" w14:textId="77777777" w:rsidTr="00464943">
        <w:trPr>
          <w:trHeight w:val="96"/>
        </w:trPr>
        <w:tc>
          <w:tcPr>
            <w:tcW w:w="3256" w:type="dxa"/>
            <w:shd w:val="clear" w:color="auto" w:fill="FFFFFF" w:themeFill="background1"/>
          </w:tcPr>
          <w:p w14:paraId="183DEE9F" w14:textId="77777777"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-Manufacturing center (by the end of 1985)</w:t>
            </w:r>
            <w:r>
              <w:rPr>
                <w:rFonts w:ascii="Times New Roman" w:hAnsi="Times New Roman" w:cs="Times New Roman"/>
                <w:sz w:val="28"/>
                <w:szCs w:val="28"/>
                <w:lang w:val="en-US" w:eastAsia="ru-RU"/>
              </w:rPr>
              <w:t>;</w:t>
            </w:r>
          </w:p>
          <w:p w14:paraId="1AF806D5" w14:textId="77777777" w:rsidR="00AF3610" w:rsidRPr="00240A50"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-Industrial technology; corporate level- automobile industry</w:t>
            </w:r>
            <w:r>
              <w:rPr>
                <w:rFonts w:ascii="Times New Roman" w:hAnsi="Times New Roman" w:cs="Times New Roman"/>
                <w:sz w:val="28"/>
                <w:szCs w:val="28"/>
                <w:lang w:val="en-US" w:eastAsia="ru-RU"/>
              </w:rPr>
              <w:t>;</w:t>
            </w:r>
          </w:p>
          <w:p w14:paraId="382ACE47" w14:textId="77777777"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-Steel industry- oil-less steel production;</w:t>
            </w:r>
          </w:p>
          <w:p w14:paraId="5D385CC6" w14:textId="77777777"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-Energy-efficient technology</w:t>
            </w:r>
            <w:r>
              <w:rPr>
                <w:rFonts w:ascii="Times New Roman" w:hAnsi="Times New Roman" w:cs="Times New Roman"/>
                <w:sz w:val="28"/>
                <w:szCs w:val="28"/>
                <w:lang w:val="en-US" w:eastAsia="ru-RU"/>
              </w:rPr>
              <w:t>;</w:t>
            </w:r>
          </w:p>
          <w:p w14:paraId="564BEFBF" w14:textId="68E7D911"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 xml:space="preserve">-Semiconductor industry; Experience, accumulation of knowledge </w:t>
            </w:r>
            <w:r w:rsidR="00017CD9">
              <w:rPr>
                <w:rFonts w:ascii="Times New Roman" w:hAnsi="Times New Roman" w:cs="Times New Roman"/>
                <w:sz w:val="28"/>
                <w:szCs w:val="28"/>
                <w:lang w:val="en-US" w:eastAsia="ru-RU"/>
              </w:rPr>
              <w:t>&amp;</w:t>
            </w:r>
            <w:r w:rsidRPr="00464943">
              <w:rPr>
                <w:rFonts w:ascii="Times New Roman" w:hAnsi="Times New Roman" w:cs="Times New Roman"/>
                <w:sz w:val="28"/>
                <w:szCs w:val="28"/>
                <w:lang w:val="en-US" w:eastAsia="ru-RU"/>
              </w:rPr>
              <w:t xml:space="preserve"> technological capability, sharing experience by staff rotation;</w:t>
            </w:r>
          </w:p>
          <w:p w14:paraId="3A3947BB" w14:textId="77777777"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w:t>
            </w:r>
            <w:r>
              <w:rPr>
                <w:rFonts w:ascii="Times New Roman" w:hAnsi="Times New Roman" w:cs="Times New Roman"/>
                <w:sz w:val="28"/>
                <w:szCs w:val="28"/>
                <w:lang w:val="en-US" w:eastAsia="ru-RU"/>
              </w:rPr>
              <w:t>T</w:t>
            </w:r>
            <w:r w:rsidRPr="00464943">
              <w:rPr>
                <w:rFonts w:ascii="Times New Roman" w:hAnsi="Times New Roman" w:cs="Times New Roman"/>
                <w:sz w:val="28"/>
                <w:szCs w:val="28"/>
                <w:lang w:val="en-US" w:eastAsia="ru-RU"/>
              </w:rPr>
              <w:t>acit knowledge was important;</w:t>
            </w:r>
          </w:p>
          <w:p w14:paraId="4281A680" w14:textId="77777777"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-Firm -specific skills;</w:t>
            </w:r>
          </w:p>
          <w:p w14:paraId="02DD66FA" w14:textId="77777777"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w:t>
            </w:r>
            <w:r>
              <w:rPr>
                <w:rFonts w:ascii="Times New Roman" w:hAnsi="Times New Roman" w:cs="Times New Roman"/>
                <w:sz w:val="28"/>
                <w:szCs w:val="28"/>
                <w:lang w:val="en-US" w:eastAsia="ru-RU"/>
              </w:rPr>
              <w:t>M</w:t>
            </w:r>
            <w:r w:rsidRPr="00464943">
              <w:rPr>
                <w:rFonts w:ascii="Times New Roman" w:hAnsi="Times New Roman" w:cs="Times New Roman"/>
                <w:sz w:val="28"/>
                <w:szCs w:val="28"/>
                <w:lang w:val="en-US" w:eastAsia="ru-RU"/>
              </w:rPr>
              <w:t>anagement system and corporate organizational structure promoted efficient use of tacit knowledge;</w:t>
            </w:r>
          </w:p>
          <w:p w14:paraId="02C43C92" w14:textId="77777777"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w:t>
            </w:r>
            <w:r>
              <w:rPr>
                <w:rFonts w:ascii="Times New Roman" w:hAnsi="Times New Roman" w:cs="Times New Roman"/>
                <w:sz w:val="28"/>
                <w:szCs w:val="28"/>
                <w:lang w:val="en-US" w:eastAsia="ru-RU"/>
              </w:rPr>
              <w:t>M</w:t>
            </w:r>
            <w:r w:rsidRPr="00464943">
              <w:rPr>
                <w:rFonts w:ascii="Times New Roman" w:hAnsi="Times New Roman" w:cs="Times New Roman"/>
                <w:sz w:val="28"/>
                <w:szCs w:val="28"/>
                <w:lang w:val="en-US" w:eastAsia="ru-RU"/>
              </w:rPr>
              <w:t>ore or less similar types of technology, whereas US manufacturers adopted different (in the process of production);</w:t>
            </w:r>
          </w:p>
          <w:p w14:paraId="4BD1AFC8" w14:textId="3D5465EA"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-Research results quickly acquired by the competitors (due to patent system) therefore, other firms` technology is an essential source of technological information</w:t>
            </w:r>
            <w:r>
              <w:rPr>
                <w:rFonts w:ascii="Times New Roman" w:hAnsi="Times New Roman" w:cs="Times New Roman"/>
                <w:sz w:val="28"/>
                <w:szCs w:val="28"/>
                <w:lang w:val="en-US" w:eastAsia="ru-RU"/>
              </w:rPr>
              <w:t>.</w:t>
            </w:r>
          </w:p>
        </w:tc>
        <w:tc>
          <w:tcPr>
            <w:tcW w:w="3543" w:type="dxa"/>
            <w:shd w:val="clear" w:color="auto" w:fill="FFFFFF" w:themeFill="background1"/>
          </w:tcPr>
          <w:p w14:paraId="6611DAEE" w14:textId="77777777" w:rsidR="00AF3610" w:rsidRPr="00464943" w:rsidRDefault="00AF3610" w:rsidP="00AF3610">
            <w:pPr>
              <w:rPr>
                <w:rFonts w:ascii="Times New Roman" w:hAnsi="Times New Roman" w:cs="Times New Roman"/>
                <w:sz w:val="28"/>
                <w:szCs w:val="28"/>
                <w:lang w:val="en-US"/>
              </w:rPr>
            </w:pPr>
            <w:r w:rsidRPr="00464943">
              <w:rPr>
                <w:rFonts w:ascii="Times New Roman" w:hAnsi="Times New Roman" w:cs="Times New Roman"/>
                <w:sz w:val="28"/>
                <w:szCs w:val="28"/>
                <w:lang w:val="en-US"/>
              </w:rPr>
              <w:t>- Cooperation with Universities to foster a logical understanding of science and enabling technologies, to develop cutting-edge equipment;</w:t>
            </w:r>
          </w:p>
          <w:p w14:paraId="5608D89E" w14:textId="77777777"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w:t>
            </w:r>
            <w:r>
              <w:rPr>
                <w:rFonts w:ascii="Times New Roman" w:hAnsi="Times New Roman" w:cs="Times New Roman"/>
                <w:sz w:val="28"/>
                <w:szCs w:val="28"/>
                <w:lang w:val="en-US" w:eastAsia="ru-RU"/>
              </w:rPr>
              <w:t xml:space="preserve"> T</w:t>
            </w:r>
            <w:r w:rsidRPr="00464943">
              <w:rPr>
                <w:rFonts w:ascii="Times New Roman" w:hAnsi="Times New Roman" w:cs="Times New Roman"/>
                <w:sz w:val="28"/>
                <w:szCs w:val="28"/>
                <w:lang w:val="en-US" w:eastAsia="ru-RU"/>
              </w:rPr>
              <w:t xml:space="preserve">he school of engineering by Meiji government (1873) - </w:t>
            </w:r>
            <w:r>
              <w:rPr>
                <w:rFonts w:ascii="Times New Roman" w:hAnsi="Times New Roman" w:cs="Times New Roman"/>
                <w:sz w:val="28"/>
                <w:szCs w:val="28"/>
                <w:lang w:val="en-US" w:eastAsia="ru-RU"/>
              </w:rPr>
              <w:t>R</w:t>
            </w:r>
            <w:r w:rsidRPr="00464943">
              <w:rPr>
                <w:rFonts w:ascii="Times New Roman" w:hAnsi="Times New Roman" w:cs="Times New Roman"/>
                <w:sz w:val="28"/>
                <w:szCs w:val="28"/>
                <w:lang w:val="en-US" w:eastAsia="ru-RU"/>
              </w:rPr>
              <w:t xml:space="preserve">esponsible for </w:t>
            </w:r>
            <w:r>
              <w:rPr>
                <w:rFonts w:ascii="Times New Roman" w:hAnsi="Times New Roman" w:cs="Times New Roman"/>
                <w:sz w:val="28"/>
                <w:szCs w:val="28"/>
                <w:lang w:val="en-US" w:eastAsia="ru-RU"/>
              </w:rPr>
              <w:t>e</w:t>
            </w:r>
            <w:r w:rsidRPr="00464943">
              <w:rPr>
                <w:rFonts w:ascii="Times New Roman" w:hAnsi="Times New Roman" w:cs="Times New Roman"/>
                <w:sz w:val="28"/>
                <w:szCs w:val="28"/>
                <w:lang w:val="en-US" w:eastAsia="ru-RU"/>
              </w:rPr>
              <w:t>ducation in fields:</w:t>
            </w:r>
          </w:p>
          <w:p w14:paraId="2C6AFE6A" w14:textId="77777777"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C</w:t>
            </w:r>
            <w:r w:rsidRPr="00464943">
              <w:rPr>
                <w:rFonts w:ascii="Times New Roman" w:hAnsi="Times New Roman" w:cs="Times New Roman"/>
                <w:sz w:val="28"/>
                <w:szCs w:val="28"/>
                <w:lang w:val="en-US" w:eastAsia="ru-RU"/>
              </w:rPr>
              <w:t xml:space="preserve">ivil and mechanical engineering, telecommunications, construction, chemistry, mining, metallurgy, shipbuilding. </w:t>
            </w:r>
          </w:p>
          <w:p w14:paraId="1FAEFA42" w14:textId="77777777"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 Post Second WW - universities researchers with tech expertise into industry</w:t>
            </w:r>
            <w:r>
              <w:rPr>
                <w:rFonts w:ascii="Times New Roman" w:hAnsi="Times New Roman" w:cs="Times New Roman"/>
                <w:sz w:val="28"/>
                <w:szCs w:val="28"/>
                <w:lang w:val="en-US" w:eastAsia="ru-RU"/>
              </w:rPr>
              <w:t>;</w:t>
            </w:r>
          </w:p>
          <w:p w14:paraId="16C36FF9" w14:textId="77777777"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 University is a seed of innovation and repositories of advanced knowledge</w:t>
            </w:r>
          </w:p>
          <w:p w14:paraId="62AB6D8F" w14:textId="77777777"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 Academia are engaged in high levels of academic research.</w:t>
            </w:r>
          </w:p>
          <w:p w14:paraId="6596F970" w14:textId="2C7A526C"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w:t>
            </w:r>
            <w:r>
              <w:rPr>
                <w:rFonts w:ascii="Times New Roman" w:hAnsi="Times New Roman" w:cs="Times New Roman"/>
                <w:sz w:val="28"/>
                <w:szCs w:val="28"/>
                <w:lang w:val="en-US" w:eastAsia="ru-RU"/>
              </w:rPr>
              <w:t>Obtaining</w:t>
            </w:r>
            <w:r w:rsidRPr="00464943">
              <w:rPr>
                <w:rFonts w:ascii="Times New Roman" w:hAnsi="Times New Roman" w:cs="Times New Roman"/>
                <w:sz w:val="28"/>
                <w:szCs w:val="28"/>
                <w:lang w:val="en-US" w:eastAsia="ru-RU"/>
              </w:rPr>
              <w:t xml:space="preserve"> patents </w:t>
            </w:r>
            <w:r w:rsidR="00017CD9">
              <w:rPr>
                <w:rFonts w:ascii="Times New Roman" w:hAnsi="Times New Roman" w:cs="Times New Roman"/>
                <w:sz w:val="28"/>
                <w:szCs w:val="28"/>
                <w:lang w:val="en-US" w:eastAsia="ru-RU"/>
              </w:rPr>
              <w:t>&amp;</w:t>
            </w:r>
            <w:r w:rsidRPr="00464943">
              <w:rPr>
                <w:rFonts w:ascii="Times New Roman" w:hAnsi="Times New Roman" w:cs="Times New Roman"/>
                <w:sz w:val="28"/>
                <w:szCs w:val="28"/>
                <w:lang w:val="en-US" w:eastAsia="ru-RU"/>
              </w:rPr>
              <w:t xml:space="preserve"> become incubator for new firms</w:t>
            </w:r>
            <w:r>
              <w:rPr>
                <w:rFonts w:ascii="Times New Roman" w:hAnsi="Times New Roman" w:cs="Times New Roman"/>
                <w:sz w:val="28"/>
                <w:szCs w:val="28"/>
                <w:lang w:val="en-US" w:eastAsia="ru-RU"/>
              </w:rPr>
              <w:t>;</w:t>
            </w:r>
          </w:p>
          <w:p w14:paraId="6BEC2C81" w14:textId="77777777"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T</w:t>
            </w:r>
            <w:r w:rsidRPr="00464943">
              <w:rPr>
                <w:rFonts w:ascii="Times New Roman" w:hAnsi="Times New Roman" w:cs="Times New Roman"/>
                <w:sz w:val="28"/>
                <w:szCs w:val="28"/>
                <w:lang w:val="en-US" w:eastAsia="ru-RU"/>
              </w:rPr>
              <w:t>raining engineers and scientists, academia assists industries in introducing innovative technologies</w:t>
            </w:r>
            <w:r>
              <w:rPr>
                <w:rFonts w:ascii="Times New Roman" w:hAnsi="Times New Roman" w:cs="Times New Roman"/>
                <w:sz w:val="28"/>
                <w:szCs w:val="28"/>
                <w:lang w:val="en-US" w:eastAsia="ru-RU"/>
              </w:rPr>
              <w:t>;</w:t>
            </w:r>
          </w:p>
          <w:p w14:paraId="5E744381" w14:textId="77777777"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w:t>
            </w:r>
            <w:r w:rsidRPr="00464943">
              <w:rPr>
                <w:rFonts w:ascii="Times New Roman" w:hAnsi="Times New Roman" w:cs="Times New Roman"/>
                <w:sz w:val="28"/>
                <w:szCs w:val="28"/>
                <w:lang w:val="en-US"/>
              </w:rPr>
              <w:t xml:space="preserve"> </w:t>
            </w:r>
            <w:r w:rsidRPr="00464943">
              <w:rPr>
                <w:rFonts w:ascii="Times New Roman" w:hAnsi="Times New Roman" w:cs="Times New Roman"/>
                <w:sz w:val="28"/>
                <w:szCs w:val="28"/>
                <w:lang w:val="en-US" w:eastAsia="ru-RU"/>
              </w:rPr>
              <w:t>Academia pushes the boundaries of science forward</w:t>
            </w:r>
            <w:r>
              <w:rPr>
                <w:rFonts w:ascii="Times New Roman" w:hAnsi="Times New Roman" w:cs="Times New Roman"/>
                <w:sz w:val="28"/>
                <w:szCs w:val="28"/>
                <w:lang w:val="en-US" w:eastAsia="ru-RU"/>
              </w:rPr>
              <w:t>;</w:t>
            </w:r>
          </w:p>
          <w:p w14:paraId="67A8CC9A" w14:textId="2D4E8268"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 Public Universities</w:t>
            </w:r>
            <w:r>
              <w:rPr>
                <w:rFonts w:ascii="Times New Roman" w:hAnsi="Times New Roman" w:cs="Times New Roman"/>
                <w:sz w:val="28"/>
                <w:szCs w:val="28"/>
                <w:lang w:val="en-US" w:eastAsia="ru-RU"/>
              </w:rPr>
              <w:t xml:space="preserve"> </w:t>
            </w:r>
            <w:r w:rsidRPr="00464943">
              <w:rPr>
                <w:rFonts w:ascii="Times New Roman" w:hAnsi="Times New Roman" w:cs="Times New Roman"/>
                <w:sz w:val="28"/>
                <w:szCs w:val="28"/>
                <w:lang w:val="en-US" w:eastAsia="ru-RU"/>
              </w:rPr>
              <w:t>are regulated by the Ministry of Education</w:t>
            </w:r>
          </w:p>
        </w:tc>
        <w:tc>
          <w:tcPr>
            <w:tcW w:w="2552" w:type="dxa"/>
            <w:shd w:val="clear" w:color="auto" w:fill="FFFFFF" w:themeFill="background1"/>
          </w:tcPr>
          <w:p w14:paraId="32633804" w14:textId="77777777"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 Government-led technological development programs</w:t>
            </w:r>
          </w:p>
          <w:p w14:paraId="2368AF32" w14:textId="77777777"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 Financial measures to promote R&amp;D policies and intellectual rights.</w:t>
            </w:r>
          </w:p>
          <w:p w14:paraId="0215DE6B" w14:textId="77777777"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-Programs: *next generation projects, large-scale projects, the mining and engineering technological research Association system</w:t>
            </w:r>
          </w:p>
          <w:p w14:paraId="1C026CC4" w14:textId="77777777"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-Government-sponsored "research consortia"</w:t>
            </w:r>
          </w:p>
          <w:p w14:paraId="24135008" w14:textId="77777777"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 Companies are encouraged to spend money on R&amp;D through a tax credit system</w:t>
            </w:r>
          </w:p>
          <w:p w14:paraId="13F20F90" w14:textId="7DA70AE0"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 xml:space="preserve">- </w:t>
            </w:r>
            <w:r w:rsidR="00017CD9">
              <w:rPr>
                <w:rFonts w:ascii="Times New Roman" w:hAnsi="Times New Roman" w:cs="Times New Roman"/>
                <w:sz w:val="28"/>
                <w:szCs w:val="28"/>
                <w:lang w:val="en-US" w:eastAsia="ru-RU"/>
              </w:rPr>
              <w:t>F</w:t>
            </w:r>
            <w:r w:rsidRPr="00464943">
              <w:rPr>
                <w:rFonts w:ascii="Times New Roman" w:hAnsi="Times New Roman" w:cs="Times New Roman"/>
                <w:sz w:val="28"/>
                <w:szCs w:val="28"/>
                <w:lang w:val="en-US" w:eastAsia="ru-RU"/>
              </w:rPr>
              <w:t>acilitating the flow of tacit knowledge and providing context for its interpretation.</w:t>
            </w:r>
          </w:p>
          <w:p w14:paraId="1060EFD8" w14:textId="484BB3D2" w:rsidR="00AF3610" w:rsidRPr="00464943" w:rsidRDefault="00AF3610" w:rsidP="00AF3610">
            <w:pPr>
              <w:rPr>
                <w:rFonts w:ascii="Times New Roman" w:hAnsi="Times New Roman" w:cs="Times New Roman"/>
                <w:sz w:val="28"/>
                <w:szCs w:val="28"/>
                <w:lang w:val="en-US" w:eastAsia="ru-RU"/>
              </w:rPr>
            </w:pPr>
            <w:r w:rsidRPr="00464943">
              <w:rPr>
                <w:rFonts w:ascii="Times New Roman" w:hAnsi="Times New Roman" w:cs="Times New Roman"/>
                <w:sz w:val="28"/>
                <w:szCs w:val="28"/>
                <w:lang w:val="en-US" w:eastAsia="ru-RU"/>
              </w:rPr>
              <w:t>-Patent system</w:t>
            </w:r>
            <w:r>
              <w:rPr>
                <w:rFonts w:ascii="Times New Roman" w:hAnsi="Times New Roman" w:cs="Times New Roman"/>
                <w:sz w:val="28"/>
                <w:szCs w:val="28"/>
                <w:lang w:val="en-US" w:eastAsia="ru-RU"/>
              </w:rPr>
              <w:t>;</w:t>
            </w:r>
          </w:p>
        </w:tc>
      </w:tr>
      <w:tr w:rsidR="00600C79" w:rsidRPr="000E0481" w14:paraId="1370D86A" w14:textId="77777777" w:rsidTr="00464943">
        <w:trPr>
          <w:trHeight w:val="86"/>
        </w:trPr>
        <w:tc>
          <w:tcPr>
            <w:tcW w:w="9351" w:type="dxa"/>
            <w:gridSpan w:val="3"/>
            <w:shd w:val="clear" w:color="auto" w:fill="FFFFFF" w:themeFill="background1"/>
          </w:tcPr>
          <w:p w14:paraId="6A59D5ED" w14:textId="1AFB0404" w:rsidR="00600C79" w:rsidRPr="00464943" w:rsidRDefault="00841FE9" w:rsidP="00464943">
            <w:pPr>
              <w:rPr>
                <w:rFonts w:ascii="Times New Roman" w:hAnsi="Times New Roman" w:cs="Times New Roman"/>
                <w:sz w:val="28"/>
                <w:szCs w:val="28"/>
                <w:lang w:val="en-US" w:eastAsia="ru-RU"/>
              </w:rPr>
            </w:pPr>
            <w:r>
              <w:rPr>
                <w:rFonts w:ascii="Times New Roman" w:hAnsi="Times New Roman" w:cs="Times New Roman"/>
                <w:sz w:val="24"/>
                <w:szCs w:val="24"/>
                <w:lang w:val="en-US" w:eastAsia="ru-RU"/>
              </w:rPr>
              <w:t xml:space="preserve">         </w:t>
            </w:r>
            <w:r w:rsidR="00E11DC6">
              <w:rPr>
                <w:rFonts w:ascii="Times New Roman" w:hAnsi="Times New Roman" w:cs="Times New Roman"/>
                <w:sz w:val="24"/>
                <w:szCs w:val="24"/>
                <w:lang w:val="kk-KZ" w:eastAsia="ru-RU"/>
              </w:rPr>
              <w:t xml:space="preserve"> </w:t>
            </w:r>
            <w:r w:rsidR="00600C79" w:rsidRPr="00841FE9">
              <w:rPr>
                <w:rFonts w:ascii="Times New Roman" w:hAnsi="Times New Roman" w:cs="Times New Roman"/>
                <w:sz w:val="24"/>
                <w:szCs w:val="24"/>
                <w:lang w:val="en-US" w:eastAsia="ru-RU"/>
              </w:rPr>
              <w:t xml:space="preserve">Note – </w:t>
            </w:r>
            <w:r w:rsidR="00600C79" w:rsidRPr="00841FE9">
              <w:rPr>
                <w:rFonts w:ascii="Times New Roman" w:hAnsi="Times New Roman" w:cs="Times New Roman"/>
                <w:sz w:val="24"/>
                <w:szCs w:val="24"/>
                <w:lang w:eastAsia="ru-RU"/>
              </w:rPr>
              <w:t>С</w:t>
            </w:r>
            <w:proofErr w:type="spellStart"/>
            <w:r w:rsidR="00600C79" w:rsidRPr="00841FE9">
              <w:rPr>
                <w:rFonts w:ascii="Times New Roman" w:hAnsi="Times New Roman" w:cs="Times New Roman"/>
                <w:sz w:val="24"/>
                <w:szCs w:val="24"/>
                <w:lang w:val="en-US" w:eastAsia="ru-RU"/>
              </w:rPr>
              <w:t>ompiled</w:t>
            </w:r>
            <w:proofErr w:type="spellEnd"/>
            <w:r w:rsidR="00600C79" w:rsidRPr="00841FE9">
              <w:rPr>
                <w:rFonts w:ascii="Times New Roman" w:hAnsi="Times New Roman" w:cs="Times New Roman"/>
                <w:sz w:val="24"/>
                <w:szCs w:val="24"/>
                <w:lang w:val="en-US" w:eastAsia="ru-RU"/>
              </w:rPr>
              <w:t xml:space="preserve"> by author based on [</w:t>
            </w:r>
            <w:r w:rsidR="00036FEF" w:rsidRPr="00841FE9">
              <w:rPr>
                <w:rFonts w:ascii="Times New Roman" w:hAnsi="Times New Roman" w:cs="Times New Roman"/>
                <w:sz w:val="24"/>
                <w:szCs w:val="24"/>
                <w:lang w:val="en-US" w:eastAsia="ru-RU"/>
              </w:rPr>
              <w:t>111</w:t>
            </w:r>
            <w:r w:rsidR="00600C79" w:rsidRPr="00841FE9">
              <w:rPr>
                <w:rFonts w:ascii="Times New Roman" w:hAnsi="Times New Roman" w:cs="Times New Roman"/>
                <w:sz w:val="24"/>
                <w:szCs w:val="24"/>
                <w:lang w:val="en-US" w:eastAsia="ru-RU"/>
              </w:rPr>
              <w:t>]</w:t>
            </w:r>
          </w:p>
        </w:tc>
      </w:tr>
    </w:tbl>
    <w:p w14:paraId="4152DFA5" w14:textId="77777777" w:rsidR="00AF3610" w:rsidRDefault="00AF3610" w:rsidP="00600C79">
      <w:pPr>
        <w:spacing w:after="0" w:line="240" w:lineRule="auto"/>
        <w:ind w:firstLine="720"/>
        <w:contextualSpacing/>
        <w:jc w:val="both"/>
        <w:rPr>
          <w:rFonts w:ascii="Times New Roman" w:eastAsia="Times New Roman" w:hAnsi="Times New Roman" w:cs="Times New Roman"/>
          <w:sz w:val="28"/>
          <w:szCs w:val="28"/>
          <w:lang w:val="en-US" w:eastAsia="ru-RU"/>
        </w:rPr>
      </w:pPr>
    </w:p>
    <w:p w14:paraId="6B2B22E3" w14:textId="1B3E5516"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Japan's NIS had undergone different changes depending on the period of history</w:t>
      </w:r>
      <w:r w:rsidR="00E10090">
        <w:rPr>
          <w:rFonts w:ascii="Times New Roman" w:eastAsia="Times New Roman" w:hAnsi="Times New Roman" w:cs="Times New Roman"/>
          <w:sz w:val="28"/>
          <w:szCs w:val="28"/>
          <w:lang w:val="en-US" w:eastAsia="ru-RU"/>
        </w:rPr>
        <w:t xml:space="preserve"> (</w:t>
      </w:r>
      <w:r w:rsidR="00E10090" w:rsidRPr="007D5D8E">
        <w:rPr>
          <w:rFonts w:ascii="Times New Roman" w:eastAsia="Times New Roman" w:hAnsi="Times New Roman" w:cs="Times New Roman"/>
          <w:sz w:val="28"/>
          <w:szCs w:val="28"/>
          <w:lang w:val="en-US" w:eastAsia="ru-RU"/>
        </w:rPr>
        <w:t>see the table 4)</w:t>
      </w:r>
      <w:r w:rsidRPr="007D5D8E">
        <w:rPr>
          <w:rFonts w:ascii="Times New Roman" w:eastAsia="Times New Roman" w:hAnsi="Times New Roman" w:cs="Times New Roman"/>
          <w:sz w:val="28"/>
          <w:szCs w:val="28"/>
          <w:lang w:val="en-US" w:eastAsia="ru-RU"/>
        </w:rPr>
        <w:t>.</w:t>
      </w:r>
      <w:r w:rsidRPr="00244343">
        <w:rPr>
          <w:rFonts w:ascii="Times New Roman" w:eastAsia="Times New Roman" w:hAnsi="Times New Roman" w:cs="Times New Roman"/>
          <w:sz w:val="28"/>
          <w:szCs w:val="28"/>
          <w:lang w:val="en-US" w:eastAsia="ru-RU"/>
        </w:rPr>
        <w:t xml:space="preserve"> Generally, we view their system of national innovation as </w:t>
      </w:r>
      <w:r w:rsidRPr="00244343">
        <w:rPr>
          <w:rFonts w:ascii="Times New Roman" w:eastAsia="Times New Roman" w:hAnsi="Times New Roman" w:cs="Times New Roman"/>
          <w:sz w:val="28"/>
          <w:szCs w:val="28"/>
          <w:lang w:val="en-US" w:eastAsia="ru-RU"/>
        </w:rPr>
        <w:lastRenderedPageBreak/>
        <w:t xml:space="preserve">somehow similar to Kazakhstan NIS. Probably, in problems that Universities have. According to </w:t>
      </w:r>
      <w:proofErr w:type="spellStart"/>
      <w:r w:rsidRPr="00244343">
        <w:rPr>
          <w:rFonts w:ascii="Times New Roman" w:eastAsia="Times New Roman" w:hAnsi="Times New Roman" w:cs="Times New Roman"/>
          <w:sz w:val="28"/>
          <w:szCs w:val="28"/>
          <w:lang w:val="en-US" w:eastAsia="ru-RU"/>
        </w:rPr>
        <w:t>Goto</w:t>
      </w:r>
      <w:proofErr w:type="spellEnd"/>
      <w:r w:rsidRPr="00244343">
        <w:rPr>
          <w:rFonts w:ascii="Times New Roman" w:eastAsia="Times New Roman" w:hAnsi="Times New Roman" w:cs="Times New Roman"/>
          <w:sz w:val="28"/>
          <w:szCs w:val="28"/>
          <w:lang w:val="en-US" w:eastAsia="ru-RU"/>
        </w:rPr>
        <w:t>, Japanese Universities have several problems: Curricula are reluctant to adopt the changing nature of research and introduce an interdisciplinary approach, and financial support for graduate and postdoctoral students in Japan is insufficient</w:t>
      </w:r>
      <w:r w:rsidR="00036FEF">
        <w:rPr>
          <w:rFonts w:ascii="Times New Roman" w:eastAsia="Times New Roman" w:hAnsi="Times New Roman" w:cs="Times New Roman"/>
          <w:sz w:val="28"/>
          <w:szCs w:val="28"/>
          <w:lang w:val="en-US" w:eastAsia="ru-RU"/>
        </w:rPr>
        <w:t xml:space="preserve"> </w:t>
      </w:r>
      <w:r w:rsidR="00036FEF" w:rsidRPr="00244343">
        <w:rPr>
          <w:rFonts w:ascii="Times New Roman" w:eastAsia="Times New Roman" w:hAnsi="Times New Roman" w:cs="Times New Roman"/>
          <w:sz w:val="28"/>
          <w:szCs w:val="28"/>
          <w:lang w:val="en-US" w:eastAsia="ru-RU"/>
        </w:rPr>
        <w:t>[</w:t>
      </w:r>
      <w:r w:rsidR="00036FEF">
        <w:rPr>
          <w:rFonts w:ascii="Times New Roman" w:eastAsia="Times New Roman" w:hAnsi="Times New Roman" w:cs="Times New Roman"/>
          <w:sz w:val="28"/>
          <w:szCs w:val="28"/>
          <w:lang w:val="en-US" w:eastAsia="ru-RU"/>
        </w:rPr>
        <w:t>111</w:t>
      </w:r>
      <w:r w:rsidR="00036FEF" w:rsidRPr="00244343">
        <w:rPr>
          <w:rFonts w:ascii="Times New Roman" w:eastAsia="Times New Roman" w:hAnsi="Times New Roman" w:cs="Times New Roman"/>
          <w:sz w:val="28"/>
          <w:szCs w:val="28"/>
          <w:lang w:val="en-US" w:eastAsia="ru-RU"/>
        </w:rPr>
        <w:t>]</w:t>
      </w:r>
      <w:r w:rsidRPr="00244343">
        <w:rPr>
          <w:rFonts w:ascii="Times New Roman" w:eastAsia="Times New Roman" w:hAnsi="Times New Roman" w:cs="Times New Roman"/>
          <w:sz w:val="28"/>
          <w:szCs w:val="28"/>
          <w:lang w:val="en-US" w:eastAsia="ru-RU"/>
        </w:rPr>
        <w:t xml:space="preserve">. NIS of Japan had undergone many changes, and the Second World War, before and after the 2nd WW, during industrial technology, postindustrial economy had affected the changes a lot. </w:t>
      </w:r>
    </w:p>
    <w:p w14:paraId="70E64A22" w14:textId="5C6446AE"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According to GII 2020 ranking, Japan`s Tokyo-Yokohama cluster is in the first spot, with zero rank change from GII 2019 to GII2023 [</w:t>
      </w:r>
      <w:r w:rsidR="00DA7B49">
        <w:rPr>
          <w:rFonts w:ascii="Times New Roman" w:eastAsia="Times New Roman" w:hAnsi="Times New Roman" w:cs="Times New Roman"/>
          <w:sz w:val="28"/>
          <w:szCs w:val="28"/>
          <w:lang w:val="en-US" w:eastAsia="ru-RU"/>
        </w:rPr>
        <w:t>112</w:t>
      </w:r>
      <w:r w:rsidRPr="00244343">
        <w:rPr>
          <w:rFonts w:ascii="Times New Roman" w:eastAsia="Times New Roman" w:hAnsi="Times New Roman" w:cs="Times New Roman"/>
          <w:sz w:val="28"/>
          <w:szCs w:val="28"/>
          <w:lang w:val="en-US" w:eastAsia="ru-RU"/>
        </w:rPr>
        <w:t>], among top S&amp;T cluster of each economy or cross-border regions 2020.</w:t>
      </w:r>
    </w:p>
    <w:p w14:paraId="4DB6FB4D"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The next country is China. China is one of the largest economies in the world, moreover it is multiregional, developing country with thriving economy bordered by Kazakhstan and other countries. This ethnically and regionally diverse country displays astonishing results in the world economy. The People's Republic of China is one of the few nations that has consistently improved its indices and quality of life in comparison to other prosperous Asian countries. </w:t>
      </w:r>
    </w:p>
    <w:p w14:paraId="2FC9FC6C" w14:textId="77777777" w:rsidR="00320D69"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As one of the largest growing economies globally, China has risen to prominence in the global economy, with annual GDP growth of more than 8% on average since 1978. The transition to a knowledge-based economy via the advancement of science and technological innovation has been seen as the Chinese government's primary strategic objective. China presented their 15-year plan, dubbed the "Medium-to-Long-Term Plan for Science and Technology Development," in January 2006. According to the plan, China must become an "innovation-driven society" by 2020 and a worldwide leader in science and technology by mid-century [</w:t>
      </w:r>
      <w:r w:rsidR="00DA7B49">
        <w:rPr>
          <w:rFonts w:ascii="Times New Roman" w:eastAsia="Times New Roman" w:hAnsi="Times New Roman" w:cs="Times New Roman"/>
          <w:sz w:val="28"/>
          <w:szCs w:val="28"/>
          <w:lang w:val="en-US" w:eastAsia="ru-RU"/>
        </w:rPr>
        <w:t>113</w:t>
      </w:r>
      <w:r w:rsidRPr="00244343">
        <w:rPr>
          <w:rFonts w:ascii="Times New Roman" w:eastAsia="Times New Roman" w:hAnsi="Times New Roman" w:cs="Times New Roman"/>
          <w:sz w:val="28"/>
          <w:szCs w:val="28"/>
          <w:lang w:val="en-US" w:eastAsia="ru-RU"/>
        </w:rPr>
        <w:t xml:space="preserve">]. </w:t>
      </w:r>
    </w:p>
    <w:p w14:paraId="7FD3AA09" w14:textId="00D61400"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Based on GII 2024 results, China successfully implemented its plan and is firmly on its way to becoming a world leader in Science, Innovation and Technology. Besides, TH innovation model realization China has its unique track. Unlike Japan or most other countries, entrepreneurial universities were more typical models and universities functioning than a strategy toward a knowledge-based economy. While in TH model the universities should have a link with industry, the universities in China have its own so-called University-run enterprises (URE). URE is the company created by the university resources within university, and the knowledge flowing from the university is directed to creating the company, directing, controlling and managing the established organization.</w:t>
      </w:r>
    </w:p>
    <w:p w14:paraId="762F1F24" w14:textId="4BC49331"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In China, UREs are distinct from conventional university spin-offs. Unlike traditional spin-offs, which are often founded by individual academics using their own money and off-duty innovations. UREs are usually created, staffed, financed, and managed by mother institutions in China. Additionally, UREs are often bestowed with the de facto right to solely use the mother institution's numerous assets, including financial resources, physical space, personnel, social connections, and even the university's name as a commercial brand. That is why, according to the authors Jong-</w:t>
      </w:r>
      <w:proofErr w:type="spellStart"/>
      <w:r w:rsidRPr="00244343">
        <w:rPr>
          <w:rFonts w:ascii="Times New Roman" w:eastAsia="Times New Roman" w:hAnsi="Times New Roman" w:cs="Times New Roman"/>
          <w:sz w:val="28"/>
          <w:szCs w:val="28"/>
          <w:lang w:val="en-US" w:eastAsia="ru-RU"/>
        </w:rPr>
        <w:t>Hak</w:t>
      </w:r>
      <w:proofErr w:type="spellEnd"/>
      <w:r w:rsidRPr="00244343">
        <w:rPr>
          <w:rFonts w:ascii="Times New Roman" w:eastAsia="Times New Roman" w:hAnsi="Times New Roman" w:cs="Times New Roman"/>
          <w:sz w:val="28"/>
          <w:szCs w:val="28"/>
          <w:lang w:val="en-US" w:eastAsia="ru-RU"/>
        </w:rPr>
        <w:t xml:space="preserve"> </w:t>
      </w:r>
      <w:proofErr w:type="spellStart"/>
      <w:r w:rsidRPr="00244343">
        <w:rPr>
          <w:rFonts w:ascii="Times New Roman" w:eastAsia="Times New Roman" w:hAnsi="Times New Roman" w:cs="Times New Roman"/>
          <w:sz w:val="28"/>
          <w:szCs w:val="28"/>
          <w:lang w:val="en-US" w:eastAsia="ru-RU"/>
        </w:rPr>
        <w:t>Eun</w:t>
      </w:r>
      <w:proofErr w:type="spellEnd"/>
      <w:r w:rsidRPr="00244343">
        <w:rPr>
          <w:rFonts w:ascii="Times New Roman" w:eastAsia="Times New Roman" w:hAnsi="Times New Roman" w:cs="Times New Roman"/>
          <w:sz w:val="28"/>
          <w:szCs w:val="28"/>
          <w:lang w:val="en-US" w:eastAsia="ru-RU"/>
        </w:rPr>
        <w:t xml:space="preserve"> et al., UREs are "spin-arounds" rather than "spin-offs" [</w:t>
      </w:r>
      <w:r w:rsidR="00107FCA" w:rsidRPr="00107FCA">
        <w:rPr>
          <w:rFonts w:ascii="Times New Roman" w:eastAsia="Times New Roman" w:hAnsi="Times New Roman" w:cs="Times New Roman"/>
          <w:sz w:val="28"/>
          <w:szCs w:val="28"/>
          <w:lang w:val="en-US" w:eastAsia="ru-RU"/>
        </w:rPr>
        <w:t>114</w:t>
      </w:r>
      <w:r w:rsidRPr="00244343">
        <w:rPr>
          <w:rFonts w:ascii="Times New Roman" w:eastAsia="Times New Roman" w:hAnsi="Times New Roman" w:cs="Times New Roman"/>
          <w:sz w:val="28"/>
          <w:szCs w:val="28"/>
          <w:lang w:val="en-US" w:eastAsia="ru-RU"/>
        </w:rPr>
        <w:t xml:space="preserve">]. The URE may be seen of as a "governance form" that facilitates the transfer of S&amp;T </w:t>
      </w:r>
      <w:r w:rsidRPr="00244343">
        <w:rPr>
          <w:rFonts w:ascii="Times New Roman" w:eastAsia="Times New Roman" w:hAnsi="Times New Roman" w:cs="Times New Roman"/>
          <w:sz w:val="28"/>
          <w:szCs w:val="28"/>
          <w:lang w:val="en-US" w:eastAsia="ru-RU"/>
        </w:rPr>
        <w:lastRenderedPageBreak/>
        <w:t>information from academia to industry, i.e., knowledge industrialization. Why did URE develop in China? Because Chinese universities were "incredibly entrepreneurial" and favored "hierarchy" above "market" in industrializing their own science and technology expertise [</w:t>
      </w:r>
      <w:r w:rsidR="00107FCA" w:rsidRPr="00107FCA">
        <w:rPr>
          <w:rFonts w:ascii="Times New Roman" w:eastAsia="Times New Roman" w:hAnsi="Times New Roman" w:cs="Times New Roman"/>
          <w:sz w:val="28"/>
          <w:szCs w:val="28"/>
          <w:lang w:val="en-US" w:eastAsia="ru-RU"/>
        </w:rPr>
        <w:t>114</w:t>
      </w:r>
      <w:r w:rsidRPr="00244343">
        <w:rPr>
          <w:rFonts w:ascii="Times New Roman" w:eastAsia="Times New Roman" w:hAnsi="Times New Roman" w:cs="Times New Roman"/>
          <w:sz w:val="28"/>
          <w:szCs w:val="28"/>
          <w:lang w:val="en-US" w:eastAsia="ru-RU"/>
        </w:rPr>
        <w:t>, p. 1334].</w:t>
      </w:r>
    </w:p>
    <w:p w14:paraId="08CA9C4C" w14:textId="60277E1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We found the term URE and the concept of URE interesting and valuable in running the knowledge economy effectively. Before delving deeper into China`s NIS and TH model implementation, it worth noting that the role of universities in China has changed since the establishment of their first modern university, i.e., in the late nineteenth century. The Chinese university's mission has been more focused on society's functional and technological growth than on knowledge as a purpose in and of itself. Chinese colleges have functionally shifted during the last 60 years from educating top cadre following the national personnel plan to nurturing knowledge workers in response to labor market demands. Simultaneously, Chinese universities shifted from being just teaching institutions devoid of research functions to becoming critical institutions engaged in fundamental research driving the development of China's knowledge economy [</w:t>
      </w:r>
      <w:r w:rsidR="00107FCA" w:rsidRPr="00107FCA">
        <w:rPr>
          <w:rFonts w:ascii="Times New Roman" w:eastAsia="Times New Roman" w:hAnsi="Times New Roman" w:cs="Times New Roman"/>
          <w:sz w:val="28"/>
          <w:szCs w:val="28"/>
          <w:lang w:val="en-US" w:eastAsia="ru-RU"/>
        </w:rPr>
        <w:t>115</w:t>
      </w:r>
      <w:r w:rsidRPr="00244343">
        <w:rPr>
          <w:rFonts w:ascii="Times New Roman" w:eastAsia="Times New Roman" w:hAnsi="Times New Roman" w:cs="Times New Roman"/>
          <w:sz w:val="28"/>
          <w:szCs w:val="28"/>
          <w:lang w:val="en-US" w:eastAsia="ru-RU"/>
        </w:rPr>
        <w:t>]. According to Shuang-Ye Chen, the role of universities in the Chinese economy has the following transformations up to the present [</w:t>
      </w:r>
      <w:r w:rsidR="00107FCA" w:rsidRPr="00107FCA">
        <w:rPr>
          <w:rFonts w:ascii="Times New Roman" w:eastAsia="Times New Roman" w:hAnsi="Times New Roman" w:cs="Times New Roman"/>
          <w:sz w:val="28"/>
          <w:szCs w:val="28"/>
          <w:lang w:val="en-US" w:eastAsia="ru-RU"/>
        </w:rPr>
        <w:t>115</w:t>
      </w:r>
      <w:r w:rsidRPr="00244343">
        <w:rPr>
          <w:rFonts w:ascii="Times New Roman" w:eastAsia="Times New Roman" w:hAnsi="Times New Roman" w:cs="Times New Roman"/>
          <w:sz w:val="28"/>
          <w:szCs w:val="28"/>
          <w:lang w:val="en-US" w:eastAsia="ru-RU"/>
        </w:rPr>
        <w:t>, p.102-109]:</w:t>
      </w:r>
    </w:p>
    <w:p w14:paraId="5FDAB898"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I. Since the late nineteenth century; Chinese universities have been charged with the responsibility of reviving the country. </w:t>
      </w:r>
    </w:p>
    <w:p w14:paraId="64E886C5"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II. 1949-1976: the USSR and the Cultural Revolution's devastating legacy; Universities in China were reorganized during this era to function as a political apparatus and economic tool for communist political and economic growth. Universities have lost their academic independence and institutional control over knowledge creation. The worth of knowledge has been scrutinized and assessed in light of political ideology and its instrumental applications. Following the Chinese Communist Party's creation of the New China in 1949, universities in China adopted the Soviet model of reorganizing academic fields and decoupling teaching and research. Comprehensive universities were demolished and replaced with specialized institutions dedicated to science, technology, medicine, and law. Universities were seen as the superior institutions for educating and cultivating 'red and expert' specialized people for the socialist planned economy.</w:t>
      </w:r>
    </w:p>
    <w:p w14:paraId="47870E74"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III. 1977-1997: unusual growth of the university in a second reorganization; University autonomy grew with the introduction of the 'Reform and Open-up' program and the resulting recovery from the Cultural Revolution. In the mid-1990s, Chinese universities that had previously split and specialized their schools were pushed to combine into large-scale comprehensive universities. Immediately after the Cultural Revolution, the 1978 National Science Conference and subsequent educational reform measures in the 1980s aided in the liberation of universities and intellectuals from ideological–political conflict. Teaching and research eventually returned to campus. As a result, the institutions were required to engage in market-like behavior in order to keep faculty compensation in a steady state. </w:t>
      </w:r>
    </w:p>
    <w:p w14:paraId="23425EA5"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Throughout the late 1980s and early 1990s, university-affiliated businesses expanded and thrived on providing income for universities. Some were just trading </w:t>
      </w:r>
      <w:r w:rsidRPr="00244343">
        <w:rPr>
          <w:rFonts w:ascii="Times New Roman" w:eastAsia="Times New Roman" w:hAnsi="Times New Roman" w:cs="Times New Roman"/>
          <w:sz w:val="28"/>
          <w:szCs w:val="28"/>
          <w:lang w:val="en-US" w:eastAsia="ru-RU"/>
        </w:rPr>
        <w:lastRenderedPageBreak/>
        <w:t xml:space="preserve">and operating companies with little connection to knowledge or technology, while others benefited from university-based research and knowledge application. One prominent example in Beijing was the Peking University Founder Group, which was connected with Peking University and established itself initially via Professor Wang Xuan's revolutionary publishing technology. In the 1990s, the </w:t>
      </w:r>
      <w:proofErr w:type="spellStart"/>
      <w:r w:rsidRPr="00244343">
        <w:rPr>
          <w:rFonts w:ascii="Times New Roman" w:eastAsia="Times New Roman" w:hAnsi="Times New Roman" w:cs="Times New Roman"/>
          <w:sz w:val="28"/>
          <w:szCs w:val="28"/>
          <w:lang w:val="en-US" w:eastAsia="ru-RU"/>
        </w:rPr>
        <w:t>Zhongguancun</w:t>
      </w:r>
      <w:proofErr w:type="spellEnd"/>
      <w:r w:rsidRPr="00244343">
        <w:rPr>
          <w:rFonts w:ascii="Times New Roman" w:eastAsia="Times New Roman" w:hAnsi="Times New Roman" w:cs="Times New Roman"/>
          <w:sz w:val="28"/>
          <w:szCs w:val="28"/>
          <w:lang w:val="en-US" w:eastAsia="ru-RU"/>
        </w:rPr>
        <w:t xml:space="preserve"> region developed first as a PC market and then as China's Silicon Valley, a national center of information technology and knowledge innovation surrounded by leading universities and national research institutions.</w:t>
      </w:r>
    </w:p>
    <w:p w14:paraId="4435A600"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IV. 1998-2010: growth of higher education and acknowledgment of the knowledge economy's importance; In the late 1990s, the Internet gained popularity in China. In China, where information technology firms got venture capital funding and were listed on the NASDAQ beginning in 2000, information technology transformed the globe and generated new wealth. The majority of IT executives and entrepreneurs in high-tech start-ups are alumni of prestigious Chinese institutions such as Tsinghua University, Peking University, and China Science and Technology University. They amassed riches solely by the application of knowledge, creative ideas, and technology. A new national strategic initiative, dubbed the 985 Project, was launched in May 1998 during a speech delivered by former Party Chairman Jiang </w:t>
      </w:r>
      <w:proofErr w:type="spellStart"/>
      <w:r w:rsidRPr="00244343">
        <w:rPr>
          <w:rFonts w:ascii="Times New Roman" w:eastAsia="Times New Roman" w:hAnsi="Times New Roman" w:cs="Times New Roman"/>
          <w:sz w:val="28"/>
          <w:szCs w:val="28"/>
          <w:lang w:val="en-US" w:eastAsia="ru-RU"/>
        </w:rPr>
        <w:t>Zeming</w:t>
      </w:r>
      <w:proofErr w:type="spellEnd"/>
      <w:r w:rsidRPr="00244343">
        <w:rPr>
          <w:rFonts w:ascii="Times New Roman" w:eastAsia="Times New Roman" w:hAnsi="Times New Roman" w:cs="Times New Roman"/>
          <w:sz w:val="28"/>
          <w:szCs w:val="28"/>
          <w:lang w:val="en-US" w:eastAsia="ru-RU"/>
        </w:rPr>
        <w:t xml:space="preserve"> on the anniversary of Peking University's founding, one of the most renowned institutions in China. Both Peking University and Tsinghua University have received substantial additional funding (1.8 billion RMB over the next three years) to transform themselves into 'world-class institutions.' One of the defining characteristics of a world-class institution has been recognized as its research-intensive nature. Consequently, the state encouraged and expected major institutions in China to establish missions centered on research and knowledge production rather than just teaching.</w:t>
      </w:r>
    </w:p>
    <w:p w14:paraId="592E2178"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V. Chinese universities provide a significant contribution to knowledge via their research efforts and products; Chinese universities actively provide knowledge to the knowledge economy via research production and knowledge transfer, which are often evaluated in terms of R&amp;D activities and output. The state is constantly generating financial and symbolic incentives, as well as supporting systems, to promote knowledge creation and transmission in universities. Although it is difficult to match the effect of business-related R&amp;D, Chinese universities contribute significantly to fundamental and applied research. R&amp;D activities in China encompass two distinct types of knowledge: hard knowledge produced by science, engineering and technology, agriculture, medical sciences, and soft knowledge produced primarily by the humanities and social sciences.</w:t>
      </w:r>
    </w:p>
    <w:p w14:paraId="59C6DFC5" w14:textId="611E7BD5"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In Cai`s work published in 2014 Implementing the </w:t>
      </w:r>
      <w:r>
        <w:rPr>
          <w:rFonts w:ascii="Times New Roman" w:eastAsia="Times New Roman" w:hAnsi="Times New Roman" w:cs="Times New Roman"/>
          <w:sz w:val="28"/>
          <w:szCs w:val="28"/>
          <w:lang w:val="en-US" w:eastAsia="ru-RU"/>
        </w:rPr>
        <w:t>THM</w:t>
      </w:r>
      <w:r w:rsidRPr="00244343">
        <w:rPr>
          <w:rFonts w:ascii="Times New Roman" w:eastAsia="Times New Roman" w:hAnsi="Times New Roman" w:cs="Times New Roman"/>
          <w:sz w:val="28"/>
          <w:szCs w:val="28"/>
          <w:lang w:val="en-US" w:eastAsia="ru-RU"/>
        </w:rPr>
        <w:t xml:space="preserve"> in a non-Western context: </w:t>
      </w:r>
      <w:r w:rsidRPr="00117356">
        <w:rPr>
          <w:rFonts w:ascii="Times New Roman" w:eastAsia="Times New Roman" w:hAnsi="Times New Roman" w:cs="Times New Roman"/>
          <w:sz w:val="28"/>
          <w:szCs w:val="28"/>
          <w:lang w:val="en-US" w:eastAsia="ru-RU"/>
        </w:rPr>
        <w:t>An institutional theory approach</w:t>
      </w:r>
      <w:r w:rsidRPr="00244343">
        <w:rPr>
          <w:rFonts w:ascii="Times New Roman" w:eastAsia="Times New Roman" w:hAnsi="Times New Roman" w:cs="Times New Roman"/>
          <w:sz w:val="28"/>
          <w:szCs w:val="28"/>
          <w:lang w:val="en-US" w:eastAsia="ru-RU"/>
        </w:rPr>
        <w:t xml:space="preserve">, he stated that China's economic priorities have moved recently away from labor-intensive manufacturing and toward capital- and technology-intensive industry.  Moreover, he pointed out main institutional logics in innovation process in China in the context of Western and Non-Western culture </w:t>
      </w:r>
      <w:r>
        <w:rPr>
          <w:rFonts w:ascii="Times New Roman" w:eastAsia="Times New Roman" w:hAnsi="Times New Roman" w:cs="Times New Roman"/>
          <w:sz w:val="28"/>
          <w:szCs w:val="28"/>
          <w:lang w:val="en-US" w:eastAsia="ru-RU"/>
        </w:rPr>
        <w:t>[</w:t>
      </w:r>
      <w:r w:rsidR="00107FCA" w:rsidRPr="00107FCA">
        <w:rPr>
          <w:rFonts w:ascii="Times New Roman" w:eastAsia="Times New Roman" w:hAnsi="Times New Roman" w:cs="Times New Roman"/>
          <w:sz w:val="28"/>
          <w:szCs w:val="28"/>
          <w:lang w:val="en-US" w:eastAsia="ru-RU"/>
        </w:rPr>
        <w:t>116</w:t>
      </w:r>
      <w:r>
        <w:rPr>
          <w:rFonts w:ascii="Times New Roman" w:eastAsia="Times New Roman" w:hAnsi="Times New Roman" w:cs="Times New Roman"/>
          <w:sz w:val="28"/>
          <w:szCs w:val="28"/>
          <w:lang w:val="en-US" w:eastAsia="ru-RU"/>
        </w:rPr>
        <w:t>]</w:t>
      </w:r>
      <w:r w:rsidRPr="00244343">
        <w:rPr>
          <w:rFonts w:ascii="Times New Roman" w:eastAsia="Times New Roman" w:hAnsi="Times New Roman" w:cs="Times New Roman"/>
          <w:sz w:val="28"/>
          <w:szCs w:val="28"/>
          <w:lang w:val="en-US" w:eastAsia="ru-RU"/>
        </w:rPr>
        <w:t xml:space="preserve">. The first is a process management. In terms of technology and innovation management culture, owing to the country's inherent cultural limitations, </w:t>
      </w:r>
      <w:r w:rsidRPr="00244343">
        <w:rPr>
          <w:rFonts w:ascii="Times New Roman" w:eastAsia="Times New Roman" w:hAnsi="Times New Roman" w:cs="Times New Roman"/>
          <w:sz w:val="28"/>
          <w:szCs w:val="28"/>
          <w:lang w:val="en-US" w:eastAsia="ru-RU"/>
        </w:rPr>
        <w:lastRenderedPageBreak/>
        <w:t xml:space="preserve">Chinese methods are more goal-oriented than process-oriented. According to Cai, an economist residing in Hong Kong, Lang, noted that the success of technological innovation in the West is mainly due to the process management culture. Furthermore, according to Lang, research is fundamentally about knowledge acquisition and transfer through the "trial and error" approach and according to a strict academic procedure in a Western mindset. Ignoring process management is linked with the Chinese mindset being pragmatic, and with their proclivity for shortcuts. Lang discovered that just 15% of Chinese companies thought process management was critical to maintaining competitive advantage in his research. However, the main aim of Chinese business management is to accomplish their objectives. Particular issues in China, such as a low R&amp;D intensity and a lack of R&amp;D competence, may be explained by the URIs' lack of process management. Since 1999, numerous technology-oriented institutions in China have been transformed into enterprises, as the government has sought to increase these institutes' knowledge of the market competition. Certain research institutions and even universities in China may face the danger outlined by </w:t>
      </w:r>
      <w:proofErr w:type="spellStart"/>
      <w:r w:rsidRPr="00244343">
        <w:rPr>
          <w:rFonts w:ascii="Times New Roman" w:eastAsia="Times New Roman" w:hAnsi="Times New Roman" w:cs="Times New Roman"/>
          <w:sz w:val="28"/>
          <w:szCs w:val="28"/>
          <w:lang w:val="en-US" w:eastAsia="ru-RU"/>
        </w:rPr>
        <w:t>Etzcowitz</w:t>
      </w:r>
      <w:proofErr w:type="spellEnd"/>
      <w:r w:rsidRPr="00244343">
        <w:rPr>
          <w:rFonts w:ascii="Times New Roman" w:eastAsia="Times New Roman" w:hAnsi="Times New Roman" w:cs="Times New Roman"/>
          <w:sz w:val="28"/>
          <w:szCs w:val="28"/>
          <w:lang w:val="en-US" w:eastAsia="ru-RU"/>
        </w:rPr>
        <w:t>. These organizations do not just interact with industry; they become integrated within it. As a result of the proliferation of URIs becoming companies, the synergistic innovation became ineffective [</w:t>
      </w:r>
      <w:r w:rsidR="00107FCA" w:rsidRPr="00107FCA">
        <w:rPr>
          <w:rFonts w:ascii="Times New Roman" w:eastAsia="Times New Roman" w:hAnsi="Times New Roman" w:cs="Times New Roman"/>
          <w:sz w:val="28"/>
          <w:szCs w:val="28"/>
          <w:lang w:val="en-US" w:eastAsia="ru-RU"/>
        </w:rPr>
        <w:t>114</w:t>
      </w:r>
      <w:r w:rsidRPr="00244343">
        <w:rPr>
          <w:rFonts w:ascii="Times New Roman" w:eastAsia="Times New Roman" w:hAnsi="Times New Roman" w:cs="Times New Roman"/>
          <w:sz w:val="28"/>
          <w:szCs w:val="28"/>
          <w:lang w:val="en-US" w:eastAsia="ru-RU"/>
        </w:rPr>
        <w:t xml:space="preserve">, p 9]. </w:t>
      </w:r>
    </w:p>
    <w:p w14:paraId="3D8366FA" w14:textId="2644F9E0"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 Consequently, we clearly observe that the success of Silicon Valley explained by the effectiveness of the process management, while the lack of it affected the Chinese knowledge economy and knowledge-based market per se. As shown by several empirical research, goal-oriented management (</w:t>
      </w:r>
      <w:proofErr w:type="spellStart"/>
      <w:r w:rsidRPr="00244343">
        <w:rPr>
          <w:rFonts w:ascii="Times New Roman" w:eastAsia="Times New Roman" w:hAnsi="Times New Roman" w:cs="Times New Roman"/>
          <w:sz w:val="28"/>
          <w:szCs w:val="28"/>
          <w:lang w:val="en-US" w:eastAsia="ru-RU"/>
        </w:rPr>
        <w:t>GoM</w:t>
      </w:r>
      <w:proofErr w:type="spellEnd"/>
      <w:r w:rsidRPr="00244343">
        <w:rPr>
          <w:rFonts w:ascii="Times New Roman" w:eastAsia="Times New Roman" w:hAnsi="Times New Roman" w:cs="Times New Roman"/>
          <w:sz w:val="28"/>
          <w:szCs w:val="28"/>
          <w:lang w:val="en-US" w:eastAsia="ru-RU"/>
        </w:rPr>
        <w:t xml:space="preserve">) has a negative correlation with innovation. Additionally, the </w:t>
      </w:r>
      <w:proofErr w:type="spellStart"/>
      <w:r w:rsidRPr="00244343">
        <w:rPr>
          <w:rFonts w:ascii="Times New Roman" w:eastAsia="Times New Roman" w:hAnsi="Times New Roman" w:cs="Times New Roman"/>
          <w:sz w:val="28"/>
          <w:szCs w:val="28"/>
          <w:lang w:val="en-US" w:eastAsia="ru-RU"/>
        </w:rPr>
        <w:t>GoM</w:t>
      </w:r>
      <w:proofErr w:type="spellEnd"/>
      <w:r w:rsidRPr="00244343">
        <w:rPr>
          <w:rFonts w:ascii="Times New Roman" w:eastAsia="Times New Roman" w:hAnsi="Times New Roman" w:cs="Times New Roman"/>
          <w:sz w:val="28"/>
          <w:szCs w:val="28"/>
          <w:lang w:val="en-US" w:eastAsia="ru-RU"/>
        </w:rPr>
        <w:t xml:space="preserve"> is more bureaucratic and less flexible [</w:t>
      </w:r>
      <w:r w:rsidR="00107FCA" w:rsidRPr="0032235E">
        <w:rPr>
          <w:rFonts w:ascii="Times New Roman" w:eastAsia="Times New Roman" w:hAnsi="Times New Roman" w:cs="Times New Roman"/>
          <w:sz w:val="28"/>
          <w:szCs w:val="28"/>
          <w:lang w:val="en-US" w:eastAsia="ru-RU"/>
        </w:rPr>
        <w:t>117</w:t>
      </w:r>
      <w:r w:rsidRPr="00244343">
        <w:rPr>
          <w:rFonts w:ascii="Times New Roman" w:eastAsia="Times New Roman" w:hAnsi="Times New Roman" w:cs="Times New Roman"/>
          <w:sz w:val="28"/>
          <w:szCs w:val="28"/>
          <w:lang w:val="en-US" w:eastAsia="ru-RU"/>
        </w:rPr>
        <w:t>].</w:t>
      </w:r>
    </w:p>
    <w:p w14:paraId="75125990" w14:textId="1E12F504" w:rsidR="00600C79" w:rsidRPr="00560D65"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Interactions between three sectors' organizations in the West relies on trust between the parties: i.e., between industry-university. A developed institutional framework for intellectual property (IP) A developed institutional environment for intellectual property (IP) protection safeguards the trust. For example, the Bayh-Dole Act was enacted in 1980 in the United States of America. China enacted intellectual property regulations as early as 1950, and since the 1980s, Chinese intellectual property laws have been developed to conform to international norms. The issue in China, however, is that intellectual property rules are not sufficiently enforced. This leads to a lack of confidence between knowledge production and application organizations, making it challenging to establish successful and reciprocal collaboration partnerships. </w:t>
      </w:r>
      <w:r w:rsidRPr="00560D65">
        <w:rPr>
          <w:rFonts w:ascii="Times New Roman" w:eastAsia="Times New Roman" w:hAnsi="Times New Roman" w:cs="Times New Roman"/>
          <w:sz w:val="28"/>
          <w:szCs w:val="28"/>
          <w:lang w:val="en-US" w:eastAsia="ru-RU"/>
        </w:rPr>
        <w:t xml:space="preserve">Universities have traditionally perceived technology </w:t>
      </w:r>
      <w:proofErr w:type="spellStart"/>
      <w:r w:rsidRPr="00560D65">
        <w:rPr>
          <w:rFonts w:ascii="Times New Roman" w:eastAsia="Times New Roman" w:hAnsi="Times New Roman" w:cs="Times New Roman"/>
          <w:sz w:val="28"/>
          <w:szCs w:val="28"/>
          <w:lang w:val="en-US" w:eastAsia="ru-RU"/>
        </w:rPr>
        <w:t>commercialisation</w:t>
      </w:r>
      <w:proofErr w:type="spellEnd"/>
      <w:r w:rsidRPr="00560D65">
        <w:rPr>
          <w:rFonts w:ascii="Times New Roman" w:eastAsia="Times New Roman" w:hAnsi="Times New Roman" w:cs="Times New Roman"/>
          <w:sz w:val="28"/>
          <w:szCs w:val="28"/>
          <w:lang w:val="en-US" w:eastAsia="ru-RU"/>
        </w:rPr>
        <w:t xml:space="preserve"> as a secure and straightforward process within their institutional framework. Consequently, particularly during the 1990s and early 2000s, universities primarily transformed their research outputs into marketable products through university-owned enterprises (UREs) rather than engaging in lengthy and complex negotiations with external companies. Over time, intellectual property (IP) protection in China has improved unprecedentedly, as evidenced by the increase in patent registrations, the rise in foreign direct investment (FDI), and the growing import of technology-intensive goods. However, in recent years, the </w:t>
      </w:r>
      <w:r w:rsidRPr="00560D65">
        <w:rPr>
          <w:rFonts w:ascii="Times New Roman" w:eastAsia="Times New Roman" w:hAnsi="Times New Roman" w:cs="Times New Roman"/>
          <w:sz w:val="28"/>
          <w:szCs w:val="28"/>
          <w:lang w:val="en-US" w:eastAsia="ru-RU"/>
        </w:rPr>
        <w:lastRenderedPageBreak/>
        <w:t>prevalence of UREs has declined, giving way to alternative forms of university-industry collaboration such as joint research initiatives, education and training programs, knowledge exchange between academia and industry, academic research projects, proprietary technology transfers (e.g., patent licensing), university science parks, and the establishment of spin-off companies [</w:t>
      </w:r>
      <w:r w:rsidR="00107FCA" w:rsidRPr="00107FCA">
        <w:rPr>
          <w:rFonts w:ascii="Times New Roman" w:eastAsia="Times New Roman" w:hAnsi="Times New Roman" w:cs="Times New Roman"/>
          <w:sz w:val="28"/>
          <w:szCs w:val="28"/>
          <w:lang w:val="en-US" w:eastAsia="ru-RU"/>
        </w:rPr>
        <w:t>114</w:t>
      </w:r>
      <w:r w:rsidRPr="00560D65">
        <w:rPr>
          <w:rFonts w:ascii="Times New Roman" w:eastAsia="Times New Roman" w:hAnsi="Times New Roman" w:cs="Times New Roman"/>
          <w:sz w:val="28"/>
          <w:szCs w:val="28"/>
          <w:lang w:val="en-US" w:eastAsia="ru-RU"/>
        </w:rPr>
        <w:t>, p. 12].</w:t>
      </w:r>
    </w:p>
    <w:p w14:paraId="5C02D3DC" w14:textId="6B94268C"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560D65">
        <w:rPr>
          <w:rFonts w:ascii="Times New Roman" w:eastAsia="Times New Roman" w:hAnsi="Times New Roman" w:cs="Times New Roman"/>
          <w:sz w:val="28"/>
          <w:szCs w:val="28"/>
          <w:lang w:val="en-US" w:eastAsia="ru-RU"/>
        </w:rPr>
        <w:t xml:space="preserve">To strengthen university-business collaboration, the central government has made substantial investments in national science parks and R&amp;D programs, a strategy particularly beneficial for addressing national challenges during declining trust between academic and business sectors. Cai and Liu find in their case study of the </w:t>
      </w:r>
      <w:proofErr w:type="spellStart"/>
      <w:r w:rsidRPr="00560D65">
        <w:rPr>
          <w:rFonts w:ascii="Times New Roman" w:eastAsia="Times New Roman" w:hAnsi="Times New Roman" w:cs="Times New Roman"/>
          <w:sz w:val="28"/>
          <w:szCs w:val="28"/>
          <w:lang w:val="en-US" w:eastAsia="ru-RU"/>
        </w:rPr>
        <w:t>Tongi</w:t>
      </w:r>
      <w:proofErr w:type="spellEnd"/>
      <w:r w:rsidRPr="00560D65">
        <w:rPr>
          <w:rFonts w:ascii="Times New Roman" w:eastAsia="Times New Roman" w:hAnsi="Times New Roman" w:cs="Times New Roman"/>
          <w:sz w:val="28"/>
          <w:szCs w:val="28"/>
          <w:lang w:val="en-US" w:eastAsia="ru-RU"/>
        </w:rPr>
        <w:t xml:space="preserve"> Creative Centre a clear TH development trajectory known as the "delayed government-led model." This strategy offers a different road for encouraging innovation-led development than the three conventional methods explained in TH theory. </w:t>
      </w:r>
      <w:r w:rsidRPr="00244343">
        <w:rPr>
          <w:rFonts w:ascii="Times New Roman" w:eastAsia="Times New Roman" w:hAnsi="Times New Roman" w:cs="Times New Roman"/>
          <w:sz w:val="28"/>
          <w:szCs w:val="28"/>
          <w:lang w:val="en-US" w:eastAsia="ru-RU"/>
        </w:rPr>
        <w:t>[</w:t>
      </w:r>
      <w:r w:rsidR="00107FCA" w:rsidRPr="0032235E">
        <w:rPr>
          <w:rFonts w:ascii="Times New Roman" w:eastAsia="Times New Roman" w:hAnsi="Times New Roman" w:cs="Times New Roman"/>
          <w:sz w:val="28"/>
          <w:szCs w:val="28"/>
          <w:lang w:val="en-US" w:eastAsia="ru-RU"/>
        </w:rPr>
        <w:t>118</w:t>
      </w:r>
      <w:r w:rsidRPr="00244343">
        <w:rPr>
          <w:rFonts w:ascii="Times New Roman" w:eastAsia="Times New Roman" w:hAnsi="Times New Roman" w:cs="Times New Roman"/>
          <w:sz w:val="28"/>
          <w:szCs w:val="28"/>
          <w:lang w:val="en-US" w:eastAsia="ru-RU"/>
        </w:rPr>
        <w:t>]. From 2003 onward, the Ministry of Education and the Ministry of Science and Technology (MOST) designated it as a national-level university-based science park with the following functions</w:t>
      </w:r>
    </w:p>
    <w:p w14:paraId="73868426" w14:textId="30687FBE" w:rsidR="00600C79" w:rsidRPr="0018540F" w:rsidRDefault="00600C79" w:rsidP="001B500C">
      <w:pPr>
        <w:pStyle w:val="af"/>
        <w:numPr>
          <w:ilvl w:val="0"/>
          <w:numId w:val="21"/>
        </w:numPr>
        <w:rPr>
          <w:rFonts w:ascii="Times New Roman" w:eastAsia="Times New Roman" w:hAnsi="Times New Roman" w:cs="Times New Roman"/>
          <w:sz w:val="28"/>
          <w:szCs w:val="28"/>
          <w:lang w:val="en-US" w:eastAsia="ru-RU"/>
        </w:rPr>
      </w:pPr>
      <w:r w:rsidRPr="0018540F">
        <w:rPr>
          <w:rFonts w:ascii="Times New Roman" w:eastAsia="Times New Roman" w:hAnsi="Times New Roman" w:cs="Times New Roman"/>
          <w:sz w:val="28"/>
          <w:szCs w:val="28"/>
          <w:lang w:val="en-US" w:eastAsia="ru-RU"/>
        </w:rPr>
        <w:t>to incubate university spin-offs;</w:t>
      </w:r>
    </w:p>
    <w:p w14:paraId="0A888EDC" w14:textId="77777777" w:rsidR="00600C79" w:rsidRPr="0018540F" w:rsidRDefault="00600C79" w:rsidP="001B500C">
      <w:pPr>
        <w:pStyle w:val="af"/>
        <w:numPr>
          <w:ilvl w:val="0"/>
          <w:numId w:val="21"/>
        </w:numPr>
        <w:rPr>
          <w:rFonts w:ascii="Times New Roman" w:eastAsia="Times New Roman" w:hAnsi="Times New Roman" w:cs="Times New Roman"/>
          <w:sz w:val="28"/>
          <w:szCs w:val="28"/>
          <w:lang w:val="en-US" w:eastAsia="ru-RU"/>
        </w:rPr>
      </w:pPr>
      <w:r w:rsidRPr="0018540F">
        <w:rPr>
          <w:rFonts w:ascii="Times New Roman" w:eastAsia="Times New Roman" w:hAnsi="Times New Roman" w:cs="Times New Roman"/>
          <w:sz w:val="28"/>
          <w:szCs w:val="28"/>
          <w:lang w:val="en-US" w:eastAsia="ru-RU"/>
        </w:rPr>
        <w:t>to transform research findings into market products;</w:t>
      </w:r>
    </w:p>
    <w:p w14:paraId="33DD3483" w14:textId="77777777" w:rsidR="00600C79" w:rsidRPr="00244343" w:rsidRDefault="00600C79" w:rsidP="001B500C">
      <w:pPr>
        <w:pStyle w:val="af"/>
        <w:numPr>
          <w:ilvl w:val="0"/>
          <w:numId w:val="21"/>
        </w:numPr>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to cultivate innovative individuals;</w:t>
      </w:r>
    </w:p>
    <w:p w14:paraId="48344DF8" w14:textId="77777777" w:rsidR="00600C79" w:rsidRPr="00244343" w:rsidRDefault="00600C79" w:rsidP="001B500C">
      <w:pPr>
        <w:pStyle w:val="af"/>
        <w:numPr>
          <w:ilvl w:val="0"/>
          <w:numId w:val="21"/>
        </w:numPr>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to promote regional economic development.</w:t>
      </w:r>
    </w:p>
    <w:p w14:paraId="19A00EC5" w14:textId="3DA6D5E1"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The cluster was designated as a National High-tech Innovation Service Centre by the Ministry of Science and Technology in 2005. It was included in the National Torch Strategy in January 2009, a plan launched by the MOST to promote the commercialization, industrialization, and internationalization of China's high- and new technology. It is China's first and only cluster focused on knowledge-intensive services at the national level. The National Torch Plan's remaining clusters are all centered on high-tech manufacturing [</w:t>
      </w:r>
      <w:r w:rsidR="00107FCA" w:rsidRPr="00107FCA">
        <w:rPr>
          <w:rFonts w:ascii="Times New Roman" w:eastAsia="Times New Roman" w:hAnsi="Times New Roman" w:cs="Times New Roman"/>
          <w:sz w:val="28"/>
          <w:szCs w:val="28"/>
          <w:lang w:val="en-US" w:eastAsia="ru-RU"/>
        </w:rPr>
        <w:t>118</w:t>
      </w:r>
      <w:r w:rsidRPr="00244343">
        <w:rPr>
          <w:rFonts w:ascii="Times New Roman" w:eastAsia="Times New Roman" w:hAnsi="Times New Roman" w:cs="Times New Roman"/>
          <w:sz w:val="28"/>
          <w:szCs w:val="28"/>
          <w:lang w:val="en-US" w:eastAsia="ru-RU"/>
        </w:rPr>
        <w:t>, p. 10].</w:t>
      </w:r>
    </w:p>
    <w:p w14:paraId="2C634FB8"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As demonstrated in figure 3, initially, contacts between Tongji University and the cluster's surrounding industry (mostly university spin-off firms) were spontaneous, with no intervention from any level of government. While the cluster of these businesses expanded rapidly, it eventually garnered the attention of the Yangpu district administration, which is home to Tongji University. The cluster then entered the second stage of growth, during which the relationships between the university, industry, and (district) government closely resembled the "ideal" Triple Helix paradigm. The district administration entered the scene as a partner, in this case, fulfilling its function via "reflective control." The Shanghai city administration and the central government became engaged in the last stage and assumed responsibility for the cluster's entire development. </w:t>
      </w:r>
    </w:p>
    <w:p w14:paraId="78F60980" w14:textId="77777777" w:rsidR="00600C79" w:rsidRPr="00020331"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020331">
        <w:rPr>
          <w:rFonts w:ascii="Times New Roman" w:eastAsia="Times New Roman" w:hAnsi="Times New Roman" w:cs="Times New Roman"/>
          <w:sz w:val="28"/>
          <w:szCs w:val="28"/>
          <w:lang w:val="en-US" w:eastAsia="ru-RU"/>
        </w:rPr>
        <w:t xml:space="preserve">When a government seeks to foster UIC by introducing financial incentives for relevant stakeholders, the overall impact depends on the nature of the positive or negative feedback generated by these incentives on the behavior of key actors. Negative feedback often leads to inertia and resistance to change, whereas positive feedback can disrupt the stability of existing symbiotic relationships. Consequently, the emergence of the THM is more likely in competitive market environments with well-developed feedback mechanisms. Although market competition is intense in </w:t>
      </w:r>
      <w:r w:rsidRPr="00020331">
        <w:rPr>
          <w:rFonts w:ascii="Times New Roman" w:eastAsia="Times New Roman" w:hAnsi="Times New Roman" w:cs="Times New Roman"/>
          <w:sz w:val="28"/>
          <w:szCs w:val="28"/>
          <w:lang w:val="en-US" w:eastAsia="ru-RU"/>
        </w:rPr>
        <w:lastRenderedPageBreak/>
        <w:t>China, the mechanisms regulating competition remain underdeveloped. This competitiveness manifests in two key ways. First, there is significant cross-regional competition due to China’s transition to a market economy. Second, competition between state-owned enterprises (SOEs) and private firms is imbalanced, as SOEs benefit from preferential access to business opportunities and essential resources necessary for growth.</w:t>
      </w:r>
    </w:p>
    <w:p w14:paraId="11D77488" w14:textId="4B10A7C0"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020331">
        <w:rPr>
          <w:rFonts w:ascii="Times New Roman" w:eastAsia="Times New Roman" w:hAnsi="Times New Roman" w:cs="Times New Roman"/>
          <w:sz w:val="28"/>
          <w:szCs w:val="28"/>
          <w:lang w:val="en-US" w:eastAsia="ru-RU"/>
        </w:rPr>
        <w:t>China is gradually undertaking political reforms, albeit at a slow pace. Some progress has been observed in the 2010–2020 Strategic Plan for Education Reform and Development, mainly through the increased involvement of social actors in the drafting process. Hundreds of experts were consulted during decision-making, and public opinion was actively sought. Still, no institutional structure guarantees democratic public policy decision-making. Particularly in line with the 11th Five-Year Plan, China has also encouraged indigenous innovation as a primary focus for furthering its social and economic objectives.</w:t>
      </w:r>
      <w:r>
        <w:rPr>
          <w:rFonts w:ascii="Times New Roman" w:eastAsia="Times New Roman" w:hAnsi="Times New Roman" w:cs="Times New Roman"/>
          <w:sz w:val="28"/>
          <w:szCs w:val="28"/>
          <w:lang w:val="en-US" w:eastAsia="ru-RU"/>
        </w:rPr>
        <w:t xml:space="preserve"> </w:t>
      </w:r>
      <w:r w:rsidRPr="00244343">
        <w:rPr>
          <w:rFonts w:ascii="Times New Roman" w:eastAsia="Times New Roman" w:hAnsi="Times New Roman" w:cs="Times New Roman"/>
          <w:sz w:val="28"/>
          <w:szCs w:val="28"/>
          <w:lang w:val="en-US" w:eastAsia="ru-RU"/>
        </w:rPr>
        <w:t>China has realized that the divide between developing and developed nations is not just a matter of resources but also knowledge. China announced a series of initiatives in an early 2006 Medium and Long-Range Scientific and Technology Plan that aimed to close the knowledge gap between China's science and technology community and the rest of the world and promote local innovation</w:t>
      </w:r>
      <w:r w:rsidR="00FC73E7">
        <w:rPr>
          <w:rFonts w:ascii="Times New Roman" w:eastAsia="Times New Roman" w:hAnsi="Times New Roman" w:cs="Times New Roman"/>
          <w:sz w:val="28"/>
          <w:szCs w:val="28"/>
          <w:lang w:val="en-US" w:eastAsia="ru-RU"/>
        </w:rPr>
        <w:t xml:space="preserve"> [</w:t>
      </w:r>
      <w:r w:rsidR="00107FCA" w:rsidRPr="00107FCA">
        <w:rPr>
          <w:rFonts w:ascii="Times New Roman" w:eastAsia="Times New Roman" w:hAnsi="Times New Roman" w:cs="Times New Roman"/>
          <w:sz w:val="28"/>
          <w:szCs w:val="28"/>
          <w:lang w:val="en-US" w:eastAsia="ru-RU"/>
        </w:rPr>
        <w:t>81</w:t>
      </w:r>
      <w:r w:rsidR="00FC73E7">
        <w:rPr>
          <w:rFonts w:ascii="Times New Roman" w:eastAsia="Times New Roman" w:hAnsi="Times New Roman" w:cs="Times New Roman"/>
          <w:sz w:val="28"/>
          <w:szCs w:val="28"/>
          <w:lang w:val="en-US" w:eastAsia="ru-RU"/>
        </w:rPr>
        <w:t>]</w:t>
      </w:r>
      <w:r w:rsidRPr="00244343">
        <w:rPr>
          <w:rFonts w:ascii="Times New Roman" w:eastAsia="Times New Roman" w:hAnsi="Times New Roman" w:cs="Times New Roman"/>
          <w:sz w:val="28"/>
          <w:szCs w:val="28"/>
          <w:lang w:val="en-US" w:eastAsia="ru-RU"/>
        </w:rPr>
        <w:t>.</w:t>
      </w:r>
    </w:p>
    <w:p w14:paraId="119E30CB" w14:textId="262D58F6"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 Numerous studies on Chinese innovation system [</w:t>
      </w:r>
      <w:r w:rsidR="00C635A9">
        <w:rPr>
          <w:rFonts w:ascii="Times New Roman" w:eastAsia="Times New Roman" w:hAnsi="Times New Roman" w:cs="Times New Roman"/>
          <w:sz w:val="28"/>
          <w:szCs w:val="28"/>
          <w:lang w:val="en-US" w:eastAsia="ru-RU"/>
        </w:rPr>
        <w:t>119-123</w:t>
      </w:r>
      <w:r w:rsidRPr="00244343">
        <w:rPr>
          <w:rFonts w:ascii="Times New Roman" w:eastAsia="Times New Roman" w:hAnsi="Times New Roman" w:cs="Times New Roman"/>
          <w:sz w:val="28"/>
          <w:szCs w:val="28"/>
          <w:lang w:val="en-US" w:eastAsia="ru-RU"/>
        </w:rPr>
        <w:t>] and Chinese Triple Helix [</w:t>
      </w:r>
      <w:r w:rsidR="00C635A9">
        <w:rPr>
          <w:rFonts w:ascii="Times New Roman" w:eastAsia="Times New Roman" w:hAnsi="Times New Roman" w:cs="Times New Roman"/>
          <w:sz w:val="28"/>
          <w:szCs w:val="28"/>
          <w:lang w:val="en-US" w:eastAsia="ru-RU"/>
        </w:rPr>
        <w:t>124-125</w:t>
      </w:r>
      <w:r w:rsidRPr="00244343">
        <w:rPr>
          <w:rFonts w:ascii="Times New Roman" w:eastAsia="Times New Roman" w:hAnsi="Times New Roman" w:cs="Times New Roman"/>
          <w:sz w:val="28"/>
          <w:szCs w:val="28"/>
          <w:lang w:val="en-US" w:eastAsia="ru-RU"/>
        </w:rPr>
        <w:t>], and university-industry linkages [</w:t>
      </w:r>
      <w:r w:rsidR="00C635A9">
        <w:rPr>
          <w:rFonts w:ascii="Times New Roman" w:eastAsia="Times New Roman" w:hAnsi="Times New Roman" w:cs="Times New Roman"/>
          <w:sz w:val="28"/>
          <w:szCs w:val="28"/>
          <w:lang w:val="en-US" w:eastAsia="ru-RU"/>
        </w:rPr>
        <w:t>126-130</w:t>
      </w:r>
      <w:r w:rsidRPr="00244343">
        <w:rPr>
          <w:rFonts w:ascii="Times New Roman" w:eastAsia="Times New Roman" w:hAnsi="Times New Roman" w:cs="Times New Roman"/>
          <w:sz w:val="28"/>
          <w:szCs w:val="28"/>
          <w:lang w:val="en-US" w:eastAsia="ru-RU"/>
        </w:rPr>
        <w:t xml:space="preserve">] have highlighted some issues in China and also made policy recommendations. Although both studies were released over a decade apart, the problems and suggestions they identify are very similar. Among the main obstacles are: </w:t>
      </w:r>
    </w:p>
    <w:p w14:paraId="7CC295BD"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 a low degree of knowledge transfer between universities and businesses, </w:t>
      </w:r>
    </w:p>
    <w:p w14:paraId="4FF76420"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inadequate intellectual property protection,</w:t>
      </w:r>
    </w:p>
    <w:p w14:paraId="6B4A45F2" w14:textId="77777777" w:rsidR="00320D69"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-and insufficient competitive coordination for innovation. </w:t>
      </w:r>
    </w:p>
    <w:p w14:paraId="57BDC3C0" w14:textId="77777777" w:rsidR="00320D69"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The policy suggestions are entirely focused on resolving these issues and enhancing the institutional environment conducive to innovation. This scenario demonstrates a flaw in the policymaking process: politicians have a difficult time assimilating input [</w:t>
      </w:r>
      <w:r w:rsidR="00C635A9">
        <w:rPr>
          <w:rFonts w:ascii="Times New Roman" w:eastAsia="Times New Roman" w:hAnsi="Times New Roman" w:cs="Times New Roman"/>
          <w:sz w:val="28"/>
          <w:szCs w:val="28"/>
          <w:lang w:val="en-US" w:eastAsia="ru-RU"/>
        </w:rPr>
        <w:t>111</w:t>
      </w:r>
      <w:r w:rsidRPr="00244343">
        <w:rPr>
          <w:rFonts w:ascii="Times New Roman" w:eastAsia="Times New Roman" w:hAnsi="Times New Roman" w:cs="Times New Roman"/>
          <w:sz w:val="28"/>
          <w:szCs w:val="28"/>
          <w:lang w:val="en-US" w:eastAsia="ru-RU"/>
        </w:rPr>
        <w:t xml:space="preserve">, p. 14). The innovation system in China has experienced significant structural changes. PRIs are no longer the primary suppliers of R&amp;D services; in most instances, universities compete on an equal footing with PRIs. Along with the government-funded research programs, fast economic development and a lack of industry R&amp;D skills from the mid-1980s to the late 1990s generated a significant need for applied industrial research and services. Universities and PRIs have discovered, adopted, and invented many methods for working with industry and performing their responsibilities. However, as Chinese companies' industrial R&amp;D skills develop, the industry's expectations of universities and PRIs grow. Universities face new difficulties as a result of these shifting settings and market circumstances. Simultaneously, as China's national innovation system continues to be reformed and its industrial R&amp;D skills are developed, the knowledge divide between academics and industry will shrink. Numerous connections and routes between colleges and the market that have evolved through time will be scrutinized </w:t>
      </w:r>
      <w:r w:rsidRPr="00244343">
        <w:rPr>
          <w:rFonts w:ascii="Times New Roman" w:eastAsia="Times New Roman" w:hAnsi="Times New Roman" w:cs="Times New Roman"/>
          <w:sz w:val="28"/>
          <w:szCs w:val="28"/>
          <w:lang w:val="en-US" w:eastAsia="ru-RU"/>
        </w:rPr>
        <w:lastRenderedPageBreak/>
        <w:t xml:space="preserve">by institutions and their partners. It's worth noting that some institutions have started to re-examine their practices regarding collaboration with industry and management of university-affiliated businesses. </w:t>
      </w:r>
    </w:p>
    <w:p w14:paraId="60C91230" w14:textId="1B6A4AA1"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Additionally, government policies have moved away from broad support and toward a more cautious regulatory posture. The policy and the managerial task are to assist universities, industry, and government in redefining their responsibilities in this new environment and establishing a new partnership to ensure China's ongoing reform and growth in the future years. The government is instrumental in fostering collaboration between academia and industry in China and in fostering innovation through the establishment of cooperative frameworks, resource allocation, and funding, as outlined in the triple helix model [</w:t>
      </w:r>
      <w:r w:rsidR="00C635A9">
        <w:rPr>
          <w:rFonts w:ascii="Times New Roman" w:eastAsia="Times New Roman" w:hAnsi="Times New Roman" w:cs="Times New Roman"/>
          <w:sz w:val="28"/>
          <w:szCs w:val="28"/>
          <w:lang w:val="en-US" w:eastAsia="ru-RU"/>
        </w:rPr>
        <w:t>131</w:t>
      </w:r>
      <w:r w:rsidRPr="00244343">
        <w:rPr>
          <w:rFonts w:ascii="Times New Roman" w:eastAsia="Times New Roman" w:hAnsi="Times New Roman" w:cs="Times New Roman"/>
          <w:sz w:val="28"/>
          <w:szCs w:val="28"/>
          <w:lang w:val="en-US" w:eastAsia="ru-RU"/>
        </w:rPr>
        <w:t>].</w:t>
      </w:r>
    </w:p>
    <w:p w14:paraId="2204E2B1" w14:textId="77777777" w:rsidR="00320D69"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Italy is currently recognized as one of the world's most advanced cultural and economic countries, with the eighth-largest economy by nominal GDP (third in the European Union), and the triple helix model in Italy underscores systemic collaboration among non-profit organizations, government entities, and companies, improving financial sustainability, accountability, and innovation preparedness within the social innovation ecosystem [</w:t>
      </w:r>
      <w:r w:rsidR="00C635A9">
        <w:rPr>
          <w:rFonts w:ascii="Times New Roman" w:eastAsia="Times New Roman" w:hAnsi="Times New Roman" w:cs="Times New Roman"/>
          <w:sz w:val="28"/>
          <w:szCs w:val="28"/>
          <w:lang w:val="en-US" w:eastAsia="ru-RU"/>
        </w:rPr>
        <w:t>132</w:t>
      </w:r>
      <w:r w:rsidRPr="00244343">
        <w:rPr>
          <w:rFonts w:ascii="Times New Roman" w:eastAsia="Times New Roman" w:hAnsi="Times New Roman" w:cs="Times New Roman"/>
          <w:sz w:val="28"/>
          <w:szCs w:val="28"/>
          <w:lang w:val="en-US" w:eastAsia="ru-RU"/>
        </w:rPr>
        <w:t>]. The Trentino scenario exemplifies how provincial government policies foster innovation via public-private partnerships, expanding the Triple Helix model to incorporate international links and progressing towards a Quadruple Helix framework [</w:t>
      </w:r>
      <w:r w:rsidR="00C635A9">
        <w:rPr>
          <w:rFonts w:ascii="Times New Roman" w:eastAsia="Times New Roman" w:hAnsi="Times New Roman" w:cs="Times New Roman"/>
          <w:sz w:val="28"/>
          <w:szCs w:val="28"/>
          <w:lang w:val="en-US" w:eastAsia="ru-RU"/>
        </w:rPr>
        <w:t>133</w:t>
      </w:r>
      <w:r w:rsidRPr="00244343">
        <w:rPr>
          <w:rFonts w:ascii="Times New Roman" w:eastAsia="Times New Roman" w:hAnsi="Times New Roman" w:cs="Times New Roman"/>
          <w:sz w:val="28"/>
          <w:szCs w:val="28"/>
          <w:lang w:val="en-US" w:eastAsia="ru-RU"/>
        </w:rPr>
        <w:t xml:space="preserve">]. </w:t>
      </w:r>
    </w:p>
    <w:p w14:paraId="1CCBB13A" w14:textId="260B7E9C"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The Italian system is characterized by being both knowledge-based and knowledge-intensive, making it a compelling case study. The contributions to national synergy from the twenty regions in Italy have risen between 2008 and 2015, however, synergy generation at levels exceeding the regions has remained relatively constant at around 45%. In contrast to the statistical division into twenty regions, or the Northern, Central, and Southern Italy classification, the most effective synergy is achieved by categorizing the country into Northern and Southern Italy as two sub-systems, with Tuscany as part of Northern Italy. Diverse innovation strategies may be established for these two regions of the country.</w:t>
      </w:r>
    </w:p>
    <w:p w14:paraId="4D5AC63A"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Italy's economy continues to be dominated by many industrial areas comprised of small, medium-sized, and big businesses. It is possible that the Italian "regional issue" dates back at least a thousand years. World War II's tremendous economic development happened within a dual economy defined by company size and location.</w:t>
      </w:r>
    </w:p>
    <w:p w14:paraId="2E7375D7" w14:textId="118E25FB"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Additionally, government assistance was not distributed equally across all sectors and regions of the nation. Significant disparities remain between the north and south in terms of R&amp;D and technological innovation. Small businesses abound in the conventional and specialized supplier sectors that account for Italian industry. Italy's economy is based on small and medium-sized businesses. Like the </w:t>
      </w:r>
      <w:proofErr w:type="spellStart"/>
      <w:r w:rsidRPr="00244343">
        <w:rPr>
          <w:rFonts w:ascii="Times New Roman" w:eastAsia="Times New Roman" w:hAnsi="Times New Roman" w:cs="Times New Roman"/>
          <w:sz w:val="28"/>
          <w:szCs w:val="28"/>
          <w:lang w:val="en-US" w:eastAsia="ru-RU"/>
        </w:rPr>
        <w:t>Lombardia</w:t>
      </w:r>
      <w:proofErr w:type="spellEnd"/>
      <w:r w:rsidRPr="00244343">
        <w:rPr>
          <w:rFonts w:ascii="Times New Roman" w:eastAsia="Times New Roman" w:hAnsi="Times New Roman" w:cs="Times New Roman"/>
          <w:sz w:val="28"/>
          <w:szCs w:val="28"/>
          <w:lang w:val="en-US" w:eastAsia="ru-RU"/>
        </w:rPr>
        <w:t xml:space="preserve"> region, Emilia and Toscana had a strong tradition of local government, entrepreneurship, and culture. Today, northern Italian areas such as </w:t>
      </w:r>
      <w:proofErr w:type="spellStart"/>
      <w:r w:rsidRPr="00244343">
        <w:rPr>
          <w:rFonts w:ascii="Times New Roman" w:eastAsia="Times New Roman" w:hAnsi="Times New Roman" w:cs="Times New Roman"/>
          <w:sz w:val="28"/>
          <w:szCs w:val="28"/>
          <w:lang w:val="en-US" w:eastAsia="ru-RU"/>
        </w:rPr>
        <w:t>Lombardia</w:t>
      </w:r>
      <w:proofErr w:type="spellEnd"/>
      <w:r w:rsidRPr="00244343">
        <w:rPr>
          <w:rFonts w:ascii="Times New Roman" w:eastAsia="Times New Roman" w:hAnsi="Times New Roman" w:cs="Times New Roman"/>
          <w:sz w:val="28"/>
          <w:szCs w:val="28"/>
          <w:lang w:val="en-US" w:eastAsia="ru-RU"/>
        </w:rPr>
        <w:t xml:space="preserve"> and Piemonte serve as a symbol of the country's technical core [</w:t>
      </w:r>
      <w:r w:rsidR="00C635A9">
        <w:rPr>
          <w:rFonts w:ascii="Times New Roman" w:eastAsia="Times New Roman" w:hAnsi="Times New Roman" w:cs="Times New Roman"/>
          <w:sz w:val="28"/>
          <w:szCs w:val="28"/>
          <w:lang w:val="en-US" w:eastAsia="ru-RU"/>
        </w:rPr>
        <w:t>134</w:t>
      </w:r>
      <w:r w:rsidRPr="00244343">
        <w:rPr>
          <w:rFonts w:ascii="Times New Roman" w:eastAsia="Times New Roman" w:hAnsi="Times New Roman" w:cs="Times New Roman"/>
          <w:sz w:val="28"/>
          <w:szCs w:val="28"/>
          <w:lang w:val="en-US" w:eastAsia="ru-RU"/>
        </w:rPr>
        <w:t>].</w:t>
      </w:r>
    </w:p>
    <w:p w14:paraId="1E7C799F" w14:textId="6BB42854"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Numerous historical circumstances have led to the fragility of territorial systems and the absence of social capacity for institutional reform across southern </w:t>
      </w:r>
      <w:r w:rsidRPr="00244343">
        <w:rPr>
          <w:rFonts w:ascii="Times New Roman" w:eastAsia="Times New Roman" w:hAnsi="Times New Roman" w:cs="Times New Roman"/>
          <w:sz w:val="28"/>
          <w:szCs w:val="28"/>
          <w:lang w:val="en-US" w:eastAsia="ru-RU"/>
        </w:rPr>
        <w:lastRenderedPageBreak/>
        <w:t xml:space="preserve">Italy. To this day, the southern portion of Italy is regarded backwards compared to the rest of the country and the European Union, especially in terms of innovation and technological indices. As previously stated, Italy is characterized by stark regional technical and economic disparities. The country's northwest region accounted for more than 38% of total national public R&amp;D spending, followed by the center region (24 per cent). The northeast and southern regions got just 39% of overall R&amp;D spending. In Italy, most R&amp;D activity (48%) is concentrated in only three regions: </w:t>
      </w:r>
      <w:proofErr w:type="spellStart"/>
      <w:r w:rsidRPr="00244343">
        <w:rPr>
          <w:rFonts w:ascii="Times New Roman" w:eastAsia="Times New Roman" w:hAnsi="Times New Roman" w:cs="Times New Roman"/>
          <w:sz w:val="28"/>
          <w:szCs w:val="28"/>
          <w:lang w:val="en-US" w:eastAsia="ru-RU"/>
        </w:rPr>
        <w:t>Lombardia</w:t>
      </w:r>
      <w:proofErr w:type="spellEnd"/>
      <w:r w:rsidRPr="00244343">
        <w:rPr>
          <w:rFonts w:ascii="Times New Roman" w:eastAsia="Times New Roman" w:hAnsi="Times New Roman" w:cs="Times New Roman"/>
          <w:sz w:val="28"/>
          <w:szCs w:val="28"/>
          <w:lang w:val="en-US" w:eastAsia="ru-RU"/>
        </w:rPr>
        <w:t>, Lazio, and Piemonte. The primary areas account for 53.5 per cent of companies' total R&amp;D spending, 55.9 per cent of public institution funding, 32.3 per cent of university expenditures, and 76.9 per cent of not-for-profit organizations [</w:t>
      </w:r>
      <w:r w:rsidR="00C635A9">
        <w:rPr>
          <w:rFonts w:ascii="Times New Roman" w:eastAsia="Times New Roman" w:hAnsi="Times New Roman" w:cs="Times New Roman"/>
          <w:sz w:val="28"/>
          <w:szCs w:val="28"/>
          <w:lang w:val="en-US" w:eastAsia="ru-RU"/>
        </w:rPr>
        <w:t>134</w:t>
      </w:r>
      <w:r w:rsidRPr="00244343">
        <w:rPr>
          <w:rFonts w:ascii="Times New Roman" w:eastAsia="Times New Roman" w:hAnsi="Times New Roman" w:cs="Times New Roman"/>
          <w:sz w:val="28"/>
          <w:szCs w:val="28"/>
          <w:lang w:val="en-US" w:eastAsia="ru-RU"/>
        </w:rPr>
        <w:t>, p. 3-4</w:t>
      </w:r>
      <w:r w:rsidR="00C635A9">
        <w:rPr>
          <w:rFonts w:ascii="Times New Roman" w:eastAsia="Times New Roman" w:hAnsi="Times New Roman" w:cs="Times New Roman"/>
          <w:sz w:val="28"/>
          <w:szCs w:val="28"/>
          <w:lang w:val="en-US" w:eastAsia="ru-RU"/>
        </w:rPr>
        <w:t>, 135]</w:t>
      </w:r>
      <w:r w:rsidRPr="00244343">
        <w:rPr>
          <w:rFonts w:ascii="Times New Roman" w:eastAsia="Times New Roman" w:hAnsi="Times New Roman" w:cs="Times New Roman"/>
          <w:sz w:val="28"/>
          <w:szCs w:val="28"/>
          <w:lang w:val="en-US" w:eastAsia="ru-RU"/>
        </w:rPr>
        <w:t xml:space="preserve">. </w:t>
      </w:r>
    </w:p>
    <w:p w14:paraId="28528B4D"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proofErr w:type="spellStart"/>
      <w:r w:rsidRPr="00244343">
        <w:rPr>
          <w:rFonts w:ascii="Times New Roman" w:eastAsia="Times New Roman" w:hAnsi="Times New Roman" w:cs="Times New Roman"/>
          <w:sz w:val="28"/>
          <w:szCs w:val="28"/>
          <w:lang w:val="en-US" w:eastAsia="ru-RU"/>
        </w:rPr>
        <w:t>Lombardia</w:t>
      </w:r>
      <w:proofErr w:type="spellEnd"/>
      <w:r w:rsidRPr="00244343">
        <w:rPr>
          <w:rFonts w:ascii="Times New Roman" w:eastAsia="Times New Roman" w:hAnsi="Times New Roman" w:cs="Times New Roman"/>
          <w:sz w:val="28"/>
          <w:szCs w:val="28"/>
          <w:lang w:val="en-US" w:eastAsia="ru-RU"/>
        </w:rPr>
        <w:t xml:space="preserve"> is Italy's area with the greatest potential for innovation. This area is active in various industries, most notably electronics, biotechnology, fine chemistry, and industrial automation. The country's central and northern areas have a much greater potential in the high-tech industry than the southern regions, particularly industrial research. Regional organizations, municipal governments, and universities (particularly in the north) successfully meet the needs and requirements of small businesses in the region. The entire spectrum of connections and interactions that comprise the framework of an innovation system in this sector is highly developed in terms of organized linkages between companies and with other organizations (such as universities, research institutions, industry associations);</w:t>
      </w:r>
    </w:p>
    <w:p w14:paraId="01B6C7D7"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The overwhelming majority of scientific universities in Italy are public. Private universities, such as Bocconi and Cattolica in Milan (the former focuses on economic and business administration degrees, while the latter focuses on human sciences, economics, and management subjects), are primarily concerned with socioeconomic problems. Private institutions that deal with scientific subjects act somewhat similarly to public universities and operate under the auspices of co-operation agreements with the public system. That is why it is superfluous to differentiate between public and private colleges - each university controls its relationships with businesses independently since each is allowed to establish its internal standards and processes. </w:t>
      </w:r>
    </w:p>
    <w:p w14:paraId="5C1D45CA"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ENEA is one of the most prominent state-owned scientific and technical organizations in Italy (with about 4,000 workers), focusing on technology transfer and information distribution to businesses. It is a nationwide organization with 11 branch offices and numerous specialized labs and service centers; the majority focused on particular industrial sectors such as ceramics, textiles, new materials, chemicals, and the environment. ENEA has, however, been working in the area of Benchmarking Industry-Science Relations: technology transfer and innovation promotion for many years, beginning in the 1980s. </w:t>
      </w:r>
    </w:p>
    <w:p w14:paraId="6A0B498C"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Along with other organizations in Northeast Italy, it also plays a pivotal role as a member of the Innovation Relay Centre IRENE, which is connected to 52 European research institutions and serves as the National Focal Point and National Awareness Partner for the European Commission's Impact program. </w:t>
      </w:r>
    </w:p>
    <w:p w14:paraId="4E1177AB" w14:textId="7A432E2F"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lastRenderedPageBreak/>
        <w:t>As a result, certain Italian regions are making a concerted effort to establish regional technology transfer and research networks that include all relevant players (businesses, technological centers, public agencies, and universities, for example). The objective is to establish a consistent approach and system and provide standard tools for information transmission and sharing (a strong example is Emilia Romagna). Milan and Rome are the most active centers in Italy. Other significant academic concentrations are emerging across the nation in places such as Turin, Padova, Bologna, Pavia, and Naples. Despite a sizable industry, there are still only a small number of biotech spin-offs. Italy, in reality, has one of the lowest biotech startup rates in Europe, at about 50. This figure is minuscule in comparison to other European nations [</w:t>
      </w:r>
      <w:r w:rsidR="00DC2862">
        <w:rPr>
          <w:rFonts w:ascii="Times New Roman" w:eastAsia="Times New Roman" w:hAnsi="Times New Roman" w:cs="Times New Roman"/>
          <w:sz w:val="28"/>
          <w:szCs w:val="28"/>
          <w:lang w:val="en-US" w:eastAsia="ru-RU"/>
        </w:rPr>
        <w:t>134</w:t>
      </w:r>
      <w:r w:rsidRPr="00244343">
        <w:rPr>
          <w:rFonts w:ascii="Times New Roman" w:eastAsia="Times New Roman" w:hAnsi="Times New Roman" w:cs="Times New Roman"/>
          <w:sz w:val="28"/>
          <w:szCs w:val="28"/>
          <w:lang w:val="en-US" w:eastAsia="ru-RU"/>
        </w:rPr>
        <w:t xml:space="preserve">, p. 8-9]. A significant portion of the Italian industry is made up of small and medium-sized businesses, most of which operate in traditional industries. Small businesses have risen in prominence to become the most prevalent industrial structure in Italy. The center and northern areas include more than 80% of productive units and 80% industrial workers. Notably, small businesses are not concentrated in bigger cities; about 80% of industrial producing units and 80% of industrial workers are located in towns with less than 100,000 residents. This implies that the majority of the time, the site of production has been determined by indigenous traditions or knowledge and the desire to preserve strong ties to the social environment. </w:t>
      </w:r>
    </w:p>
    <w:p w14:paraId="0F28C5F9"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These businesses are very lucrative and prosperous on a global scale. These small and medium-sized businesses form a highly dynamic dispersed learning network defined by superior skills for absorbing, adapting to, and enhancing new technologies. Not via formal R&amp;D agreements, but through informal networking, does innovation occur most often. This network's main sources of incremental innovation and product modification are engineering expertise, product knowledge, and an awareness of client needs.</w:t>
      </w:r>
    </w:p>
    <w:p w14:paraId="2A3F95AF"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 xml:space="preserve">Despite the significant quantitative increase in the number of high-tech firms in recent years, many qualitative aspects of the NIS remain underdeveloped in Italy. </w:t>
      </w:r>
    </w:p>
    <w:p w14:paraId="645E2533" w14:textId="43F6A950"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The Italian context is shaped by critical factors such as significant territorial differences in terms of heterogeneity and historical contingency; a lack of a system connecting the country's numerous administrative regions; highly problematic measurement issues resulting from persistent and significant inter-and intraregional differentiation; and a relatively low technological intensity of specialization. In Italy, long-term district competitiveness is contingent on embedded businesses' capacity to generate, disseminate, share, and integrate information flow across clustered firms. Additionally, the importance of geographic proximity has been exaggerated, assuming that information derived from local sources is more valuable than knowledge derived from non-local sources. At the national level, financial support for innovation may come from various institutional levels, including government, non-profit organizations, and private companies. In Italy, the government is the primary supporter of scientific and technological research. Big companies mostly conduct R&amp;D. Around 15% of national R&amp;D funding is supplied by the public sector, 75% by the private sector, and 11% by foreign sources [</w:t>
      </w:r>
      <w:r w:rsidR="00DC2862">
        <w:rPr>
          <w:rFonts w:ascii="Times New Roman" w:eastAsia="Times New Roman" w:hAnsi="Times New Roman" w:cs="Times New Roman"/>
          <w:sz w:val="28"/>
          <w:szCs w:val="28"/>
          <w:lang w:val="en-US" w:eastAsia="ru-RU"/>
        </w:rPr>
        <w:t>134</w:t>
      </w:r>
      <w:r w:rsidRPr="00244343">
        <w:rPr>
          <w:rFonts w:ascii="Times New Roman" w:eastAsia="Times New Roman" w:hAnsi="Times New Roman" w:cs="Times New Roman"/>
          <w:sz w:val="28"/>
          <w:szCs w:val="28"/>
          <w:lang w:val="en-US" w:eastAsia="ru-RU"/>
        </w:rPr>
        <w:t xml:space="preserve">, p. 10]. </w:t>
      </w:r>
    </w:p>
    <w:p w14:paraId="0AC61270" w14:textId="6D1F3EBA"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lastRenderedPageBreak/>
        <w:t>The Ministry of Education and Scientific Research and the Ministry of Industry are the primary institutional points of reference for Italy's scientific and technology system. The majority of financial government support is provided by Italian government organizations such as the National Council for Research (CNR) and ENEA. ENEA is actively involved in a wide variety of research initiatives, the majority of which are now focused on alternative energy and biotechnology. ENEA's primary mission is to do applied research that benefits the Italian industry. Currently, universities have the autonomy to regulate their relationships with industry, their involvement in university spin-offs, their researchers' intellectual property rights, and their ability to engage in industrial operations. In 2008, legislation enabled public institutions to transition to more autonomous private foundations. No institutions undertook the change, most likely owing to the unknown financial implications. Numerous institutions, particularly in northern Italy, have established technological incubators and liaison offices in recent years [</w:t>
      </w:r>
      <w:r w:rsidR="00DC2862">
        <w:rPr>
          <w:rFonts w:ascii="Times New Roman" w:eastAsia="Times New Roman" w:hAnsi="Times New Roman" w:cs="Times New Roman"/>
          <w:sz w:val="28"/>
          <w:szCs w:val="28"/>
          <w:lang w:val="en-US" w:eastAsia="ru-RU"/>
        </w:rPr>
        <w:t>134</w:t>
      </w:r>
      <w:r w:rsidRPr="00244343">
        <w:rPr>
          <w:rFonts w:ascii="Times New Roman" w:eastAsia="Times New Roman" w:hAnsi="Times New Roman" w:cs="Times New Roman"/>
          <w:sz w:val="28"/>
          <w:szCs w:val="28"/>
          <w:lang w:val="en-US" w:eastAsia="ru-RU"/>
        </w:rPr>
        <w:t>, p. 11-12].</w:t>
      </w:r>
    </w:p>
    <w:p w14:paraId="3C670A3F" w14:textId="77777777" w:rsidR="00320D69"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Through closer university-industry ties, several countries deliberately prioritize the commercialization of research and innovation.  China's 14th Five-Year Plan (2021–2025) supports cooperative efforts among industry, academia, and research institutes to reach this aim.  This strategy supports the development of innovative consortia and university-enterprise alliances.  It also facilitates the development of platforms that connect market demands with research outcomes.  The plan emphasizes enabling legislation and frameworks for effective commercialization and technology transfer.    Through programs like Technology Licensing Organizations (TLOs), Japan's Ministry of Economy, Trade and Industry (METI) promotes industry-academia-government cooperation.  These TLOs are essential for enabling patent applications and </w:t>
      </w:r>
      <w:proofErr w:type="spellStart"/>
      <w:r w:rsidRPr="00244343">
        <w:rPr>
          <w:rFonts w:ascii="Times New Roman" w:hAnsi="Times New Roman" w:cs="Times New Roman"/>
          <w:sz w:val="28"/>
          <w:szCs w:val="28"/>
          <w:lang w:val="en-US"/>
        </w:rPr>
        <w:t>commercialising</w:t>
      </w:r>
      <w:proofErr w:type="spellEnd"/>
      <w:r w:rsidRPr="00244343">
        <w:rPr>
          <w:rFonts w:ascii="Times New Roman" w:hAnsi="Times New Roman" w:cs="Times New Roman"/>
          <w:sz w:val="28"/>
          <w:szCs w:val="28"/>
          <w:lang w:val="en-US"/>
        </w:rPr>
        <w:t xml:space="preserve"> university-generated technologies.  </w:t>
      </w:r>
    </w:p>
    <w:p w14:paraId="6BBDFE4B" w14:textId="307966BC"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Furthermore, METI promotes financing systems that enable national universities and research centers to give venture companies vital financial and technical support, fostering creativity and commercialization.  Through committed Technology Transfer Offices (TTOs), individual Italian institutions also actively support technology transfer and university-industry relationships.  For example, the 2i3T Incubator of the University of Turin emphasizes encouraging the development of knowledge-intensive companies grounded on scholarly research.  Other colleges, including Pisa and </w:t>
      </w:r>
      <w:proofErr w:type="spellStart"/>
      <w:r w:rsidRPr="00244343">
        <w:rPr>
          <w:rFonts w:ascii="Times New Roman" w:hAnsi="Times New Roman" w:cs="Times New Roman"/>
          <w:sz w:val="28"/>
          <w:szCs w:val="28"/>
          <w:lang w:val="en-US"/>
        </w:rPr>
        <w:t>Politecnico</w:t>
      </w:r>
      <w:proofErr w:type="spellEnd"/>
      <w:r w:rsidRPr="00244343">
        <w:rPr>
          <w:rFonts w:ascii="Times New Roman" w:hAnsi="Times New Roman" w:cs="Times New Roman"/>
          <w:sz w:val="28"/>
          <w:szCs w:val="28"/>
          <w:lang w:val="en-US"/>
        </w:rPr>
        <w:t xml:space="preserve"> di Milano, encourage the founding of spin-off businesses, offer intellectual property protection, and assist in industry partnerships, including already-existing ones.  Particularly with a sizable portfolio of patents, </w:t>
      </w:r>
      <w:proofErr w:type="spellStart"/>
      <w:r w:rsidRPr="00244343">
        <w:rPr>
          <w:rFonts w:ascii="Times New Roman" w:hAnsi="Times New Roman" w:cs="Times New Roman"/>
          <w:sz w:val="28"/>
          <w:szCs w:val="28"/>
          <w:lang w:val="en-US"/>
        </w:rPr>
        <w:t>Politecnico</w:t>
      </w:r>
      <w:proofErr w:type="spellEnd"/>
      <w:r w:rsidRPr="00244343">
        <w:rPr>
          <w:rFonts w:ascii="Times New Roman" w:hAnsi="Times New Roman" w:cs="Times New Roman"/>
          <w:sz w:val="28"/>
          <w:szCs w:val="28"/>
          <w:lang w:val="en-US"/>
        </w:rPr>
        <w:t xml:space="preserve"> di Milano shows a strong will to translate research into marketable goods and services [</w:t>
      </w:r>
      <w:r w:rsidR="00DC2862">
        <w:rPr>
          <w:rFonts w:ascii="Times New Roman" w:hAnsi="Times New Roman" w:cs="Times New Roman"/>
          <w:sz w:val="28"/>
          <w:szCs w:val="28"/>
          <w:lang w:val="en-US"/>
        </w:rPr>
        <w:t>135-139</w:t>
      </w:r>
      <w:r w:rsidRPr="00244343">
        <w:rPr>
          <w:rFonts w:ascii="Times New Roman" w:hAnsi="Times New Roman" w:cs="Times New Roman"/>
          <w:sz w:val="28"/>
          <w:szCs w:val="28"/>
          <w:lang w:val="en-US"/>
        </w:rPr>
        <w:t>].</w:t>
      </w:r>
    </w:p>
    <w:p w14:paraId="72D17882" w14:textId="685B6CF3" w:rsidR="00600C79"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Kazakhstani universities are progressively emphasizing technology transfer and commercialization via specialized offices. </w:t>
      </w:r>
      <w:proofErr w:type="spellStart"/>
      <w:r w:rsidRPr="00244343">
        <w:rPr>
          <w:rFonts w:ascii="Times New Roman" w:hAnsi="Times New Roman" w:cs="Times New Roman"/>
          <w:sz w:val="28"/>
          <w:szCs w:val="28"/>
          <w:lang w:val="en-US"/>
        </w:rPr>
        <w:t>Satbayev</w:t>
      </w:r>
      <w:proofErr w:type="spellEnd"/>
      <w:r w:rsidRPr="00244343">
        <w:rPr>
          <w:rFonts w:ascii="Times New Roman" w:hAnsi="Times New Roman" w:cs="Times New Roman"/>
          <w:sz w:val="28"/>
          <w:szCs w:val="28"/>
          <w:lang w:val="en-US"/>
        </w:rPr>
        <w:t xml:space="preserve"> University, </w:t>
      </w:r>
      <w:proofErr w:type="spellStart"/>
      <w:r w:rsidRPr="00244343">
        <w:rPr>
          <w:rFonts w:ascii="Times New Roman" w:hAnsi="Times New Roman" w:cs="Times New Roman"/>
          <w:sz w:val="28"/>
          <w:szCs w:val="28"/>
          <w:lang w:val="en-US"/>
        </w:rPr>
        <w:t>Turan</w:t>
      </w:r>
      <w:proofErr w:type="spellEnd"/>
      <w:r w:rsidRPr="00244343">
        <w:rPr>
          <w:rFonts w:ascii="Times New Roman" w:hAnsi="Times New Roman" w:cs="Times New Roman"/>
          <w:sz w:val="28"/>
          <w:szCs w:val="28"/>
          <w:lang w:val="en-US"/>
        </w:rPr>
        <w:t xml:space="preserve"> University, and </w:t>
      </w:r>
      <w:proofErr w:type="spellStart"/>
      <w:r w:rsidRPr="00244343">
        <w:rPr>
          <w:rFonts w:ascii="Times New Roman" w:hAnsi="Times New Roman" w:cs="Times New Roman"/>
          <w:sz w:val="28"/>
          <w:szCs w:val="28"/>
          <w:lang w:val="en-US"/>
        </w:rPr>
        <w:t>AlmaU</w:t>
      </w:r>
      <w:proofErr w:type="spellEnd"/>
      <w:r w:rsidRPr="00244343">
        <w:rPr>
          <w:rFonts w:ascii="Times New Roman" w:hAnsi="Times New Roman" w:cs="Times New Roman"/>
          <w:sz w:val="28"/>
          <w:szCs w:val="28"/>
          <w:lang w:val="en-US"/>
        </w:rPr>
        <w:t xml:space="preserve"> are actively involved in these initiatives. Al-</w:t>
      </w:r>
      <w:proofErr w:type="spellStart"/>
      <w:r w:rsidRPr="00244343">
        <w:rPr>
          <w:rFonts w:ascii="Times New Roman" w:hAnsi="Times New Roman" w:cs="Times New Roman"/>
          <w:sz w:val="28"/>
          <w:szCs w:val="28"/>
          <w:lang w:val="en-US"/>
        </w:rPr>
        <w:t>Farabi</w:t>
      </w:r>
      <w:proofErr w:type="spellEnd"/>
      <w:r w:rsidRPr="00244343">
        <w:rPr>
          <w:rFonts w:ascii="Times New Roman" w:hAnsi="Times New Roman" w:cs="Times New Roman"/>
          <w:sz w:val="28"/>
          <w:szCs w:val="28"/>
          <w:lang w:val="en-US"/>
        </w:rPr>
        <w:t xml:space="preserve"> Kazakh National University contributes to the national innovation ecosystem by facilitating technology transfer through its "Office of Commercialization" within the Scientific Technology Park. Nazarbayev University's Technology Commercialization Office </w:t>
      </w:r>
      <w:r w:rsidRPr="00244343">
        <w:rPr>
          <w:rFonts w:ascii="Times New Roman" w:hAnsi="Times New Roman" w:cs="Times New Roman"/>
          <w:sz w:val="28"/>
          <w:szCs w:val="28"/>
          <w:lang w:val="en-US"/>
        </w:rPr>
        <w:lastRenderedPageBreak/>
        <w:t xml:space="preserve">provides financial and administrative support to projects with commercial potential, strengthening university-industry collaboration. D. </w:t>
      </w:r>
      <w:proofErr w:type="spellStart"/>
      <w:r w:rsidRPr="00244343">
        <w:rPr>
          <w:rFonts w:ascii="Times New Roman" w:hAnsi="Times New Roman" w:cs="Times New Roman"/>
          <w:sz w:val="28"/>
          <w:szCs w:val="28"/>
          <w:lang w:val="en-US"/>
        </w:rPr>
        <w:t>Serikbayev</w:t>
      </w:r>
      <w:proofErr w:type="spellEnd"/>
      <w:r w:rsidRPr="00244343">
        <w:rPr>
          <w:rFonts w:ascii="Times New Roman" w:hAnsi="Times New Roman" w:cs="Times New Roman"/>
          <w:sz w:val="28"/>
          <w:szCs w:val="28"/>
          <w:lang w:val="en-US"/>
        </w:rPr>
        <w:t xml:space="preserve"> East Kazakhstan Technical University has developed a model for industry-university research interaction, collaborating with mining and metallurgical companies to enhance high-tech production and environmental sustainability. These initiatives collectively demonstrate a growing commitment to converting research into practical applications and promoting innovation within Kazakhstan [</w:t>
      </w:r>
      <w:r w:rsidR="00DC2862">
        <w:rPr>
          <w:rFonts w:ascii="Times New Roman" w:hAnsi="Times New Roman" w:cs="Times New Roman"/>
          <w:sz w:val="28"/>
          <w:szCs w:val="28"/>
          <w:lang w:val="en-US"/>
        </w:rPr>
        <w:t>140-144</w:t>
      </w:r>
      <w:r w:rsidRPr="00244343">
        <w:rPr>
          <w:rFonts w:ascii="Times New Roman" w:hAnsi="Times New Roman" w:cs="Times New Roman"/>
          <w:sz w:val="28"/>
          <w:szCs w:val="28"/>
          <w:lang w:val="en-US"/>
        </w:rPr>
        <w:t>].</w:t>
      </w:r>
    </w:p>
    <w:p w14:paraId="425DFC06" w14:textId="77777777" w:rsidR="0018540F" w:rsidRPr="00B4623F" w:rsidRDefault="0018540F" w:rsidP="0018540F">
      <w:pPr>
        <w:pStyle w:val="af"/>
        <w:rPr>
          <w:lang w:val="en-US"/>
        </w:rPr>
      </w:pPr>
    </w:p>
    <w:p w14:paraId="0B833102" w14:textId="25EBDDB3" w:rsidR="00600C79" w:rsidRDefault="00600C79" w:rsidP="00F7332B">
      <w:pPr>
        <w:pStyle w:val="af"/>
        <w:ind w:firstLine="709"/>
        <w:rPr>
          <w:rFonts w:ascii="Times New Roman" w:hAnsi="Times New Roman" w:cs="Times New Roman"/>
          <w:sz w:val="28"/>
          <w:szCs w:val="28"/>
          <w:lang w:val="en-US"/>
        </w:rPr>
      </w:pPr>
      <w:r w:rsidRPr="0018540F">
        <w:rPr>
          <w:rFonts w:ascii="Times New Roman" w:hAnsi="Times New Roman" w:cs="Times New Roman"/>
          <w:sz w:val="28"/>
          <w:szCs w:val="28"/>
          <w:lang w:val="en-US"/>
        </w:rPr>
        <w:t xml:space="preserve">Table </w:t>
      </w:r>
      <w:r w:rsidR="00E10090" w:rsidRPr="0018540F">
        <w:rPr>
          <w:rFonts w:ascii="Times New Roman" w:hAnsi="Times New Roman" w:cs="Times New Roman"/>
          <w:sz w:val="28"/>
          <w:szCs w:val="28"/>
          <w:lang w:val="en-US"/>
        </w:rPr>
        <w:t>5</w:t>
      </w:r>
      <w:r w:rsidRPr="0018540F">
        <w:rPr>
          <w:rFonts w:ascii="Times New Roman" w:hAnsi="Times New Roman" w:cs="Times New Roman"/>
          <w:sz w:val="28"/>
          <w:szCs w:val="28"/>
          <w:lang w:val="en-US"/>
        </w:rPr>
        <w:t xml:space="preserve"> – Comparative analysis</w:t>
      </w:r>
    </w:p>
    <w:p w14:paraId="64A4F51D" w14:textId="77777777" w:rsidR="00583F57" w:rsidRPr="002F4189" w:rsidRDefault="00583F57" w:rsidP="0018540F">
      <w:pPr>
        <w:pStyle w:val="af"/>
        <w:jc w:val="center"/>
        <w:rPr>
          <w:rFonts w:ascii="Times New Roman" w:hAnsi="Times New Roman" w:cs="Times New Roman"/>
          <w:sz w:val="24"/>
          <w:szCs w:val="24"/>
          <w:lang w:val="en-US"/>
        </w:rPr>
      </w:pPr>
    </w:p>
    <w:tbl>
      <w:tblPr>
        <w:tblStyle w:val="a8"/>
        <w:tblW w:w="9322" w:type="dxa"/>
        <w:jc w:val="right"/>
        <w:tblLayout w:type="fixed"/>
        <w:tblLook w:val="04A0" w:firstRow="1" w:lastRow="0" w:firstColumn="1" w:lastColumn="0" w:noHBand="0" w:noVBand="1"/>
      </w:tblPr>
      <w:tblGrid>
        <w:gridCol w:w="1838"/>
        <w:gridCol w:w="2126"/>
        <w:gridCol w:w="2552"/>
        <w:gridCol w:w="2806"/>
      </w:tblGrid>
      <w:tr w:rsidR="0018540F" w:rsidRPr="0018540F" w14:paraId="6BDBD657" w14:textId="77777777" w:rsidTr="0035414C">
        <w:trPr>
          <w:jc w:val="right"/>
        </w:trPr>
        <w:tc>
          <w:tcPr>
            <w:tcW w:w="1838" w:type="dxa"/>
            <w:vAlign w:val="center"/>
          </w:tcPr>
          <w:p w14:paraId="42FBCACE"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Aspect</w:t>
            </w:r>
          </w:p>
        </w:tc>
        <w:tc>
          <w:tcPr>
            <w:tcW w:w="2126" w:type="dxa"/>
            <w:vAlign w:val="center"/>
          </w:tcPr>
          <w:p w14:paraId="50A019B3"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China</w:t>
            </w:r>
          </w:p>
        </w:tc>
        <w:tc>
          <w:tcPr>
            <w:tcW w:w="2552" w:type="dxa"/>
            <w:vAlign w:val="center"/>
          </w:tcPr>
          <w:p w14:paraId="2906D234"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Japan</w:t>
            </w:r>
          </w:p>
        </w:tc>
        <w:tc>
          <w:tcPr>
            <w:tcW w:w="2806" w:type="dxa"/>
            <w:vAlign w:val="center"/>
          </w:tcPr>
          <w:p w14:paraId="05BAD722"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Kazakhstan</w:t>
            </w:r>
          </w:p>
        </w:tc>
      </w:tr>
      <w:tr w:rsidR="0018540F" w:rsidRPr="000E0481" w14:paraId="2A8CC206" w14:textId="77777777" w:rsidTr="0035414C">
        <w:trPr>
          <w:trHeight w:val="1583"/>
          <w:jc w:val="right"/>
        </w:trPr>
        <w:tc>
          <w:tcPr>
            <w:tcW w:w="1838" w:type="dxa"/>
            <w:vAlign w:val="center"/>
          </w:tcPr>
          <w:p w14:paraId="6BBAC123"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Strategic Focus</w:t>
            </w:r>
          </w:p>
        </w:tc>
        <w:tc>
          <w:tcPr>
            <w:tcW w:w="2126" w:type="dxa"/>
            <w:vAlign w:val="center"/>
          </w:tcPr>
          <w:p w14:paraId="76904D87"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High-tech industries, AI, and advanced manufacturing</w:t>
            </w:r>
          </w:p>
        </w:tc>
        <w:tc>
          <w:tcPr>
            <w:tcW w:w="2552" w:type="dxa"/>
            <w:vAlign w:val="center"/>
          </w:tcPr>
          <w:p w14:paraId="18FB30F3"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Society 5.0 (integration of cyberspace and physical space), deep tech, and sustainability</w:t>
            </w:r>
          </w:p>
        </w:tc>
        <w:tc>
          <w:tcPr>
            <w:tcW w:w="2806" w:type="dxa"/>
            <w:vAlign w:val="center"/>
          </w:tcPr>
          <w:p w14:paraId="7791AC52"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Establishing TTOs, increasing commercialization, fostering university-industry collaboration</w:t>
            </w:r>
          </w:p>
        </w:tc>
      </w:tr>
      <w:tr w:rsidR="0018540F" w:rsidRPr="000E0481" w14:paraId="205C71C8" w14:textId="77777777" w:rsidTr="0035414C">
        <w:trPr>
          <w:jc w:val="right"/>
        </w:trPr>
        <w:tc>
          <w:tcPr>
            <w:tcW w:w="1838" w:type="dxa"/>
            <w:vAlign w:val="center"/>
          </w:tcPr>
          <w:p w14:paraId="74FC19F2"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Key Programs</w:t>
            </w:r>
          </w:p>
        </w:tc>
        <w:tc>
          <w:tcPr>
            <w:tcW w:w="2126" w:type="dxa"/>
            <w:vAlign w:val="center"/>
          </w:tcPr>
          <w:p w14:paraId="067C5AD8"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Urban Village Redevelopment for High-Tech Hubs; State funding for tech startups</w:t>
            </w:r>
          </w:p>
        </w:tc>
        <w:tc>
          <w:tcPr>
            <w:tcW w:w="2552" w:type="dxa"/>
            <w:vAlign w:val="center"/>
          </w:tcPr>
          <w:p w14:paraId="6BB5C2BE"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Integrated Innovation Strategy 2022; J-Startup Program; Global Startup Campus</w:t>
            </w:r>
          </w:p>
        </w:tc>
        <w:tc>
          <w:tcPr>
            <w:tcW w:w="2806" w:type="dxa"/>
            <w:vAlign w:val="center"/>
          </w:tcPr>
          <w:p w14:paraId="36FCEEA8"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Kazakhstan Network for Technology Transfer (KTTN); University-based Commercialization Offices</w:t>
            </w:r>
          </w:p>
        </w:tc>
      </w:tr>
      <w:tr w:rsidR="0018540F" w:rsidRPr="000E0481" w14:paraId="6222A54D" w14:textId="77777777" w:rsidTr="0035414C">
        <w:trPr>
          <w:jc w:val="right"/>
        </w:trPr>
        <w:tc>
          <w:tcPr>
            <w:tcW w:w="1838" w:type="dxa"/>
            <w:vAlign w:val="center"/>
          </w:tcPr>
          <w:p w14:paraId="1585DBD4"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University-Industry Collaboration</w:t>
            </w:r>
          </w:p>
        </w:tc>
        <w:tc>
          <w:tcPr>
            <w:tcW w:w="2126" w:type="dxa"/>
            <w:vAlign w:val="center"/>
          </w:tcPr>
          <w:p w14:paraId="4B4F0325"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Partnerships encouraged through tech parks and state investment</w:t>
            </w:r>
          </w:p>
        </w:tc>
        <w:tc>
          <w:tcPr>
            <w:tcW w:w="2552" w:type="dxa"/>
            <w:vAlign w:val="center"/>
          </w:tcPr>
          <w:p w14:paraId="313885F3"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Strong collaboration via Global Startup Campus and startup incubators</w:t>
            </w:r>
          </w:p>
        </w:tc>
        <w:tc>
          <w:tcPr>
            <w:tcW w:w="2806" w:type="dxa"/>
            <w:vAlign w:val="center"/>
          </w:tcPr>
          <w:p w14:paraId="60777725"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Limited collaboration with nascent TTO efforts and occasional joint projects</w:t>
            </w:r>
          </w:p>
        </w:tc>
      </w:tr>
      <w:tr w:rsidR="0018540F" w:rsidRPr="000E0481" w14:paraId="50D2BA64" w14:textId="77777777" w:rsidTr="0035414C">
        <w:trPr>
          <w:jc w:val="right"/>
        </w:trPr>
        <w:tc>
          <w:tcPr>
            <w:tcW w:w="1838" w:type="dxa"/>
            <w:vAlign w:val="center"/>
          </w:tcPr>
          <w:p w14:paraId="662C5329"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Government Role</w:t>
            </w:r>
          </w:p>
        </w:tc>
        <w:tc>
          <w:tcPr>
            <w:tcW w:w="2126" w:type="dxa"/>
            <w:vAlign w:val="center"/>
          </w:tcPr>
          <w:p w14:paraId="4D7F4414"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Heavy state involvement and funding support</w:t>
            </w:r>
          </w:p>
        </w:tc>
        <w:tc>
          <w:tcPr>
            <w:tcW w:w="2552" w:type="dxa"/>
            <w:vAlign w:val="center"/>
          </w:tcPr>
          <w:p w14:paraId="26639A98"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Balanced public-private partnerships, government policy-driven initiatives</w:t>
            </w:r>
          </w:p>
        </w:tc>
        <w:tc>
          <w:tcPr>
            <w:tcW w:w="2806" w:type="dxa"/>
            <w:vAlign w:val="center"/>
          </w:tcPr>
          <w:p w14:paraId="562E7F33"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Developing frameworks and networks but lacking large-scale funding and incentives</w:t>
            </w:r>
          </w:p>
        </w:tc>
      </w:tr>
      <w:tr w:rsidR="0018540F" w:rsidRPr="000E0481" w14:paraId="602BABC7" w14:textId="77777777" w:rsidTr="0035414C">
        <w:trPr>
          <w:jc w:val="right"/>
        </w:trPr>
        <w:tc>
          <w:tcPr>
            <w:tcW w:w="1838" w:type="dxa"/>
            <w:vAlign w:val="center"/>
          </w:tcPr>
          <w:p w14:paraId="3F4579A0" w14:textId="63A4A930" w:rsidR="00600C79" w:rsidRPr="004E2FD7" w:rsidRDefault="00600C79" w:rsidP="0018540F">
            <w:pPr>
              <w:pStyle w:val="af"/>
              <w:rPr>
                <w:rFonts w:ascii="Times New Roman" w:hAnsi="Times New Roman" w:cs="Times New Roman"/>
                <w:sz w:val="28"/>
                <w:szCs w:val="28"/>
                <w:lang w:val="kk-KZ"/>
              </w:rPr>
            </w:pPr>
            <w:r w:rsidRPr="0018540F">
              <w:rPr>
                <w:rFonts w:ascii="Times New Roman" w:hAnsi="Times New Roman" w:cs="Times New Roman"/>
                <w:sz w:val="28"/>
                <w:szCs w:val="28"/>
                <w:lang w:val="en-US"/>
              </w:rPr>
              <w:t xml:space="preserve">Technology Transfer and </w:t>
            </w:r>
            <w:proofErr w:type="spellStart"/>
            <w:r w:rsidRPr="0018540F">
              <w:rPr>
                <w:rFonts w:ascii="Times New Roman" w:hAnsi="Times New Roman" w:cs="Times New Roman"/>
                <w:sz w:val="28"/>
                <w:szCs w:val="28"/>
                <w:lang w:val="en-US"/>
              </w:rPr>
              <w:t>Commerciali</w:t>
            </w:r>
            <w:proofErr w:type="spellEnd"/>
            <w:r w:rsidR="004E2FD7">
              <w:rPr>
                <w:rFonts w:ascii="Times New Roman" w:hAnsi="Times New Roman" w:cs="Times New Roman"/>
                <w:sz w:val="28"/>
                <w:szCs w:val="28"/>
                <w:lang w:val="kk-KZ"/>
              </w:rPr>
              <w:t>-</w:t>
            </w:r>
            <w:proofErr w:type="spellStart"/>
            <w:r w:rsidRPr="0018540F">
              <w:rPr>
                <w:rFonts w:ascii="Times New Roman" w:hAnsi="Times New Roman" w:cs="Times New Roman"/>
                <w:sz w:val="28"/>
                <w:szCs w:val="28"/>
                <w:lang w:val="en-US"/>
              </w:rPr>
              <w:t>zation</w:t>
            </w:r>
            <w:proofErr w:type="spellEnd"/>
            <w:r w:rsidR="004E2FD7">
              <w:rPr>
                <w:rFonts w:ascii="Times New Roman" w:hAnsi="Times New Roman" w:cs="Times New Roman"/>
                <w:sz w:val="28"/>
                <w:szCs w:val="28"/>
                <w:lang w:val="kk-KZ"/>
              </w:rPr>
              <w:t xml:space="preserve"> </w:t>
            </w:r>
          </w:p>
        </w:tc>
        <w:tc>
          <w:tcPr>
            <w:tcW w:w="2126" w:type="dxa"/>
            <w:vAlign w:val="center"/>
          </w:tcPr>
          <w:p w14:paraId="6757CD28"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Strong emphasis through national tech parks and state-backed incubators</w:t>
            </w:r>
          </w:p>
        </w:tc>
        <w:tc>
          <w:tcPr>
            <w:tcW w:w="2552" w:type="dxa"/>
            <w:vAlign w:val="center"/>
          </w:tcPr>
          <w:p w14:paraId="2E667629"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Structured through TLOs and support for applied research</w:t>
            </w:r>
          </w:p>
        </w:tc>
        <w:tc>
          <w:tcPr>
            <w:tcW w:w="2806" w:type="dxa"/>
            <w:vAlign w:val="center"/>
          </w:tcPr>
          <w:p w14:paraId="2BCFDBB0"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Emerging TTOs and limited commercialization programs</w:t>
            </w:r>
          </w:p>
        </w:tc>
      </w:tr>
      <w:tr w:rsidR="0018540F" w:rsidRPr="000E0481" w14:paraId="1901D472" w14:textId="77777777" w:rsidTr="0035414C">
        <w:trPr>
          <w:jc w:val="right"/>
        </w:trPr>
        <w:tc>
          <w:tcPr>
            <w:tcW w:w="1838" w:type="dxa"/>
            <w:vAlign w:val="center"/>
          </w:tcPr>
          <w:p w14:paraId="0669DE05"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Global Positioning</w:t>
            </w:r>
          </w:p>
        </w:tc>
        <w:tc>
          <w:tcPr>
            <w:tcW w:w="2126" w:type="dxa"/>
            <w:vAlign w:val="center"/>
          </w:tcPr>
          <w:p w14:paraId="2677086F"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Leading in AI, green tech, and high-tech manufacturing</w:t>
            </w:r>
          </w:p>
        </w:tc>
        <w:tc>
          <w:tcPr>
            <w:tcW w:w="2552" w:type="dxa"/>
            <w:vAlign w:val="center"/>
          </w:tcPr>
          <w:p w14:paraId="3F8B6104"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Global leadership in robotics and precision technologies</w:t>
            </w:r>
          </w:p>
        </w:tc>
        <w:tc>
          <w:tcPr>
            <w:tcW w:w="2806" w:type="dxa"/>
            <w:vAlign w:val="center"/>
          </w:tcPr>
          <w:p w14:paraId="6115B65C" w14:textId="77777777" w:rsidR="00600C79" w:rsidRPr="0018540F" w:rsidRDefault="00600C79" w:rsidP="0018540F">
            <w:pPr>
              <w:pStyle w:val="af"/>
              <w:rPr>
                <w:rFonts w:ascii="Times New Roman" w:hAnsi="Times New Roman" w:cs="Times New Roman"/>
                <w:sz w:val="28"/>
                <w:szCs w:val="28"/>
                <w:lang w:val="en-US"/>
              </w:rPr>
            </w:pPr>
            <w:r w:rsidRPr="0018540F">
              <w:rPr>
                <w:rFonts w:ascii="Times New Roman" w:hAnsi="Times New Roman" w:cs="Times New Roman"/>
                <w:sz w:val="28"/>
                <w:szCs w:val="28"/>
                <w:lang w:val="en-US"/>
              </w:rPr>
              <w:t>Seeking to position itself as an innovation hub for Central Asia</w:t>
            </w:r>
          </w:p>
        </w:tc>
      </w:tr>
      <w:tr w:rsidR="00600C79" w:rsidRPr="000E0481" w14:paraId="0A4AA57E" w14:textId="77777777" w:rsidTr="002F4189">
        <w:trPr>
          <w:trHeight w:val="443"/>
          <w:jc w:val="right"/>
        </w:trPr>
        <w:tc>
          <w:tcPr>
            <w:tcW w:w="9322" w:type="dxa"/>
            <w:gridSpan w:val="4"/>
            <w:vAlign w:val="center"/>
          </w:tcPr>
          <w:p w14:paraId="763FD7E7" w14:textId="581CCB96" w:rsidR="00600C79" w:rsidRPr="0018540F" w:rsidRDefault="006C0EBA" w:rsidP="0018540F">
            <w:pPr>
              <w:pStyle w:val="af"/>
              <w:rPr>
                <w:rFonts w:ascii="Times New Roman" w:hAnsi="Times New Roman" w:cs="Times New Roman"/>
                <w:sz w:val="28"/>
                <w:szCs w:val="28"/>
                <w:lang w:val="en-US"/>
              </w:rPr>
            </w:pPr>
            <w:r w:rsidRPr="00F7332B">
              <w:rPr>
                <w:rFonts w:ascii="Times New Roman" w:hAnsi="Times New Roman" w:cs="Times New Roman"/>
                <w:sz w:val="24"/>
                <w:szCs w:val="24"/>
                <w:lang w:val="en-US"/>
              </w:rPr>
              <w:t xml:space="preserve">         </w:t>
            </w:r>
            <w:r w:rsidR="0095613B" w:rsidRPr="0095613B">
              <w:rPr>
                <w:rFonts w:ascii="Times New Roman" w:hAnsi="Times New Roman" w:cs="Times New Roman"/>
                <w:sz w:val="24"/>
                <w:szCs w:val="24"/>
                <w:lang w:val="en-US"/>
              </w:rPr>
              <w:t xml:space="preserve"> </w:t>
            </w:r>
            <w:r w:rsidR="00600C79" w:rsidRPr="00F7332B">
              <w:rPr>
                <w:rFonts w:ascii="Times New Roman" w:hAnsi="Times New Roman" w:cs="Times New Roman"/>
                <w:sz w:val="24"/>
                <w:szCs w:val="24"/>
                <w:lang w:val="en-US"/>
              </w:rPr>
              <w:t>Note – Compiled by author based on [</w:t>
            </w:r>
            <w:r w:rsidR="00DC2862" w:rsidRPr="00F7332B">
              <w:rPr>
                <w:rFonts w:ascii="Times New Roman" w:hAnsi="Times New Roman" w:cs="Times New Roman"/>
                <w:sz w:val="24"/>
                <w:szCs w:val="24"/>
                <w:lang w:val="en-US"/>
              </w:rPr>
              <w:t>135-139</w:t>
            </w:r>
            <w:r w:rsidR="00600C79" w:rsidRPr="00F7332B">
              <w:rPr>
                <w:rFonts w:ascii="Times New Roman" w:hAnsi="Times New Roman" w:cs="Times New Roman"/>
                <w:sz w:val="24"/>
                <w:szCs w:val="24"/>
                <w:lang w:val="en-US"/>
              </w:rPr>
              <w:t>]</w:t>
            </w:r>
          </w:p>
        </w:tc>
      </w:tr>
    </w:tbl>
    <w:p w14:paraId="7EFE2E4F" w14:textId="77777777" w:rsidR="00EA1A42" w:rsidRDefault="00600C79" w:rsidP="00EA1A42">
      <w:pPr>
        <w:spacing w:after="0" w:line="240" w:lineRule="auto"/>
        <w:ind w:firstLine="720"/>
        <w:contextualSpacing/>
        <w:jc w:val="both"/>
        <w:rPr>
          <w:rFonts w:ascii="Times New Roman" w:hAnsi="Times New Roman" w:cs="Times New Roman"/>
          <w:sz w:val="28"/>
          <w:szCs w:val="28"/>
          <w:lang w:val="en-US"/>
        </w:rPr>
      </w:pPr>
      <w:r w:rsidRPr="005E0770">
        <w:rPr>
          <w:rFonts w:ascii="Times New Roman" w:hAnsi="Times New Roman" w:cs="Times New Roman"/>
          <w:sz w:val="28"/>
          <w:szCs w:val="28"/>
          <w:lang w:val="en-US"/>
        </w:rPr>
        <w:lastRenderedPageBreak/>
        <w:t xml:space="preserve">Table </w:t>
      </w:r>
      <w:r w:rsidR="00E10090" w:rsidRPr="005E0770">
        <w:rPr>
          <w:rFonts w:ascii="Times New Roman" w:hAnsi="Times New Roman" w:cs="Times New Roman"/>
          <w:sz w:val="28"/>
          <w:szCs w:val="28"/>
          <w:lang w:val="en-US"/>
        </w:rPr>
        <w:t>5</w:t>
      </w:r>
      <w:r w:rsidRPr="005E0770">
        <w:rPr>
          <w:rFonts w:ascii="Times New Roman" w:hAnsi="Times New Roman" w:cs="Times New Roman"/>
          <w:sz w:val="28"/>
          <w:szCs w:val="28"/>
          <w:lang w:val="en-US"/>
        </w:rPr>
        <w:t xml:space="preserve"> illustrates</w:t>
      </w:r>
      <w:r w:rsidRPr="00EE687E">
        <w:rPr>
          <w:rFonts w:ascii="Times New Roman" w:hAnsi="Times New Roman" w:cs="Times New Roman"/>
          <w:sz w:val="28"/>
          <w:szCs w:val="28"/>
          <w:lang w:val="en-US"/>
        </w:rPr>
        <w:t xml:space="preserve"> the opportunities available to Kazakhstan by adopting international practices. </w:t>
      </w:r>
      <w:r w:rsidRPr="00244343">
        <w:rPr>
          <w:rFonts w:ascii="Times New Roman" w:hAnsi="Times New Roman" w:cs="Times New Roman"/>
          <w:sz w:val="28"/>
          <w:szCs w:val="28"/>
          <w:lang w:val="en-US"/>
        </w:rPr>
        <w:t>Guidance for Kazakhstan based on foreign experience:</w:t>
      </w:r>
    </w:p>
    <w:p w14:paraId="00FC65FA" w14:textId="5DF19315" w:rsidR="00600C79" w:rsidRPr="00EA1A42" w:rsidRDefault="00600C79" w:rsidP="00E77D35">
      <w:pPr>
        <w:pStyle w:val="ad"/>
        <w:numPr>
          <w:ilvl w:val="0"/>
          <w:numId w:val="30"/>
        </w:numPr>
        <w:spacing w:after="0" w:line="240" w:lineRule="auto"/>
        <w:ind w:left="0" w:firstLine="709"/>
        <w:jc w:val="both"/>
        <w:rPr>
          <w:rFonts w:ascii="Times New Roman" w:hAnsi="Times New Roman" w:cs="Times New Roman"/>
          <w:sz w:val="28"/>
          <w:szCs w:val="28"/>
          <w:lang w:val="en-US"/>
        </w:rPr>
      </w:pPr>
      <w:r w:rsidRPr="00EA1A42">
        <w:rPr>
          <w:rFonts w:ascii="Times New Roman" w:hAnsi="Times New Roman" w:cs="Times New Roman"/>
          <w:sz w:val="28"/>
          <w:szCs w:val="28"/>
          <w:lang w:val="en-US"/>
        </w:rPr>
        <w:t>Increasing government support of startups: Inspired by China's governmental funding programs, Kazakhstan could establish a national fund to support high-tech companies. For creative projects, this fund could give loans, grants, or equity investments.</w:t>
      </w:r>
    </w:p>
    <w:p w14:paraId="6DE0CF9B" w14:textId="3789C87D" w:rsidR="00600C79" w:rsidRPr="00244343" w:rsidRDefault="00600C79" w:rsidP="00E77D35">
      <w:pPr>
        <w:pStyle w:val="ad"/>
        <w:numPr>
          <w:ilvl w:val="0"/>
          <w:numId w:val="30"/>
        </w:numPr>
        <w:spacing w:after="0" w:line="240" w:lineRule="auto"/>
        <w:ind w:left="0" w:firstLine="709"/>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Developing a Holistic Innovation Plan: Drawing inspiration from Japan's Integrated Innovation Strategy 2022, Kazakhstan should formulate a comprehensive long-term plan that unifies government, industry, and academia to address socioeconomic and technological issues, potentially designated as the "Kazakhstan 2050 Innovation Strategy."</w:t>
      </w:r>
    </w:p>
    <w:p w14:paraId="64895875" w14:textId="3283666A" w:rsidR="00600C79" w:rsidRPr="00244343" w:rsidRDefault="00600C79" w:rsidP="00E77D35">
      <w:pPr>
        <w:pStyle w:val="ad"/>
        <w:numPr>
          <w:ilvl w:val="0"/>
          <w:numId w:val="30"/>
        </w:numPr>
        <w:spacing w:after="0" w:line="240" w:lineRule="auto"/>
        <w:ind w:left="0" w:firstLine="709"/>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Enhancing Collaboration Between Universities and Industries: Japan's Global Startup Campus Initiative illustrates how organized settings can enhance research and commercialization. Kazakhstan should establish specialized innovation hubs adjacent to universities to strengthen the collaboration between academia and industry.</w:t>
      </w:r>
    </w:p>
    <w:p w14:paraId="04135C25" w14:textId="7AA14FE5" w:rsidR="00600C79" w:rsidRPr="00244343" w:rsidRDefault="00600C79" w:rsidP="00E77D35">
      <w:pPr>
        <w:pStyle w:val="ad"/>
        <w:numPr>
          <w:ilvl w:val="0"/>
          <w:numId w:val="30"/>
        </w:numPr>
        <w:spacing w:after="0" w:line="240" w:lineRule="auto"/>
        <w:ind w:left="0" w:firstLine="709"/>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Enhancing TTO and TLO Capacities: Kazakhstan might gain from organized training initiatives for TTO personnel and enhanced funding strategies for commercialization endeavors, emulating Japan's experience with TLOs.</w:t>
      </w:r>
    </w:p>
    <w:p w14:paraId="75C2B089" w14:textId="7302CBE7" w:rsidR="00600C79" w:rsidRPr="00244343" w:rsidRDefault="00600C79" w:rsidP="00E77D35">
      <w:pPr>
        <w:pStyle w:val="ad"/>
        <w:numPr>
          <w:ilvl w:val="0"/>
          <w:numId w:val="30"/>
        </w:numPr>
        <w:spacing w:after="0" w:line="240" w:lineRule="auto"/>
        <w:ind w:left="0" w:firstLine="709"/>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China's approach of turning metropolitan areas into high-tech hubs shows the opportunities for industrial renewal. Kazakhstan could designate urban or impoverished regions and transform them into technology and innovation hubs.</w:t>
      </w:r>
    </w:p>
    <w:p w14:paraId="48FB6158" w14:textId="45DA3AFB" w:rsidR="00600C79" w:rsidRPr="00244343" w:rsidRDefault="00600C79" w:rsidP="00E77D35">
      <w:pPr>
        <w:pStyle w:val="ad"/>
        <w:numPr>
          <w:ilvl w:val="0"/>
          <w:numId w:val="30"/>
        </w:numPr>
        <w:spacing w:after="0" w:line="240" w:lineRule="auto"/>
        <w:ind w:left="0" w:firstLine="709"/>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Public-Private Partnerships (PPP):</w:t>
      </w:r>
      <w:r w:rsidR="00D9420A">
        <w:rPr>
          <w:rFonts w:ascii="Times New Roman" w:hAnsi="Times New Roman" w:cs="Times New Roman"/>
          <w:sz w:val="28"/>
          <w:szCs w:val="28"/>
          <w:lang w:val="kk-KZ"/>
        </w:rPr>
        <w:t xml:space="preserve"> </w:t>
      </w:r>
      <w:r w:rsidRPr="00244343">
        <w:rPr>
          <w:rFonts w:ascii="Times New Roman" w:hAnsi="Times New Roman" w:cs="Times New Roman"/>
          <w:sz w:val="28"/>
          <w:szCs w:val="28"/>
          <w:lang w:val="en-US"/>
        </w:rPr>
        <w:t>Following Japan's public-private cooperation approach in innovation could help companies participate in research and development projects and lessen reliance on government support.</w:t>
      </w:r>
    </w:p>
    <w:p w14:paraId="6ED24442" w14:textId="77777777" w:rsidR="00600C79" w:rsidRPr="00D9420A" w:rsidRDefault="00600C79" w:rsidP="00600C79">
      <w:pPr>
        <w:spacing w:after="0" w:line="240" w:lineRule="auto"/>
        <w:ind w:firstLine="720"/>
        <w:contextualSpacing/>
        <w:jc w:val="both"/>
        <w:rPr>
          <w:rFonts w:ascii="Times New Roman" w:hAnsi="Times New Roman" w:cs="Times New Roman"/>
          <w:i/>
          <w:iCs/>
          <w:sz w:val="28"/>
          <w:szCs w:val="28"/>
          <w:lang w:val="en-US"/>
        </w:rPr>
      </w:pPr>
      <w:r w:rsidRPr="00D9420A">
        <w:rPr>
          <w:rFonts w:ascii="Times New Roman" w:hAnsi="Times New Roman" w:cs="Times New Roman"/>
          <w:i/>
          <w:iCs/>
          <w:sz w:val="28"/>
          <w:szCs w:val="28"/>
          <w:lang w:val="en-US"/>
        </w:rPr>
        <w:t xml:space="preserve">Financial incentives of foreign countries and Kazakhstan. </w:t>
      </w:r>
    </w:p>
    <w:p w14:paraId="13918945" w14:textId="2D5C0105"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economic growth of any state in the modern world necessitates the optimal utilization of innovative technologies, the extensive implementation of new technologies, and the enhancement of commercialization methods for scientific advancements by fostering innovative activity by integrating science, education, and business. Science serves as a fundamental driver of the economy in the world's leading nations. Ultimately, some countries lack natural resources yet rank among the largest economies globally, attributable only to their robust scientific capabilities and effective collaboration with the business sector [</w:t>
      </w:r>
      <w:r w:rsidR="00FA19A7">
        <w:rPr>
          <w:rFonts w:ascii="Times New Roman" w:eastAsia="Times New Roman" w:hAnsi="Times New Roman" w:cs="Times New Roman"/>
          <w:sz w:val="28"/>
          <w:szCs w:val="28"/>
          <w:lang w:val="en-US" w:eastAsia="ru-RU"/>
        </w:rPr>
        <w:t>145</w:t>
      </w:r>
      <w:r w:rsidRPr="00244343">
        <w:rPr>
          <w:rFonts w:ascii="Times New Roman" w:hAnsi="Times New Roman" w:cs="Times New Roman"/>
          <w:sz w:val="28"/>
          <w:szCs w:val="28"/>
          <w:lang w:val="en-US"/>
        </w:rPr>
        <w:t xml:space="preserve">]. </w:t>
      </w:r>
    </w:p>
    <w:p w14:paraId="514BE81E" w14:textId="11F60D06"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In recent years, Kazakhstan's financing for research and development (R&amp;D) has markedly risen. From 2024 to 2026, state financing for applied science has been raised to 476.9 billion tenges, with 211 billion tenges designated for program-targeted spending, 198 billion tenges for grant funding, and 67.9 billion tenges for the commercialization of research outcomes </w:t>
      </w:r>
      <w:proofErr w:type="spellStart"/>
      <w:r w:rsidRPr="00244343">
        <w:rPr>
          <w:rFonts w:ascii="Times New Roman" w:hAnsi="Times New Roman" w:cs="Times New Roman"/>
          <w:sz w:val="28"/>
          <w:szCs w:val="28"/>
          <w:lang w:val="en-US"/>
        </w:rPr>
        <w:t>Kazakshtan</w:t>
      </w:r>
      <w:proofErr w:type="spellEnd"/>
      <w:r w:rsidRPr="00244343">
        <w:rPr>
          <w:rFonts w:ascii="Times New Roman" w:hAnsi="Times New Roman" w:cs="Times New Roman"/>
          <w:sz w:val="28"/>
          <w:szCs w:val="28"/>
          <w:lang w:val="en-US"/>
        </w:rPr>
        <w:t xml:space="preserve"> [</w:t>
      </w:r>
      <w:r w:rsidR="00FA19A7">
        <w:rPr>
          <w:rFonts w:ascii="Times New Roman" w:eastAsia="Times New Roman" w:hAnsi="Times New Roman" w:cs="Times New Roman"/>
          <w:sz w:val="28"/>
          <w:szCs w:val="28"/>
          <w:lang w:val="en-US"/>
        </w:rPr>
        <w:t>146</w:t>
      </w:r>
      <w:r w:rsidRPr="00244343">
        <w:rPr>
          <w:rFonts w:ascii="Times New Roman" w:hAnsi="Times New Roman" w:cs="Times New Roman"/>
          <w:sz w:val="28"/>
          <w:szCs w:val="28"/>
          <w:lang w:val="en-US"/>
        </w:rPr>
        <w:t>].</w:t>
      </w:r>
    </w:p>
    <w:p w14:paraId="4F15EA43" w14:textId="5B71AABB" w:rsidR="003A0434" w:rsidRDefault="00600C79" w:rsidP="002F418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In Kazakhstan, the government is the primary source of research and development (R&amp;D) funding, providing 55% of the total. It is followed by the internal resources of scientific organizations, which contribute 40%. Other sources, such as foreign investment, borrowed funds, and enterprise funds, account for only 5% of R&amp;D funding [</w:t>
      </w:r>
      <w:r w:rsidR="00FA19A7">
        <w:rPr>
          <w:rFonts w:ascii="Times New Roman" w:eastAsia="Times New Roman" w:hAnsi="Times New Roman" w:cs="Times New Roman"/>
          <w:sz w:val="28"/>
          <w:szCs w:val="28"/>
          <w:lang w:val="en-US"/>
        </w:rPr>
        <w:t>147</w:t>
      </w:r>
      <w:r w:rsidRPr="00244343">
        <w:rPr>
          <w:rFonts w:ascii="Times New Roman" w:hAnsi="Times New Roman" w:cs="Times New Roman"/>
          <w:sz w:val="28"/>
          <w:szCs w:val="28"/>
          <w:lang w:val="en-US"/>
        </w:rPr>
        <w:t>].</w:t>
      </w:r>
    </w:p>
    <w:p w14:paraId="7424A3D2" w14:textId="16C8E595" w:rsidR="00600C79" w:rsidRDefault="00600C79" w:rsidP="006B3BA4">
      <w:pPr>
        <w:spacing w:after="0" w:line="240" w:lineRule="auto"/>
        <w:ind w:firstLine="720"/>
        <w:contextualSpacing/>
        <w:rPr>
          <w:rFonts w:ascii="Times New Roman" w:hAnsi="Times New Roman" w:cs="Times New Roman"/>
          <w:sz w:val="28"/>
          <w:szCs w:val="28"/>
          <w:lang w:val="en-US"/>
        </w:rPr>
      </w:pPr>
      <w:r w:rsidRPr="00244343">
        <w:rPr>
          <w:rFonts w:ascii="Times New Roman" w:hAnsi="Times New Roman" w:cs="Times New Roman"/>
          <w:sz w:val="28"/>
          <w:szCs w:val="28"/>
          <w:lang w:val="en-US"/>
        </w:rPr>
        <w:lastRenderedPageBreak/>
        <w:t xml:space="preserve">Table </w:t>
      </w:r>
      <w:r w:rsidR="00E10090">
        <w:rPr>
          <w:rFonts w:ascii="Times New Roman" w:hAnsi="Times New Roman" w:cs="Times New Roman"/>
          <w:sz w:val="28"/>
          <w:szCs w:val="28"/>
          <w:lang w:val="en-US"/>
        </w:rPr>
        <w:t>6</w:t>
      </w:r>
      <w:r w:rsidRPr="0024434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Summary of R&amp;D/Innovation incentives</w:t>
      </w:r>
    </w:p>
    <w:p w14:paraId="341C456B" w14:textId="77777777" w:rsidR="003A0434" w:rsidRPr="00244343" w:rsidRDefault="003A0434" w:rsidP="00600C79">
      <w:pPr>
        <w:spacing w:after="0" w:line="240" w:lineRule="auto"/>
        <w:ind w:firstLine="720"/>
        <w:contextualSpacing/>
        <w:jc w:val="center"/>
        <w:rPr>
          <w:rFonts w:ascii="Times New Roman" w:hAnsi="Times New Roman" w:cs="Times New Roman"/>
          <w:sz w:val="28"/>
          <w:szCs w:val="28"/>
          <w:lang w:val="en-US"/>
        </w:rPr>
      </w:pPr>
    </w:p>
    <w:tbl>
      <w:tblPr>
        <w:tblW w:w="9344" w:type="dxa"/>
        <w:tblLook w:val="04A0" w:firstRow="1" w:lastRow="0" w:firstColumn="1" w:lastColumn="0" w:noHBand="0" w:noVBand="1"/>
      </w:tblPr>
      <w:tblGrid>
        <w:gridCol w:w="2241"/>
        <w:gridCol w:w="1437"/>
        <w:gridCol w:w="885"/>
        <w:gridCol w:w="996"/>
        <w:gridCol w:w="1839"/>
        <w:gridCol w:w="880"/>
        <w:gridCol w:w="1066"/>
      </w:tblGrid>
      <w:tr w:rsidR="00600C79" w:rsidRPr="004730AE" w14:paraId="1218761B" w14:textId="77777777" w:rsidTr="00650D63">
        <w:trPr>
          <w:trHeight w:val="249"/>
        </w:trPr>
        <w:tc>
          <w:tcPr>
            <w:tcW w:w="2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4E613" w14:textId="77777777" w:rsidR="00600C79" w:rsidRPr="004730AE" w:rsidRDefault="00600C79" w:rsidP="004730AE">
            <w:pPr>
              <w:pStyle w:val="af"/>
              <w:rPr>
                <w:rFonts w:ascii="Times New Roman" w:hAnsi="Times New Roman" w:cs="Times New Roman"/>
                <w:sz w:val="28"/>
                <w:szCs w:val="28"/>
              </w:rPr>
            </w:pPr>
            <w:r w:rsidRPr="004730AE">
              <w:rPr>
                <w:rFonts w:ascii="Times New Roman" w:hAnsi="Times New Roman" w:cs="Times New Roman"/>
                <w:sz w:val="28"/>
                <w:szCs w:val="28"/>
                <w:lang w:val="en-US"/>
              </w:rPr>
              <w:t xml:space="preserve"> T</w:t>
            </w:r>
            <w:proofErr w:type="spellStart"/>
            <w:r w:rsidRPr="004730AE">
              <w:rPr>
                <w:rFonts w:ascii="Times New Roman" w:hAnsi="Times New Roman" w:cs="Times New Roman"/>
                <w:sz w:val="28"/>
                <w:szCs w:val="28"/>
              </w:rPr>
              <w:t>ypes</w:t>
            </w:r>
            <w:proofErr w:type="spellEnd"/>
            <w:r w:rsidRPr="004730AE">
              <w:rPr>
                <w:rFonts w:ascii="Times New Roman" w:hAnsi="Times New Roman" w:cs="Times New Roman"/>
                <w:sz w:val="28"/>
                <w:szCs w:val="28"/>
              </w:rPr>
              <w:t>/</w:t>
            </w:r>
            <w:proofErr w:type="spellStart"/>
            <w:r w:rsidRPr="004730AE">
              <w:rPr>
                <w:rFonts w:ascii="Times New Roman" w:hAnsi="Times New Roman" w:cs="Times New Roman"/>
                <w:sz w:val="28"/>
                <w:szCs w:val="28"/>
              </w:rPr>
              <w:t>countries</w:t>
            </w:r>
            <w:proofErr w:type="spellEnd"/>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14:paraId="7EAB4F59" w14:textId="77777777" w:rsidR="00600C79" w:rsidRPr="004730AE" w:rsidRDefault="00600C79" w:rsidP="004730AE">
            <w:pPr>
              <w:pStyle w:val="af"/>
              <w:rPr>
                <w:rFonts w:ascii="Times New Roman" w:hAnsi="Times New Roman" w:cs="Times New Roman"/>
                <w:sz w:val="28"/>
                <w:szCs w:val="28"/>
              </w:rPr>
            </w:pPr>
            <w:r w:rsidRPr="004730AE">
              <w:rPr>
                <w:rFonts w:ascii="Times New Roman" w:hAnsi="Times New Roman" w:cs="Times New Roman"/>
                <w:sz w:val="28"/>
                <w:szCs w:val="28"/>
              </w:rPr>
              <w:t>Japan</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D1011A1" w14:textId="77777777" w:rsidR="00600C79" w:rsidRPr="004730AE" w:rsidRDefault="00600C79" w:rsidP="004730AE">
            <w:pPr>
              <w:pStyle w:val="af"/>
              <w:rPr>
                <w:rFonts w:ascii="Times New Roman" w:hAnsi="Times New Roman" w:cs="Times New Roman"/>
                <w:sz w:val="28"/>
                <w:szCs w:val="28"/>
              </w:rPr>
            </w:pPr>
            <w:r w:rsidRPr="004730AE">
              <w:rPr>
                <w:rFonts w:ascii="Times New Roman" w:hAnsi="Times New Roman" w:cs="Times New Roman"/>
                <w:sz w:val="28"/>
                <w:szCs w:val="28"/>
              </w:rPr>
              <w:t xml:space="preserve">China </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3C81108D" w14:textId="77777777" w:rsidR="00600C79" w:rsidRPr="004730AE" w:rsidRDefault="00600C79" w:rsidP="004730AE">
            <w:pPr>
              <w:pStyle w:val="af"/>
              <w:rPr>
                <w:rFonts w:ascii="Times New Roman" w:hAnsi="Times New Roman" w:cs="Times New Roman"/>
                <w:sz w:val="28"/>
                <w:szCs w:val="28"/>
              </w:rPr>
            </w:pPr>
            <w:proofErr w:type="spellStart"/>
            <w:r w:rsidRPr="004730AE">
              <w:rPr>
                <w:rFonts w:ascii="Times New Roman" w:hAnsi="Times New Roman" w:cs="Times New Roman"/>
                <w:sz w:val="28"/>
                <w:szCs w:val="28"/>
              </w:rPr>
              <w:t>Italy</w:t>
            </w:r>
            <w:proofErr w:type="spellEnd"/>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3E64BA81" w14:textId="77777777" w:rsidR="00600C79" w:rsidRPr="004730AE" w:rsidRDefault="00600C79" w:rsidP="004730AE">
            <w:pPr>
              <w:pStyle w:val="af"/>
              <w:rPr>
                <w:rFonts w:ascii="Times New Roman" w:hAnsi="Times New Roman" w:cs="Times New Roman"/>
                <w:sz w:val="28"/>
                <w:szCs w:val="28"/>
              </w:rPr>
            </w:pPr>
            <w:proofErr w:type="spellStart"/>
            <w:r w:rsidRPr="004730AE">
              <w:rPr>
                <w:rFonts w:ascii="Times New Roman" w:hAnsi="Times New Roman" w:cs="Times New Roman"/>
                <w:sz w:val="28"/>
                <w:szCs w:val="28"/>
              </w:rPr>
              <w:t>Kazak</w:t>
            </w:r>
            <w:proofErr w:type="spellEnd"/>
            <w:r w:rsidRPr="004730AE">
              <w:rPr>
                <w:rFonts w:ascii="Times New Roman" w:hAnsi="Times New Roman" w:cs="Times New Roman"/>
                <w:sz w:val="28"/>
                <w:szCs w:val="28"/>
                <w:lang w:val="en-US"/>
              </w:rPr>
              <w:t>h</w:t>
            </w:r>
            <w:proofErr w:type="spellStart"/>
            <w:r w:rsidRPr="004730AE">
              <w:rPr>
                <w:rFonts w:ascii="Times New Roman" w:hAnsi="Times New Roman" w:cs="Times New Roman"/>
                <w:sz w:val="28"/>
                <w:szCs w:val="28"/>
              </w:rPr>
              <w:t>stan</w:t>
            </w:r>
            <w:proofErr w:type="spellEnd"/>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3953B311" w14:textId="77777777" w:rsidR="00600C79" w:rsidRPr="004730AE" w:rsidRDefault="00600C79" w:rsidP="004730AE">
            <w:pPr>
              <w:pStyle w:val="af"/>
              <w:rPr>
                <w:rFonts w:ascii="Times New Roman" w:hAnsi="Times New Roman" w:cs="Times New Roman"/>
                <w:sz w:val="28"/>
                <w:szCs w:val="28"/>
              </w:rPr>
            </w:pPr>
            <w:proofErr w:type="spellStart"/>
            <w:r w:rsidRPr="004730AE">
              <w:rPr>
                <w:rFonts w:ascii="Times New Roman" w:hAnsi="Times New Roman" w:cs="Times New Roman"/>
                <w:sz w:val="28"/>
                <w:szCs w:val="28"/>
              </w:rPr>
              <w:t>the</w:t>
            </w:r>
            <w:proofErr w:type="spellEnd"/>
            <w:r w:rsidRPr="004730AE">
              <w:rPr>
                <w:rFonts w:ascii="Times New Roman" w:hAnsi="Times New Roman" w:cs="Times New Roman"/>
                <w:sz w:val="28"/>
                <w:szCs w:val="28"/>
              </w:rPr>
              <w:t xml:space="preserve"> U.S</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5B096299" w14:textId="77777777" w:rsidR="00600C79" w:rsidRPr="004730AE" w:rsidRDefault="00600C79" w:rsidP="004730AE">
            <w:pPr>
              <w:pStyle w:val="af"/>
              <w:rPr>
                <w:rFonts w:ascii="Times New Roman" w:hAnsi="Times New Roman" w:cs="Times New Roman"/>
                <w:sz w:val="28"/>
                <w:szCs w:val="28"/>
              </w:rPr>
            </w:pPr>
            <w:r w:rsidRPr="004730AE">
              <w:rPr>
                <w:rFonts w:ascii="Times New Roman" w:hAnsi="Times New Roman" w:cs="Times New Roman"/>
                <w:sz w:val="28"/>
                <w:szCs w:val="28"/>
              </w:rPr>
              <w:t xml:space="preserve">Israel </w:t>
            </w:r>
          </w:p>
        </w:tc>
      </w:tr>
      <w:tr w:rsidR="00600C79" w:rsidRPr="00190C0E" w14:paraId="1846E98D" w14:textId="77777777" w:rsidTr="00650D63">
        <w:trPr>
          <w:trHeight w:val="748"/>
        </w:trPr>
        <w:tc>
          <w:tcPr>
            <w:tcW w:w="2243" w:type="dxa"/>
            <w:tcBorders>
              <w:top w:val="nil"/>
              <w:left w:val="single" w:sz="4" w:space="0" w:color="auto"/>
              <w:bottom w:val="single" w:sz="4" w:space="0" w:color="auto"/>
              <w:right w:val="single" w:sz="4" w:space="0" w:color="auto"/>
            </w:tcBorders>
            <w:shd w:val="clear" w:color="auto" w:fill="auto"/>
            <w:vAlign w:val="bottom"/>
            <w:hideMark/>
          </w:tcPr>
          <w:p w14:paraId="4F779A36" w14:textId="77777777" w:rsidR="00600C79" w:rsidRPr="004730AE" w:rsidRDefault="00600C79" w:rsidP="004730AE">
            <w:pPr>
              <w:pStyle w:val="af"/>
              <w:rPr>
                <w:rFonts w:ascii="Times New Roman" w:hAnsi="Times New Roman" w:cs="Times New Roman"/>
                <w:sz w:val="28"/>
                <w:szCs w:val="28"/>
                <w:lang w:val="en-US"/>
              </w:rPr>
            </w:pPr>
            <w:r w:rsidRPr="004730AE">
              <w:rPr>
                <w:rFonts w:ascii="Times New Roman" w:hAnsi="Times New Roman" w:cs="Times New Roman"/>
                <w:sz w:val="28"/>
                <w:szCs w:val="28"/>
                <w:lang w:val="en-US"/>
              </w:rPr>
              <w:t>Accelerated</w:t>
            </w:r>
            <w:r w:rsidRPr="004730AE">
              <w:rPr>
                <w:rFonts w:ascii="Times New Roman" w:hAnsi="Times New Roman" w:cs="Times New Roman"/>
                <w:sz w:val="28"/>
                <w:szCs w:val="28"/>
                <w:lang w:val="en-US"/>
              </w:rPr>
              <w:br/>
              <w:t>depreciation</w:t>
            </w:r>
            <w:r w:rsidRPr="004730AE">
              <w:rPr>
                <w:rFonts w:ascii="Times New Roman" w:hAnsi="Times New Roman" w:cs="Times New Roman"/>
                <w:sz w:val="28"/>
                <w:szCs w:val="28"/>
                <w:lang w:val="en-US"/>
              </w:rPr>
              <w:br/>
              <w:t>R&amp;D assets</w:t>
            </w:r>
          </w:p>
        </w:tc>
        <w:tc>
          <w:tcPr>
            <w:tcW w:w="1438" w:type="dxa"/>
            <w:tcBorders>
              <w:top w:val="nil"/>
              <w:left w:val="nil"/>
              <w:bottom w:val="single" w:sz="4" w:space="0" w:color="auto"/>
              <w:right w:val="single" w:sz="4" w:space="0" w:color="auto"/>
            </w:tcBorders>
            <w:shd w:val="clear" w:color="auto" w:fill="FFFFFF" w:themeFill="background1"/>
            <w:noWrap/>
            <w:vAlign w:val="bottom"/>
            <w:hideMark/>
          </w:tcPr>
          <w:p w14:paraId="3A63F07F" w14:textId="492AC46C" w:rsidR="00600C79" w:rsidRPr="004730AE" w:rsidRDefault="00600C79" w:rsidP="008F0F1A">
            <w:pPr>
              <w:pStyle w:val="af"/>
              <w:jc w:val="center"/>
              <w:rPr>
                <w:rFonts w:ascii="Times New Roman" w:hAnsi="Times New Roman" w:cs="Times New Roman"/>
                <w:sz w:val="28"/>
                <w:szCs w:val="28"/>
                <w:lang w:val="en-US"/>
              </w:rPr>
            </w:pP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270DFAAD" w14:textId="08BE4685" w:rsidR="00600C79" w:rsidRPr="004730AE" w:rsidRDefault="00600C79" w:rsidP="008F0F1A">
            <w:pPr>
              <w:pStyle w:val="af"/>
              <w:jc w:val="center"/>
              <w:rPr>
                <w:rFonts w:ascii="Times New Roman" w:hAnsi="Times New Roman" w:cs="Times New Roman"/>
                <w:sz w:val="28"/>
                <w:szCs w:val="28"/>
                <w:lang w:val="en-US"/>
              </w:rPr>
            </w:pPr>
          </w:p>
        </w:tc>
        <w:tc>
          <w:tcPr>
            <w:tcW w:w="996" w:type="dxa"/>
            <w:tcBorders>
              <w:top w:val="nil"/>
              <w:left w:val="nil"/>
              <w:bottom w:val="single" w:sz="4" w:space="0" w:color="auto"/>
              <w:right w:val="single" w:sz="4" w:space="0" w:color="auto"/>
            </w:tcBorders>
            <w:shd w:val="clear" w:color="auto" w:fill="FFFFFF" w:themeFill="background1"/>
            <w:noWrap/>
            <w:vAlign w:val="bottom"/>
            <w:hideMark/>
          </w:tcPr>
          <w:p w14:paraId="5E567DB6" w14:textId="06A40348" w:rsidR="00600C79" w:rsidRPr="004730AE" w:rsidRDefault="00600C79" w:rsidP="008F0F1A">
            <w:pPr>
              <w:pStyle w:val="af"/>
              <w:jc w:val="center"/>
              <w:rPr>
                <w:rFonts w:ascii="Times New Roman" w:hAnsi="Times New Roman" w:cs="Times New Roman"/>
                <w:sz w:val="28"/>
                <w:szCs w:val="28"/>
                <w:lang w:val="en-US"/>
              </w:rPr>
            </w:pPr>
          </w:p>
        </w:tc>
        <w:tc>
          <w:tcPr>
            <w:tcW w:w="1840" w:type="dxa"/>
            <w:tcBorders>
              <w:top w:val="nil"/>
              <w:left w:val="nil"/>
              <w:bottom w:val="single" w:sz="4" w:space="0" w:color="auto"/>
              <w:right w:val="single" w:sz="4" w:space="0" w:color="auto"/>
            </w:tcBorders>
            <w:shd w:val="clear" w:color="auto" w:fill="FFFFFF" w:themeFill="background1"/>
            <w:noWrap/>
            <w:vAlign w:val="bottom"/>
            <w:hideMark/>
          </w:tcPr>
          <w:p w14:paraId="3721982B" w14:textId="5D1EA604" w:rsidR="00600C79" w:rsidRPr="004730AE" w:rsidRDefault="008F0F1A" w:rsidP="008F0F1A">
            <w:pPr>
              <w:pStyle w:val="af"/>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1ED7766D" w14:textId="7BD3BE84" w:rsidR="00600C79" w:rsidRPr="004730AE" w:rsidRDefault="008F0F1A" w:rsidP="008F0F1A">
            <w:pPr>
              <w:pStyle w:val="af"/>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1067" w:type="dxa"/>
            <w:tcBorders>
              <w:top w:val="nil"/>
              <w:left w:val="nil"/>
              <w:bottom w:val="single" w:sz="4" w:space="0" w:color="auto"/>
              <w:right w:val="single" w:sz="4" w:space="0" w:color="auto"/>
            </w:tcBorders>
            <w:shd w:val="clear" w:color="auto" w:fill="FFFFFF" w:themeFill="background1"/>
            <w:noWrap/>
            <w:vAlign w:val="bottom"/>
            <w:hideMark/>
          </w:tcPr>
          <w:p w14:paraId="4AE6EE0B" w14:textId="0540D0B5" w:rsidR="00600C79" w:rsidRPr="004730AE" w:rsidRDefault="00600C79" w:rsidP="008F0F1A">
            <w:pPr>
              <w:pStyle w:val="af"/>
              <w:jc w:val="center"/>
              <w:rPr>
                <w:rFonts w:ascii="Times New Roman" w:hAnsi="Times New Roman" w:cs="Times New Roman"/>
                <w:sz w:val="28"/>
                <w:szCs w:val="28"/>
                <w:lang w:val="en-US"/>
              </w:rPr>
            </w:pPr>
          </w:p>
        </w:tc>
      </w:tr>
      <w:tr w:rsidR="00600C79" w:rsidRPr="004730AE" w14:paraId="0EAA45D6" w14:textId="77777777" w:rsidTr="00650D63">
        <w:trPr>
          <w:trHeight w:val="498"/>
        </w:trPr>
        <w:tc>
          <w:tcPr>
            <w:tcW w:w="2243" w:type="dxa"/>
            <w:tcBorders>
              <w:top w:val="nil"/>
              <w:left w:val="single" w:sz="4" w:space="0" w:color="auto"/>
              <w:bottom w:val="single" w:sz="4" w:space="0" w:color="auto"/>
              <w:right w:val="single" w:sz="4" w:space="0" w:color="auto"/>
            </w:tcBorders>
            <w:shd w:val="clear" w:color="auto" w:fill="auto"/>
            <w:vAlign w:val="bottom"/>
            <w:hideMark/>
          </w:tcPr>
          <w:p w14:paraId="737A799F" w14:textId="77777777" w:rsidR="00600C79" w:rsidRPr="004730AE" w:rsidRDefault="00600C79" w:rsidP="004730AE">
            <w:pPr>
              <w:pStyle w:val="af"/>
              <w:rPr>
                <w:rFonts w:ascii="Times New Roman" w:hAnsi="Times New Roman" w:cs="Times New Roman"/>
                <w:sz w:val="28"/>
                <w:szCs w:val="28"/>
                <w:lang w:val="en-US"/>
              </w:rPr>
            </w:pPr>
            <w:r w:rsidRPr="004730AE">
              <w:rPr>
                <w:rFonts w:ascii="Times New Roman" w:hAnsi="Times New Roman" w:cs="Times New Roman"/>
                <w:sz w:val="28"/>
                <w:szCs w:val="28"/>
                <w:lang w:val="en-US"/>
              </w:rPr>
              <w:t>Income tax withholding incentives</w:t>
            </w:r>
          </w:p>
        </w:tc>
        <w:tc>
          <w:tcPr>
            <w:tcW w:w="1438" w:type="dxa"/>
            <w:tcBorders>
              <w:top w:val="nil"/>
              <w:left w:val="nil"/>
              <w:bottom w:val="single" w:sz="4" w:space="0" w:color="auto"/>
              <w:right w:val="single" w:sz="4" w:space="0" w:color="auto"/>
            </w:tcBorders>
            <w:shd w:val="clear" w:color="auto" w:fill="FFFFFF" w:themeFill="background1"/>
            <w:noWrap/>
            <w:vAlign w:val="bottom"/>
            <w:hideMark/>
          </w:tcPr>
          <w:p w14:paraId="3C98B9D4" w14:textId="229361E2" w:rsidR="00600C79" w:rsidRPr="004730AE" w:rsidRDefault="00600C79" w:rsidP="008F0F1A">
            <w:pPr>
              <w:pStyle w:val="af"/>
              <w:jc w:val="center"/>
              <w:rPr>
                <w:rFonts w:ascii="Times New Roman" w:hAnsi="Times New Roman" w:cs="Times New Roman"/>
                <w:sz w:val="28"/>
                <w:szCs w:val="28"/>
                <w:lang w:val="en-US"/>
              </w:rPr>
            </w:pP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4A1DD79A" w14:textId="0B1EE270" w:rsidR="00600C79" w:rsidRPr="004730AE" w:rsidRDefault="00600C79" w:rsidP="008F0F1A">
            <w:pPr>
              <w:pStyle w:val="af"/>
              <w:jc w:val="center"/>
              <w:rPr>
                <w:rFonts w:ascii="Times New Roman" w:hAnsi="Times New Roman" w:cs="Times New Roman"/>
                <w:sz w:val="28"/>
                <w:szCs w:val="28"/>
              </w:rPr>
            </w:pPr>
          </w:p>
        </w:tc>
        <w:tc>
          <w:tcPr>
            <w:tcW w:w="996" w:type="dxa"/>
            <w:tcBorders>
              <w:top w:val="nil"/>
              <w:left w:val="nil"/>
              <w:bottom w:val="single" w:sz="4" w:space="0" w:color="auto"/>
              <w:right w:val="single" w:sz="4" w:space="0" w:color="auto"/>
            </w:tcBorders>
            <w:shd w:val="clear" w:color="auto" w:fill="FFFFFF" w:themeFill="background1"/>
            <w:noWrap/>
            <w:vAlign w:val="bottom"/>
            <w:hideMark/>
          </w:tcPr>
          <w:p w14:paraId="75E503C3" w14:textId="3AE1932B" w:rsidR="00600C79" w:rsidRPr="004730AE" w:rsidRDefault="00600C79" w:rsidP="008F0F1A">
            <w:pPr>
              <w:pStyle w:val="af"/>
              <w:jc w:val="center"/>
              <w:rPr>
                <w:rFonts w:ascii="Times New Roman" w:hAnsi="Times New Roman" w:cs="Times New Roman"/>
                <w:sz w:val="28"/>
                <w:szCs w:val="28"/>
              </w:rPr>
            </w:pPr>
          </w:p>
        </w:tc>
        <w:tc>
          <w:tcPr>
            <w:tcW w:w="1840" w:type="dxa"/>
            <w:tcBorders>
              <w:top w:val="nil"/>
              <w:left w:val="nil"/>
              <w:bottom w:val="single" w:sz="4" w:space="0" w:color="auto"/>
              <w:right w:val="single" w:sz="4" w:space="0" w:color="auto"/>
            </w:tcBorders>
            <w:shd w:val="clear" w:color="auto" w:fill="FFFFFF" w:themeFill="background1"/>
            <w:noWrap/>
            <w:vAlign w:val="bottom"/>
            <w:hideMark/>
          </w:tcPr>
          <w:p w14:paraId="6DCE415B" w14:textId="7AD7A019" w:rsidR="00600C79" w:rsidRPr="004730AE" w:rsidRDefault="00600C79" w:rsidP="008F0F1A">
            <w:pPr>
              <w:pStyle w:val="af"/>
              <w:jc w:val="center"/>
              <w:rPr>
                <w:rFonts w:ascii="Times New Roman" w:hAnsi="Times New Roman" w:cs="Times New Roman"/>
                <w:sz w:val="28"/>
                <w:szCs w:val="28"/>
              </w:rPr>
            </w:pP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1CAE2118" w14:textId="3D25EA39" w:rsidR="00600C79" w:rsidRPr="004730AE" w:rsidRDefault="00600C79" w:rsidP="008F0F1A">
            <w:pPr>
              <w:pStyle w:val="af"/>
              <w:jc w:val="center"/>
              <w:rPr>
                <w:rFonts w:ascii="Times New Roman" w:hAnsi="Times New Roman" w:cs="Times New Roman"/>
                <w:sz w:val="28"/>
                <w:szCs w:val="28"/>
              </w:rPr>
            </w:pPr>
          </w:p>
        </w:tc>
        <w:tc>
          <w:tcPr>
            <w:tcW w:w="1067" w:type="dxa"/>
            <w:tcBorders>
              <w:top w:val="nil"/>
              <w:left w:val="nil"/>
              <w:bottom w:val="single" w:sz="4" w:space="0" w:color="auto"/>
              <w:right w:val="single" w:sz="4" w:space="0" w:color="auto"/>
            </w:tcBorders>
            <w:shd w:val="clear" w:color="auto" w:fill="FFFFFF" w:themeFill="background1"/>
            <w:noWrap/>
            <w:vAlign w:val="bottom"/>
            <w:hideMark/>
          </w:tcPr>
          <w:p w14:paraId="5F3851E2" w14:textId="72977262" w:rsidR="00600C79" w:rsidRPr="008F0F1A" w:rsidRDefault="008F0F1A" w:rsidP="008F0F1A">
            <w:pPr>
              <w:pStyle w:val="af"/>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600C79" w:rsidRPr="004730AE" w14:paraId="0AE709A6" w14:textId="77777777" w:rsidTr="00650D63">
        <w:trPr>
          <w:trHeight w:val="249"/>
        </w:trPr>
        <w:tc>
          <w:tcPr>
            <w:tcW w:w="2243" w:type="dxa"/>
            <w:tcBorders>
              <w:top w:val="nil"/>
              <w:left w:val="single" w:sz="4" w:space="0" w:color="auto"/>
              <w:bottom w:val="single" w:sz="4" w:space="0" w:color="auto"/>
              <w:right w:val="single" w:sz="4" w:space="0" w:color="auto"/>
            </w:tcBorders>
            <w:shd w:val="clear" w:color="auto" w:fill="auto"/>
            <w:vAlign w:val="bottom"/>
            <w:hideMark/>
          </w:tcPr>
          <w:p w14:paraId="3545EA73" w14:textId="77777777" w:rsidR="00600C79" w:rsidRPr="004730AE" w:rsidRDefault="00600C79" w:rsidP="004730AE">
            <w:pPr>
              <w:pStyle w:val="af"/>
              <w:rPr>
                <w:rFonts w:ascii="Times New Roman" w:hAnsi="Times New Roman" w:cs="Times New Roman"/>
                <w:sz w:val="28"/>
                <w:szCs w:val="28"/>
                <w:lang w:val="en-US"/>
              </w:rPr>
            </w:pPr>
            <w:r w:rsidRPr="004730AE">
              <w:rPr>
                <w:rFonts w:ascii="Times New Roman" w:hAnsi="Times New Roman" w:cs="Times New Roman"/>
                <w:sz w:val="28"/>
                <w:szCs w:val="28"/>
                <w:lang w:val="en-US"/>
              </w:rPr>
              <w:t>Financial support</w:t>
            </w:r>
          </w:p>
        </w:tc>
        <w:tc>
          <w:tcPr>
            <w:tcW w:w="1438" w:type="dxa"/>
            <w:tcBorders>
              <w:top w:val="nil"/>
              <w:left w:val="nil"/>
              <w:bottom w:val="single" w:sz="4" w:space="0" w:color="auto"/>
              <w:right w:val="single" w:sz="4" w:space="0" w:color="auto"/>
            </w:tcBorders>
            <w:shd w:val="clear" w:color="auto" w:fill="FFFFFF" w:themeFill="background1"/>
            <w:noWrap/>
            <w:vAlign w:val="bottom"/>
            <w:hideMark/>
          </w:tcPr>
          <w:p w14:paraId="56401119" w14:textId="370C0619" w:rsidR="00600C79" w:rsidRPr="004730AE" w:rsidRDefault="00600C79" w:rsidP="008F0F1A">
            <w:pPr>
              <w:pStyle w:val="af"/>
              <w:jc w:val="center"/>
              <w:rPr>
                <w:rFonts w:ascii="Times New Roman" w:hAnsi="Times New Roman" w:cs="Times New Roman"/>
                <w:sz w:val="28"/>
                <w:szCs w:val="28"/>
                <w:lang w:val="en-US"/>
              </w:rPr>
            </w:pP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72DCC552" w14:textId="6352C785" w:rsidR="00600C79" w:rsidRPr="004730AE" w:rsidRDefault="00600C79" w:rsidP="008F0F1A">
            <w:pPr>
              <w:pStyle w:val="af"/>
              <w:jc w:val="center"/>
              <w:rPr>
                <w:rFonts w:ascii="Times New Roman" w:hAnsi="Times New Roman" w:cs="Times New Roman"/>
                <w:sz w:val="28"/>
                <w:szCs w:val="28"/>
              </w:rPr>
            </w:pPr>
          </w:p>
        </w:tc>
        <w:tc>
          <w:tcPr>
            <w:tcW w:w="996" w:type="dxa"/>
            <w:tcBorders>
              <w:top w:val="nil"/>
              <w:left w:val="nil"/>
              <w:bottom w:val="single" w:sz="4" w:space="0" w:color="auto"/>
              <w:right w:val="single" w:sz="4" w:space="0" w:color="auto"/>
            </w:tcBorders>
            <w:shd w:val="clear" w:color="auto" w:fill="FFFFFF" w:themeFill="background1"/>
            <w:noWrap/>
            <w:vAlign w:val="bottom"/>
            <w:hideMark/>
          </w:tcPr>
          <w:p w14:paraId="1A8AC172" w14:textId="79BD1C5E" w:rsidR="00600C79" w:rsidRPr="004730AE" w:rsidRDefault="00600C79" w:rsidP="008F0F1A">
            <w:pPr>
              <w:pStyle w:val="af"/>
              <w:jc w:val="center"/>
              <w:rPr>
                <w:rFonts w:ascii="Times New Roman" w:hAnsi="Times New Roman" w:cs="Times New Roman"/>
                <w:sz w:val="28"/>
                <w:szCs w:val="28"/>
              </w:rPr>
            </w:pPr>
          </w:p>
        </w:tc>
        <w:tc>
          <w:tcPr>
            <w:tcW w:w="1840" w:type="dxa"/>
            <w:tcBorders>
              <w:top w:val="nil"/>
              <w:left w:val="nil"/>
              <w:bottom w:val="single" w:sz="4" w:space="0" w:color="auto"/>
              <w:right w:val="single" w:sz="4" w:space="0" w:color="auto"/>
            </w:tcBorders>
            <w:shd w:val="clear" w:color="auto" w:fill="FFFFFF" w:themeFill="background1"/>
            <w:noWrap/>
            <w:vAlign w:val="bottom"/>
            <w:hideMark/>
          </w:tcPr>
          <w:p w14:paraId="582BE032" w14:textId="66F6474B" w:rsidR="00600C79" w:rsidRPr="004730AE" w:rsidRDefault="00600C79" w:rsidP="008F0F1A">
            <w:pPr>
              <w:pStyle w:val="af"/>
              <w:jc w:val="center"/>
              <w:rPr>
                <w:rFonts w:ascii="Times New Roman" w:hAnsi="Times New Roman" w:cs="Times New Roman"/>
                <w:sz w:val="28"/>
                <w:szCs w:val="28"/>
              </w:rPr>
            </w:pP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2644B755" w14:textId="1119FFE9" w:rsidR="00600C79" w:rsidRPr="004730AE" w:rsidRDefault="00600C79" w:rsidP="008F0F1A">
            <w:pPr>
              <w:pStyle w:val="af"/>
              <w:jc w:val="center"/>
              <w:rPr>
                <w:rFonts w:ascii="Times New Roman" w:hAnsi="Times New Roman" w:cs="Times New Roman"/>
                <w:sz w:val="28"/>
                <w:szCs w:val="28"/>
              </w:rPr>
            </w:pPr>
          </w:p>
        </w:tc>
        <w:tc>
          <w:tcPr>
            <w:tcW w:w="1067" w:type="dxa"/>
            <w:tcBorders>
              <w:top w:val="nil"/>
              <w:left w:val="nil"/>
              <w:bottom w:val="single" w:sz="4" w:space="0" w:color="auto"/>
              <w:right w:val="single" w:sz="4" w:space="0" w:color="auto"/>
            </w:tcBorders>
            <w:shd w:val="clear" w:color="auto" w:fill="FFFFFF" w:themeFill="background1"/>
            <w:noWrap/>
            <w:vAlign w:val="bottom"/>
            <w:hideMark/>
          </w:tcPr>
          <w:p w14:paraId="3539F133" w14:textId="2D7B4432" w:rsidR="00600C79" w:rsidRPr="008F0F1A" w:rsidRDefault="008F0F1A" w:rsidP="008F0F1A">
            <w:pPr>
              <w:pStyle w:val="af"/>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600C79" w:rsidRPr="004730AE" w14:paraId="60459531" w14:textId="77777777" w:rsidTr="00650D63">
        <w:trPr>
          <w:trHeight w:val="498"/>
        </w:trPr>
        <w:tc>
          <w:tcPr>
            <w:tcW w:w="2243" w:type="dxa"/>
            <w:tcBorders>
              <w:top w:val="nil"/>
              <w:left w:val="single" w:sz="4" w:space="0" w:color="auto"/>
              <w:bottom w:val="single" w:sz="4" w:space="0" w:color="auto"/>
              <w:right w:val="single" w:sz="4" w:space="0" w:color="auto"/>
            </w:tcBorders>
            <w:shd w:val="clear" w:color="auto" w:fill="auto"/>
            <w:vAlign w:val="bottom"/>
            <w:hideMark/>
          </w:tcPr>
          <w:p w14:paraId="5C69C9CB" w14:textId="77777777" w:rsidR="00600C79" w:rsidRPr="004730AE" w:rsidRDefault="00600C79" w:rsidP="004730AE">
            <w:pPr>
              <w:pStyle w:val="af"/>
              <w:rPr>
                <w:rFonts w:ascii="Times New Roman" w:hAnsi="Times New Roman" w:cs="Times New Roman"/>
                <w:sz w:val="28"/>
                <w:szCs w:val="28"/>
                <w:lang w:val="en-US"/>
              </w:rPr>
            </w:pPr>
            <w:r w:rsidRPr="004730AE">
              <w:rPr>
                <w:rFonts w:ascii="Times New Roman" w:hAnsi="Times New Roman" w:cs="Times New Roman"/>
                <w:sz w:val="28"/>
                <w:szCs w:val="28"/>
                <w:lang w:val="en-US"/>
              </w:rPr>
              <w:t>Patent-related</w:t>
            </w:r>
            <w:r w:rsidRPr="004730AE">
              <w:rPr>
                <w:rFonts w:ascii="Times New Roman" w:hAnsi="Times New Roman" w:cs="Times New Roman"/>
                <w:sz w:val="28"/>
                <w:szCs w:val="28"/>
                <w:lang w:val="en-US"/>
              </w:rPr>
              <w:br/>
              <w:t>incentive</w:t>
            </w:r>
          </w:p>
        </w:tc>
        <w:tc>
          <w:tcPr>
            <w:tcW w:w="1438" w:type="dxa"/>
            <w:tcBorders>
              <w:top w:val="nil"/>
              <w:left w:val="nil"/>
              <w:bottom w:val="single" w:sz="4" w:space="0" w:color="auto"/>
              <w:right w:val="single" w:sz="4" w:space="0" w:color="auto"/>
            </w:tcBorders>
            <w:shd w:val="clear" w:color="auto" w:fill="FFFFFF" w:themeFill="background1"/>
            <w:noWrap/>
            <w:vAlign w:val="bottom"/>
            <w:hideMark/>
          </w:tcPr>
          <w:p w14:paraId="616F5C31" w14:textId="6CF3EEA1" w:rsidR="00600C79" w:rsidRPr="004730AE" w:rsidRDefault="008F0F1A" w:rsidP="008F0F1A">
            <w:pPr>
              <w:pStyle w:val="af"/>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0830AFC7" w14:textId="651686BB" w:rsidR="00600C79" w:rsidRPr="004730AE" w:rsidRDefault="00600C79" w:rsidP="008F0F1A">
            <w:pPr>
              <w:pStyle w:val="af"/>
              <w:jc w:val="center"/>
              <w:rPr>
                <w:rFonts w:ascii="Times New Roman" w:hAnsi="Times New Roman" w:cs="Times New Roman"/>
                <w:sz w:val="28"/>
                <w:szCs w:val="28"/>
              </w:rPr>
            </w:pPr>
          </w:p>
        </w:tc>
        <w:tc>
          <w:tcPr>
            <w:tcW w:w="996" w:type="dxa"/>
            <w:tcBorders>
              <w:top w:val="nil"/>
              <w:left w:val="nil"/>
              <w:bottom w:val="single" w:sz="4" w:space="0" w:color="auto"/>
              <w:right w:val="single" w:sz="4" w:space="0" w:color="auto"/>
            </w:tcBorders>
            <w:shd w:val="clear" w:color="auto" w:fill="FFFFFF" w:themeFill="background1"/>
            <w:noWrap/>
            <w:vAlign w:val="bottom"/>
            <w:hideMark/>
          </w:tcPr>
          <w:p w14:paraId="4ED40EF4" w14:textId="2C3B91AC" w:rsidR="00600C79" w:rsidRPr="004730AE" w:rsidRDefault="008F0F1A" w:rsidP="008F0F1A">
            <w:pPr>
              <w:pStyle w:val="af"/>
              <w:jc w:val="center"/>
              <w:rPr>
                <w:rFonts w:ascii="Times New Roman" w:hAnsi="Times New Roman" w:cs="Times New Roman"/>
                <w:sz w:val="28"/>
                <w:szCs w:val="28"/>
              </w:rPr>
            </w:pPr>
            <w:r>
              <w:rPr>
                <w:rFonts w:ascii="Times New Roman" w:hAnsi="Times New Roman" w:cs="Times New Roman"/>
                <w:sz w:val="28"/>
                <w:szCs w:val="28"/>
                <w:lang w:val="en-US"/>
              </w:rPr>
              <w:t>+</w:t>
            </w:r>
          </w:p>
        </w:tc>
        <w:tc>
          <w:tcPr>
            <w:tcW w:w="1840" w:type="dxa"/>
            <w:tcBorders>
              <w:top w:val="nil"/>
              <w:left w:val="nil"/>
              <w:bottom w:val="single" w:sz="4" w:space="0" w:color="auto"/>
              <w:right w:val="single" w:sz="4" w:space="0" w:color="auto"/>
            </w:tcBorders>
            <w:shd w:val="clear" w:color="auto" w:fill="FFFFFF" w:themeFill="background1"/>
            <w:noWrap/>
            <w:vAlign w:val="bottom"/>
            <w:hideMark/>
          </w:tcPr>
          <w:p w14:paraId="384E802E" w14:textId="04502FE1" w:rsidR="00600C79" w:rsidRPr="004730AE" w:rsidRDefault="00600C79" w:rsidP="008F0F1A">
            <w:pPr>
              <w:pStyle w:val="af"/>
              <w:jc w:val="center"/>
              <w:rPr>
                <w:rFonts w:ascii="Times New Roman" w:hAnsi="Times New Roman" w:cs="Times New Roman"/>
                <w:sz w:val="28"/>
                <w:szCs w:val="28"/>
              </w:rPr>
            </w:pP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369840E0" w14:textId="13498DA7" w:rsidR="00600C79" w:rsidRPr="004730AE" w:rsidRDefault="00600C79" w:rsidP="008F0F1A">
            <w:pPr>
              <w:pStyle w:val="af"/>
              <w:jc w:val="center"/>
              <w:rPr>
                <w:rFonts w:ascii="Times New Roman" w:hAnsi="Times New Roman" w:cs="Times New Roman"/>
                <w:sz w:val="28"/>
                <w:szCs w:val="28"/>
              </w:rPr>
            </w:pPr>
          </w:p>
        </w:tc>
        <w:tc>
          <w:tcPr>
            <w:tcW w:w="1067" w:type="dxa"/>
            <w:tcBorders>
              <w:top w:val="nil"/>
              <w:left w:val="nil"/>
              <w:bottom w:val="single" w:sz="4" w:space="0" w:color="auto"/>
              <w:right w:val="single" w:sz="4" w:space="0" w:color="auto"/>
            </w:tcBorders>
            <w:shd w:val="clear" w:color="auto" w:fill="FFFFFF" w:themeFill="background1"/>
            <w:noWrap/>
            <w:vAlign w:val="bottom"/>
            <w:hideMark/>
          </w:tcPr>
          <w:p w14:paraId="09FD94E4" w14:textId="07CBFB04" w:rsidR="00600C79" w:rsidRPr="008F0F1A" w:rsidRDefault="008F0F1A" w:rsidP="008F0F1A">
            <w:pPr>
              <w:pStyle w:val="af"/>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600C79" w:rsidRPr="004730AE" w14:paraId="60AAFAE6" w14:textId="77777777" w:rsidTr="00650D63">
        <w:trPr>
          <w:trHeight w:val="498"/>
        </w:trPr>
        <w:tc>
          <w:tcPr>
            <w:tcW w:w="2243" w:type="dxa"/>
            <w:tcBorders>
              <w:top w:val="nil"/>
              <w:left w:val="single" w:sz="4" w:space="0" w:color="auto"/>
              <w:bottom w:val="single" w:sz="4" w:space="0" w:color="auto"/>
              <w:right w:val="single" w:sz="4" w:space="0" w:color="auto"/>
            </w:tcBorders>
            <w:shd w:val="clear" w:color="auto" w:fill="auto"/>
            <w:vAlign w:val="bottom"/>
            <w:hideMark/>
          </w:tcPr>
          <w:p w14:paraId="687952A3" w14:textId="77777777" w:rsidR="00600C79" w:rsidRPr="004730AE" w:rsidRDefault="00600C79" w:rsidP="004730AE">
            <w:pPr>
              <w:pStyle w:val="af"/>
              <w:rPr>
                <w:rFonts w:ascii="Times New Roman" w:hAnsi="Times New Roman" w:cs="Times New Roman"/>
                <w:sz w:val="28"/>
                <w:szCs w:val="28"/>
                <w:lang w:val="en-US"/>
              </w:rPr>
            </w:pPr>
            <w:r w:rsidRPr="004730AE">
              <w:rPr>
                <w:rFonts w:ascii="Times New Roman" w:hAnsi="Times New Roman" w:cs="Times New Roman"/>
                <w:sz w:val="28"/>
                <w:szCs w:val="28"/>
                <w:lang w:val="en-US"/>
              </w:rPr>
              <w:t>Reduced tax</w:t>
            </w:r>
            <w:r w:rsidRPr="004730AE">
              <w:rPr>
                <w:rFonts w:ascii="Times New Roman" w:hAnsi="Times New Roman" w:cs="Times New Roman"/>
                <w:sz w:val="28"/>
                <w:szCs w:val="28"/>
                <w:lang w:val="en-US"/>
              </w:rPr>
              <w:br/>
              <w:t>rates</w:t>
            </w:r>
          </w:p>
        </w:tc>
        <w:tc>
          <w:tcPr>
            <w:tcW w:w="1438" w:type="dxa"/>
            <w:tcBorders>
              <w:top w:val="nil"/>
              <w:left w:val="nil"/>
              <w:bottom w:val="single" w:sz="4" w:space="0" w:color="auto"/>
              <w:right w:val="single" w:sz="4" w:space="0" w:color="auto"/>
            </w:tcBorders>
            <w:shd w:val="clear" w:color="auto" w:fill="FFFFFF" w:themeFill="background1"/>
            <w:noWrap/>
            <w:vAlign w:val="bottom"/>
            <w:hideMark/>
          </w:tcPr>
          <w:p w14:paraId="11642F41" w14:textId="37697689" w:rsidR="00600C79" w:rsidRPr="004730AE" w:rsidRDefault="00600C79" w:rsidP="008F0F1A">
            <w:pPr>
              <w:pStyle w:val="af"/>
              <w:jc w:val="center"/>
              <w:rPr>
                <w:rFonts w:ascii="Times New Roman" w:hAnsi="Times New Roman" w:cs="Times New Roman"/>
                <w:sz w:val="28"/>
                <w:szCs w:val="28"/>
                <w:lang w:val="en-US"/>
              </w:rPr>
            </w:pP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4B7583A4" w14:textId="63F53471" w:rsidR="00600C79" w:rsidRPr="008F0F1A" w:rsidRDefault="008F0F1A" w:rsidP="008F0F1A">
            <w:pPr>
              <w:pStyle w:val="af"/>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996" w:type="dxa"/>
            <w:tcBorders>
              <w:top w:val="nil"/>
              <w:left w:val="nil"/>
              <w:bottom w:val="single" w:sz="4" w:space="0" w:color="auto"/>
              <w:right w:val="single" w:sz="4" w:space="0" w:color="auto"/>
            </w:tcBorders>
            <w:shd w:val="clear" w:color="auto" w:fill="FFFFFF" w:themeFill="background1"/>
            <w:noWrap/>
            <w:vAlign w:val="bottom"/>
            <w:hideMark/>
          </w:tcPr>
          <w:p w14:paraId="7647F8CD" w14:textId="50E9C89D" w:rsidR="00600C79" w:rsidRPr="004730AE" w:rsidRDefault="00600C79" w:rsidP="008F0F1A">
            <w:pPr>
              <w:pStyle w:val="af"/>
              <w:jc w:val="center"/>
              <w:rPr>
                <w:rFonts w:ascii="Times New Roman" w:hAnsi="Times New Roman" w:cs="Times New Roman"/>
                <w:sz w:val="28"/>
                <w:szCs w:val="28"/>
              </w:rPr>
            </w:pPr>
          </w:p>
        </w:tc>
        <w:tc>
          <w:tcPr>
            <w:tcW w:w="1840" w:type="dxa"/>
            <w:tcBorders>
              <w:top w:val="nil"/>
              <w:left w:val="nil"/>
              <w:bottom w:val="single" w:sz="4" w:space="0" w:color="auto"/>
              <w:right w:val="single" w:sz="4" w:space="0" w:color="auto"/>
            </w:tcBorders>
            <w:shd w:val="clear" w:color="auto" w:fill="FFFFFF" w:themeFill="background1"/>
            <w:noWrap/>
            <w:vAlign w:val="bottom"/>
            <w:hideMark/>
          </w:tcPr>
          <w:p w14:paraId="4220C297" w14:textId="33C208A7" w:rsidR="00600C79" w:rsidRPr="008F0F1A" w:rsidRDefault="008F0F1A" w:rsidP="008F0F1A">
            <w:pPr>
              <w:pStyle w:val="af"/>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7DD5E6E7" w14:textId="35D2AB70" w:rsidR="00600C79" w:rsidRPr="004730AE" w:rsidRDefault="00600C79" w:rsidP="008F0F1A">
            <w:pPr>
              <w:pStyle w:val="af"/>
              <w:jc w:val="center"/>
              <w:rPr>
                <w:rFonts w:ascii="Times New Roman" w:hAnsi="Times New Roman" w:cs="Times New Roman"/>
                <w:sz w:val="28"/>
                <w:szCs w:val="28"/>
              </w:rPr>
            </w:pPr>
          </w:p>
        </w:tc>
        <w:tc>
          <w:tcPr>
            <w:tcW w:w="1067" w:type="dxa"/>
            <w:tcBorders>
              <w:top w:val="nil"/>
              <w:left w:val="nil"/>
              <w:bottom w:val="single" w:sz="4" w:space="0" w:color="auto"/>
              <w:right w:val="single" w:sz="4" w:space="0" w:color="auto"/>
            </w:tcBorders>
            <w:shd w:val="clear" w:color="auto" w:fill="FFFFFF" w:themeFill="background1"/>
            <w:noWrap/>
            <w:vAlign w:val="bottom"/>
            <w:hideMark/>
          </w:tcPr>
          <w:p w14:paraId="12083A23" w14:textId="6E07A713" w:rsidR="00600C79" w:rsidRPr="008F0F1A" w:rsidRDefault="008F0F1A" w:rsidP="008F0F1A">
            <w:pPr>
              <w:pStyle w:val="af"/>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600C79" w:rsidRPr="004730AE" w14:paraId="1F77C084" w14:textId="77777777" w:rsidTr="00650D63">
        <w:trPr>
          <w:trHeight w:val="498"/>
        </w:trPr>
        <w:tc>
          <w:tcPr>
            <w:tcW w:w="2243" w:type="dxa"/>
            <w:tcBorders>
              <w:top w:val="nil"/>
              <w:left w:val="single" w:sz="4" w:space="0" w:color="auto"/>
              <w:bottom w:val="single" w:sz="4" w:space="0" w:color="auto"/>
              <w:right w:val="single" w:sz="4" w:space="0" w:color="auto"/>
            </w:tcBorders>
            <w:shd w:val="clear" w:color="auto" w:fill="auto"/>
            <w:vAlign w:val="bottom"/>
            <w:hideMark/>
          </w:tcPr>
          <w:p w14:paraId="1A682D83" w14:textId="77777777" w:rsidR="00600C79" w:rsidRPr="004730AE" w:rsidRDefault="00600C79" w:rsidP="004730AE">
            <w:pPr>
              <w:pStyle w:val="af"/>
              <w:rPr>
                <w:rFonts w:ascii="Times New Roman" w:hAnsi="Times New Roman" w:cs="Times New Roman"/>
                <w:sz w:val="28"/>
                <w:szCs w:val="28"/>
                <w:lang w:val="en-US"/>
              </w:rPr>
            </w:pPr>
            <w:r w:rsidRPr="004730AE">
              <w:rPr>
                <w:rFonts w:ascii="Times New Roman" w:hAnsi="Times New Roman" w:cs="Times New Roman"/>
                <w:sz w:val="28"/>
                <w:szCs w:val="28"/>
                <w:lang w:val="en-US"/>
              </w:rPr>
              <w:t>Tax base</w:t>
            </w:r>
            <w:r w:rsidRPr="004730AE">
              <w:rPr>
                <w:rFonts w:ascii="Times New Roman" w:hAnsi="Times New Roman" w:cs="Times New Roman"/>
                <w:sz w:val="28"/>
                <w:szCs w:val="28"/>
                <w:lang w:val="en-US"/>
              </w:rPr>
              <w:br/>
              <w:t>deduction</w:t>
            </w:r>
          </w:p>
        </w:tc>
        <w:tc>
          <w:tcPr>
            <w:tcW w:w="1438" w:type="dxa"/>
            <w:tcBorders>
              <w:top w:val="nil"/>
              <w:left w:val="nil"/>
              <w:bottom w:val="single" w:sz="4" w:space="0" w:color="auto"/>
              <w:right w:val="single" w:sz="4" w:space="0" w:color="auto"/>
            </w:tcBorders>
            <w:shd w:val="clear" w:color="auto" w:fill="FFFFFF" w:themeFill="background1"/>
            <w:noWrap/>
            <w:vAlign w:val="bottom"/>
            <w:hideMark/>
          </w:tcPr>
          <w:p w14:paraId="29A6B9E8" w14:textId="36A1775E" w:rsidR="00600C79" w:rsidRPr="004730AE" w:rsidRDefault="00600C79" w:rsidP="008F0F1A">
            <w:pPr>
              <w:pStyle w:val="af"/>
              <w:jc w:val="center"/>
              <w:rPr>
                <w:rFonts w:ascii="Times New Roman" w:hAnsi="Times New Roman" w:cs="Times New Roman"/>
                <w:sz w:val="28"/>
                <w:szCs w:val="28"/>
                <w:lang w:val="en-US"/>
              </w:rPr>
            </w:pP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7C36BF69" w14:textId="6B6D278A" w:rsidR="00600C79" w:rsidRPr="004730AE" w:rsidRDefault="008F0F1A" w:rsidP="008F0F1A">
            <w:pPr>
              <w:pStyle w:val="af"/>
              <w:jc w:val="center"/>
              <w:rPr>
                <w:rFonts w:ascii="Times New Roman" w:hAnsi="Times New Roman" w:cs="Times New Roman"/>
                <w:sz w:val="28"/>
                <w:szCs w:val="28"/>
              </w:rPr>
            </w:pPr>
            <w:r>
              <w:rPr>
                <w:rFonts w:ascii="Times New Roman" w:hAnsi="Times New Roman" w:cs="Times New Roman"/>
                <w:sz w:val="28"/>
                <w:szCs w:val="28"/>
                <w:lang w:val="en-US"/>
              </w:rPr>
              <w:t>+</w:t>
            </w:r>
          </w:p>
        </w:tc>
        <w:tc>
          <w:tcPr>
            <w:tcW w:w="996" w:type="dxa"/>
            <w:tcBorders>
              <w:top w:val="nil"/>
              <w:left w:val="nil"/>
              <w:bottom w:val="single" w:sz="4" w:space="0" w:color="auto"/>
              <w:right w:val="single" w:sz="4" w:space="0" w:color="auto"/>
            </w:tcBorders>
            <w:shd w:val="clear" w:color="auto" w:fill="FFFFFF" w:themeFill="background1"/>
            <w:noWrap/>
            <w:vAlign w:val="bottom"/>
            <w:hideMark/>
          </w:tcPr>
          <w:p w14:paraId="5B5A1FF2" w14:textId="5592C388" w:rsidR="00600C79" w:rsidRPr="008F0F1A" w:rsidRDefault="008F0F1A" w:rsidP="008F0F1A">
            <w:pPr>
              <w:pStyle w:val="af"/>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1840" w:type="dxa"/>
            <w:tcBorders>
              <w:top w:val="nil"/>
              <w:left w:val="nil"/>
              <w:bottom w:val="single" w:sz="4" w:space="0" w:color="auto"/>
              <w:right w:val="single" w:sz="4" w:space="0" w:color="auto"/>
            </w:tcBorders>
            <w:shd w:val="clear" w:color="auto" w:fill="FFFFFF" w:themeFill="background1"/>
            <w:noWrap/>
            <w:vAlign w:val="bottom"/>
            <w:hideMark/>
          </w:tcPr>
          <w:p w14:paraId="2B886A0C" w14:textId="7A640F8B" w:rsidR="00600C79" w:rsidRPr="004730AE" w:rsidRDefault="00600C79" w:rsidP="008F0F1A">
            <w:pPr>
              <w:pStyle w:val="af"/>
              <w:jc w:val="center"/>
              <w:rPr>
                <w:rFonts w:ascii="Times New Roman" w:hAnsi="Times New Roman" w:cs="Times New Roman"/>
                <w:sz w:val="28"/>
                <w:szCs w:val="28"/>
              </w:rPr>
            </w:pP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2B590DC0" w14:textId="6BB55136" w:rsidR="00600C79" w:rsidRPr="008F0F1A" w:rsidRDefault="008F0F1A" w:rsidP="008F0F1A">
            <w:pPr>
              <w:pStyle w:val="af"/>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1067" w:type="dxa"/>
            <w:tcBorders>
              <w:top w:val="nil"/>
              <w:left w:val="nil"/>
              <w:bottom w:val="single" w:sz="4" w:space="0" w:color="auto"/>
              <w:right w:val="single" w:sz="4" w:space="0" w:color="auto"/>
            </w:tcBorders>
            <w:shd w:val="clear" w:color="auto" w:fill="FFFFFF" w:themeFill="background1"/>
            <w:noWrap/>
            <w:vAlign w:val="bottom"/>
            <w:hideMark/>
          </w:tcPr>
          <w:p w14:paraId="12714BDB" w14:textId="25F97F6D" w:rsidR="00600C79" w:rsidRPr="008F0F1A" w:rsidRDefault="008F0F1A" w:rsidP="008F0F1A">
            <w:pPr>
              <w:pStyle w:val="af"/>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600C79" w:rsidRPr="004730AE" w14:paraId="0AD775AA" w14:textId="77777777" w:rsidTr="00650D63">
        <w:trPr>
          <w:trHeight w:val="249"/>
        </w:trPr>
        <w:tc>
          <w:tcPr>
            <w:tcW w:w="2243" w:type="dxa"/>
            <w:tcBorders>
              <w:top w:val="nil"/>
              <w:left w:val="single" w:sz="4" w:space="0" w:color="auto"/>
              <w:bottom w:val="single" w:sz="4" w:space="0" w:color="auto"/>
              <w:right w:val="single" w:sz="4" w:space="0" w:color="auto"/>
            </w:tcBorders>
            <w:shd w:val="clear" w:color="auto" w:fill="auto"/>
            <w:noWrap/>
            <w:vAlign w:val="bottom"/>
            <w:hideMark/>
          </w:tcPr>
          <w:p w14:paraId="50214505" w14:textId="77777777" w:rsidR="00600C79" w:rsidRPr="004730AE" w:rsidRDefault="00600C79" w:rsidP="004730AE">
            <w:pPr>
              <w:pStyle w:val="af"/>
              <w:rPr>
                <w:rFonts w:ascii="Times New Roman" w:hAnsi="Times New Roman" w:cs="Times New Roman"/>
                <w:sz w:val="28"/>
                <w:szCs w:val="28"/>
                <w:lang w:val="en-US"/>
              </w:rPr>
            </w:pPr>
            <w:r w:rsidRPr="004730AE">
              <w:rPr>
                <w:rFonts w:ascii="Times New Roman" w:hAnsi="Times New Roman" w:cs="Times New Roman"/>
                <w:sz w:val="28"/>
                <w:szCs w:val="28"/>
                <w:lang w:val="en-US"/>
              </w:rPr>
              <w:t>Tax credit</w:t>
            </w:r>
          </w:p>
        </w:tc>
        <w:tc>
          <w:tcPr>
            <w:tcW w:w="1438" w:type="dxa"/>
            <w:tcBorders>
              <w:top w:val="nil"/>
              <w:left w:val="nil"/>
              <w:bottom w:val="single" w:sz="4" w:space="0" w:color="auto"/>
              <w:right w:val="single" w:sz="4" w:space="0" w:color="auto"/>
            </w:tcBorders>
            <w:shd w:val="clear" w:color="auto" w:fill="FFFFFF" w:themeFill="background1"/>
            <w:noWrap/>
            <w:vAlign w:val="bottom"/>
            <w:hideMark/>
          </w:tcPr>
          <w:p w14:paraId="2761AC15" w14:textId="6F9A4758" w:rsidR="00600C79" w:rsidRPr="004730AE" w:rsidRDefault="008F0F1A" w:rsidP="008F0F1A">
            <w:pPr>
              <w:pStyle w:val="af"/>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69135E3E" w14:textId="0CAFF781" w:rsidR="00600C79" w:rsidRPr="004730AE" w:rsidRDefault="00600C79" w:rsidP="008F0F1A">
            <w:pPr>
              <w:pStyle w:val="af"/>
              <w:jc w:val="center"/>
              <w:rPr>
                <w:rFonts w:ascii="Times New Roman" w:hAnsi="Times New Roman" w:cs="Times New Roman"/>
                <w:sz w:val="28"/>
                <w:szCs w:val="28"/>
              </w:rPr>
            </w:pPr>
          </w:p>
        </w:tc>
        <w:tc>
          <w:tcPr>
            <w:tcW w:w="996" w:type="dxa"/>
            <w:tcBorders>
              <w:top w:val="nil"/>
              <w:left w:val="nil"/>
              <w:bottom w:val="single" w:sz="4" w:space="0" w:color="auto"/>
              <w:right w:val="single" w:sz="4" w:space="0" w:color="auto"/>
            </w:tcBorders>
            <w:shd w:val="clear" w:color="auto" w:fill="FFFFFF" w:themeFill="background1"/>
            <w:noWrap/>
            <w:vAlign w:val="bottom"/>
            <w:hideMark/>
          </w:tcPr>
          <w:p w14:paraId="27136EB4" w14:textId="55B6BF24" w:rsidR="00600C79" w:rsidRPr="008F0F1A" w:rsidRDefault="008F0F1A" w:rsidP="008F0F1A">
            <w:pPr>
              <w:pStyle w:val="af"/>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1840" w:type="dxa"/>
            <w:tcBorders>
              <w:top w:val="nil"/>
              <w:left w:val="nil"/>
              <w:bottom w:val="single" w:sz="4" w:space="0" w:color="auto"/>
              <w:right w:val="single" w:sz="4" w:space="0" w:color="auto"/>
            </w:tcBorders>
            <w:shd w:val="clear" w:color="auto" w:fill="FFFFFF" w:themeFill="background1"/>
            <w:noWrap/>
            <w:vAlign w:val="bottom"/>
            <w:hideMark/>
          </w:tcPr>
          <w:p w14:paraId="2F8AC4BC" w14:textId="5ECFB985" w:rsidR="00600C79" w:rsidRPr="004730AE" w:rsidRDefault="00600C79" w:rsidP="008F0F1A">
            <w:pPr>
              <w:pStyle w:val="af"/>
              <w:jc w:val="center"/>
              <w:rPr>
                <w:rFonts w:ascii="Times New Roman" w:hAnsi="Times New Roman" w:cs="Times New Roman"/>
                <w:sz w:val="28"/>
                <w:szCs w:val="28"/>
              </w:rPr>
            </w:pP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79AA35DD" w14:textId="620CFD4E" w:rsidR="00600C79" w:rsidRPr="008F0F1A" w:rsidRDefault="008F0F1A" w:rsidP="008F0F1A">
            <w:pPr>
              <w:pStyle w:val="af"/>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1067" w:type="dxa"/>
            <w:tcBorders>
              <w:top w:val="nil"/>
              <w:left w:val="nil"/>
              <w:bottom w:val="single" w:sz="4" w:space="0" w:color="auto"/>
              <w:right w:val="single" w:sz="4" w:space="0" w:color="auto"/>
            </w:tcBorders>
            <w:shd w:val="clear" w:color="auto" w:fill="FFFFFF" w:themeFill="background1"/>
            <w:noWrap/>
            <w:vAlign w:val="bottom"/>
            <w:hideMark/>
          </w:tcPr>
          <w:p w14:paraId="11E149C3" w14:textId="275E78F2" w:rsidR="00600C79" w:rsidRPr="004730AE" w:rsidRDefault="00600C79" w:rsidP="008F0F1A">
            <w:pPr>
              <w:pStyle w:val="af"/>
              <w:jc w:val="center"/>
              <w:rPr>
                <w:rFonts w:ascii="Times New Roman" w:hAnsi="Times New Roman" w:cs="Times New Roman"/>
                <w:sz w:val="28"/>
                <w:szCs w:val="28"/>
              </w:rPr>
            </w:pPr>
          </w:p>
        </w:tc>
      </w:tr>
      <w:tr w:rsidR="00600C79" w:rsidRPr="004730AE" w14:paraId="405A70A4" w14:textId="77777777" w:rsidTr="00650D63">
        <w:trPr>
          <w:trHeight w:val="249"/>
        </w:trPr>
        <w:tc>
          <w:tcPr>
            <w:tcW w:w="2243" w:type="dxa"/>
            <w:tcBorders>
              <w:top w:val="nil"/>
              <w:left w:val="single" w:sz="4" w:space="0" w:color="auto"/>
              <w:bottom w:val="single" w:sz="4" w:space="0" w:color="auto"/>
              <w:right w:val="single" w:sz="4" w:space="0" w:color="auto"/>
            </w:tcBorders>
            <w:shd w:val="clear" w:color="auto" w:fill="auto"/>
            <w:noWrap/>
            <w:vAlign w:val="bottom"/>
            <w:hideMark/>
          </w:tcPr>
          <w:p w14:paraId="06C9BA9A" w14:textId="77777777" w:rsidR="00600C79" w:rsidRPr="004730AE" w:rsidRDefault="00600C79" w:rsidP="004730AE">
            <w:pPr>
              <w:pStyle w:val="af"/>
              <w:rPr>
                <w:rFonts w:ascii="Times New Roman" w:hAnsi="Times New Roman" w:cs="Times New Roman"/>
                <w:sz w:val="28"/>
                <w:szCs w:val="28"/>
                <w:lang w:val="en-US"/>
              </w:rPr>
            </w:pPr>
            <w:r w:rsidRPr="004730AE">
              <w:rPr>
                <w:rFonts w:ascii="Times New Roman" w:hAnsi="Times New Roman" w:cs="Times New Roman"/>
                <w:sz w:val="28"/>
                <w:szCs w:val="28"/>
                <w:lang w:val="en-US"/>
              </w:rPr>
              <w:t>Tax exemption</w:t>
            </w:r>
          </w:p>
        </w:tc>
        <w:tc>
          <w:tcPr>
            <w:tcW w:w="1438" w:type="dxa"/>
            <w:tcBorders>
              <w:top w:val="nil"/>
              <w:left w:val="nil"/>
              <w:bottom w:val="single" w:sz="4" w:space="0" w:color="auto"/>
              <w:right w:val="single" w:sz="4" w:space="0" w:color="auto"/>
            </w:tcBorders>
            <w:shd w:val="clear" w:color="auto" w:fill="FFFFFF" w:themeFill="background1"/>
            <w:noWrap/>
            <w:vAlign w:val="bottom"/>
            <w:hideMark/>
          </w:tcPr>
          <w:p w14:paraId="04085022" w14:textId="6E52AD0F" w:rsidR="00600C79" w:rsidRPr="004730AE" w:rsidRDefault="00600C79" w:rsidP="008F0F1A">
            <w:pPr>
              <w:pStyle w:val="af"/>
              <w:jc w:val="center"/>
              <w:rPr>
                <w:rFonts w:ascii="Times New Roman" w:hAnsi="Times New Roman" w:cs="Times New Roman"/>
                <w:sz w:val="28"/>
                <w:szCs w:val="28"/>
                <w:lang w:val="en-US"/>
              </w:rPr>
            </w:pP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4DF6E5F1" w14:textId="74C60DC9" w:rsidR="00600C79" w:rsidRPr="008F0F1A" w:rsidRDefault="008F0F1A" w:rsidP="008F0F1A">
            <w:pPr>
              <w:pStyle w:val="af"/>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996" w:type="dxa"/>
            <w:tcBorders>
              <w:top w:val="nil"/>
              <w:left w:val="nil"/>
              <w:bottom w:val="single" w:sz="4" w:space="0" w:color="auto"/>
              <w:right w:val="single" w:sz="4" w:space="0" w:color="auto"/>
            </w:tcBorders>
            <w:shd w:val="clear" w:color="auto" w:fill="FFFFFF" w:themeFill="background1"/>
            <w:noWrap/>
            <w:vAlign w:val="bottom"/>
            <w:hideMark/>
          </w:tcPr>
          <w:p w14:paraId="13E0343B" w14:textId="6D0BC33D" w:rsidR="00600C79" w:rsidRPr="004730AE" w:rsidRDefault="00600C79" w:rsidP="008F0F1A">
            <w:pPr>
              <w:pStyle w:val="af"/>
              <w:jc w:val="center"/>
              <w:rPr>
                <w:rFonts w:ascii="Times New Roman" w:hAnsi="Times New Roman" w:cs="Times New Roman"/>
                <w:sz w:val="28"/>
                <w:szCs w:val="28"/>
              </w:rPr>
            </w:pPr>
          </w:p>
        </w:tc>
        <w:tc>
          <w:tcPr>
            <w:tcW w:w="1840" w:type="dxa"/>
            <w:tcBorders>
              <w:top w:val="nil"/>
              <w:left w:val="nil"/>
              <w:bottom w:val="single" w:sz="4" w:space="0" w:color="auto"/>
              <w:right w:val="single" w:sz="4" w:space="0" w:color="auto"/>
            </w:tcBorders>
            <w:shd w:val="clear" w:color="auto" w:fill="FFFFFF" w:themeFill="background1"/>
            <w:noWrap/>
            <w:vAlign w:val="bottom"/>
            <w:hideMark/>
          </w:tcPr>
          <w:p w14:paraId="1B408192" w14:textId="774DF8A9" w:rsidR="00600C79" w:rsidRPr="008F0F1A" w:rsidRDefault="008F0F1A" w:rsidP="008F0F1A">
            <w:pPr>
              <w:pStyle w:val="af"/>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14B7721E" w14:textId="05497531" w:rsidR="00600C79" w:rsidRPr="004730AE" w:rsidRDefault="00600C79" w:rsidP="008F0F1A">
            <w:pPr>
              <w:pStyle w:val="af"/>
              <w:jc w:val="center"/>
              <w:rPr>
                <w:rFonts w:ascii="Times New Roman" w:hAnsi="Times New Roman" w:cs="Times New Roman"/>
                <w:sz w:val="28"/>
                <w:szCs w:val="28"/>
              </w:rPr>
            </w:pPr>
          </w:p>
        </w:tc>
        <w:tc>
          <w:tcPr>
            <w:tcW w:w="1067" w:type="dxa"/>
            <w:tcBorders>
              <w:top w:val="nil"/>
              <w:left w:val="nil"/>
              <w:bottom w:val="single" w:sz="4" w:space="0" w:color="auto"/>
              <w:right w:val="single" w:sz="4" w:space="0" w:color="auto"/>
            </w:tcBorders>
            <w:shd w:val="clear" w:color="auto" w:fill="FFFFFF" w:themeFill="background1"/>
            <w:noWrap/>
            <w:vAlign w:val="bottom"/>
            <w:hideMark/>
          </w:tcPr>
          <w:p w14:paraId="5CA1A597" w14:textId="6E218DC6" w:rsidR="00600C79" w:rsidRPr="004730AE" w:rsidRDefault="00600C79" w:rsidP="008F0F1A">
            <w:pPr>
              <w:pStyle w:val="af"/>
              <w:jc w:val="center"/>
              <w:rPr>
                <w:rFonts w:ascii="Times New Roman" w:hAnsi="Times New Roman" w:cs="Times New Roman"/>
                <w:sz w:val="28"/>
                <w:szCs w:val="28"/>
              </w:rPr>
            </w:pPr>
          </w:p>
        </w:tc>
      </w:tr>
      <w:tr w:rsidR="00600C79" w:rsidRPr="004730AE" w14:paraId="789BEE2C" w14:textId="77777777" w:rsidTr="00650D63">
        <w:trPr>
          <w:trHeight w:val="249"/>
        </w:trPr>
        <w:tc>
          <w:tcPr>
            <w:tcW w:w="2243" w:type="dxa"/>
            <w:tcBorders>
              <w:top w:val="nil"/>
              <w:left w:val="single" w:sz="4" w:space="0" w:color="auto"/>
              <w:bottom w:val="single" w:sz="4" w:space="0" w:color="auto"/>
              <w:right w:val="single" w:sz="4" w:space="0" w:color="auto"/>
            </w:tcBorders>
            <w:shd w:val="clear" w:color="auto" w:fill="auto"/>
            <w:noWrap/>
            <w:vAlign w:val="bottom"/>
            <w:hideMark/>
          </w:tcPr>
          <w:p w14:paraId="68A014CC" w14:textId="77777777" w:rsidR="00600C79" w:rsidRPr="004730AE" w:rsidRDefault="00600C79" w:rsidP="004730AE">
            <w:pPr>
              <w:pStyle w:val="af"/>
              <w:rPr>
                <w:rFonts w:ascii="Times New Roman" w:hAnsi="Times New Roman" w:cs="Times New Roman"/>
                <w:sz w:val="28"/>
                <w:szCs w:val="28"/>
                <w:lang w:val="en-US"/>
              </w:rPr>
            </w:pPr>
            <w:r w:rsidRPr="004730AE">
              <w:rPr>
                <w:rFonts w:ascii="Times New Roman" w:hAnsi="Times New Roman" w:cs="Times New Roman"/>
                <w:sz w:val="28"/>
                <w:szCs w:val="28"/>
                <w:lang w:val="en-US"/>
              </w:rPr>
              <w:t>Tax holiday</w:t>
            </w:r>
          </w:p>
        </w:tc>
        <w:tc>
          <w:tcPr>
            <w:tcW w:w="1438" w:type="dxa"/>
            <w:tcBorders>
              <w:top w:val="nil"/>
              <w:left w:val="nil"/>
              <w:bottom w:val="single" w:sz="4" w:space="0" w:color="auto"/>
              <w:right w:val="single" w:sz="4" w:space="0" w:color="auto"/>
            </w:tcBorders>
            <w:shd w:val="clear" w:color="auto" w:fill="FFFFFF" w:themeFill="background1"/>
            <w:noWrap/>
            <w:vAlign w:val="bottom"/>
            <w:hideMark/>
          </w:tcPr>
          <w:p w14:paraId="604AD26A" w14:textId="1848CEE2" w:rsidR="00600C79" w:rsidRPr="004730AE" w:rsidRDefault="00600C79" w:rsidP="008F0F1A">
            <w:pPr>
              <w:pStyle w:val="af"/>
              <w:jc w:val="center"/>
              <w:rPr>
                <w:rFonts w:ascii="Times New Roman" w:hAnsi="Times New Roman" w:cs="Times New Roman"/>
                <w:sz w:val="28"/>
                <w:szCs w:val="28"/>
                <w:lang w:val="en-US"/>
              </w:rPr>
            </w:pP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31771376" w14:textId="3C356195" w:rsidR="00600C79" w:rsidRPr="008F0F1A" w:rsidRDefault="008F0F1A" w:rsidP="008F0F1A">
            <w:pPr>
              <w:pStyle w:val="af"/>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996" w:type="dxa"/>
            <w:tcBorders>
              <w:top w:val="nil"/>
              <w:left w:val="nil"/>
              <w:bottom w:val="single" w:sz="4" w:space="0" w:color="auto"/>
              <w:right w:val="single" w:sz="4" w:space="0" w:color="auto"/>
            </w:tcBorders>
            <w:shd w:val="clear" w:color="auto" w:fill="FFFFFF" w:themeFill="background1"/>
            <w:noWrap/>
            <w:vAlign w:val="bottom"/>
            <w:hideMark/>
          </w:tcPr>
          <w:p w14:paraId="40325F5F" w14:textId="66ED74C8" w:rsidR="00600C79" w:rsidRPr="004730AE" w:rsidRDefault="00600C79" w:rsidP="008F0F1A">
            <w:pPr>
              <w:pStyle w:val="af"/>
              <w:jc w:val="center"/>
              <w:rPr>
                <w:rFonts w:ascii="Times New Roman" w:hAnsi="Times New Roman" w:cs="Times New Roman"/>
                <w:sz w:val="28"/>
                <w:szCs w:val="28"/>
              </w:rPr>
            </w:pPr>
          </w:p>
        </w:tc>
        <w:tc>
          <w:tcPr>
            <w:tcW w:w="1840" w:type="dxa"/>
            <w:tcBorders>
              <w:top w:val="nil"/>
              <w:left w:val="nil"/>
              <w:bottom w:val="single" w:sz="4" w:space="0" w:color="auto"/>
              <w:right w:val="single" w:sz="4" w:space="0" w:color="auto"/>
            </w:tcBorders>
            <w:shd w:val="clear" w:color="auto" w:fill="FFFFFF" w:themeFill="background1"/>
            <w:noWrap/>
            <w:vAlign w:val="bottom"/>
            <w:hideMark/>
          </w:tcPr>
          <w:p w14:paraId="6781A09E" w14:textId="3EA60CD3" w:rsidR="00600C79" w:rsidRPr="004730AE" w:rsidRDefault="00600C79" w:rsidP="008F0F1A">
            <w:pPr>
              <w:pStyle w:val="af"/>
              <w:jc w:val="center"/>
              <w:rPr>
                <w:rFonts w:ascii="Times New Roman" w:hAnsi="Times New Roman" w:cs="Times New Roman"/>
                <w:sz w:val="28"/>
                <w:szCs w:val="28"/>
              </w:rPr>
            </w:pP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72FBB6D2" w14:textId="0346D146" w:rsidR="00600C79" w:rsidRPr="004730AE" w:rsidRDefault="00600C79" w:rsidP="008F0F1A">
            <w:pPr>
              <w:pStyle w:val="af"/>
              <w:jc w:val="center"/>
              <w:rPr>
                <w:rFonts w:ascii="Times New Roman" w:hAnsi="Times New Roman" w:cs="Times New Roman"/>
                <w:sz w:val="28"/>
                <w:szCs w:val="28"/>
              </w:rPr>
            </w:pPr>
          </w:p>
        </w:tc>
        <w:tc>
          <w:tcPr>
            <w:tcW w:w="1067" w:type="dxa"/>
            <w:tcBorders>
              <w:top w:val="nil"/>
              <w:left w:val="nil"/>
              <w:bottom w:val="single" w:sz="4" w:space="0" w:color="auto"/>
              <w:right w:val="single" w:sz="4" w:space="0" w:color="auto"/>
            </w:tcBorders>
            <w:shd w:val="clear" w:color="auto" w:fill="FFFFFF" w:themeFill="background1"/>
            <w:noWrap/>
            <w:vAlign w:val="bottom"/>
            <w:hideMark/>
          </w:tcPr>
          <w:p w14:paraId="3DA185EF" w14:textId="4ED71D01" w:rsidR="00600C79" w:rsidRPr="004730AE" w:rsidRDefault="00600C79" w:rsidP="008F0F1A">
            <w:pPr>
              <w:pStyle w:val="af"/>
              <w:jc w:val="center"/>
              <w:rPr>
                <w:rFonts w:ascii="Times New Roman" w:hAnsi="Times New Roman" w:cs="Times New Roman"/>
                <w:sz w:val="28"/>
                <w:szCs w:val="28"/>
              </w:rPr>
            </w:pPr>
          </w:p>
        </w:tc>
      </w:tr>
      <w:tr w:rsidR="00600C79" w:rsidRPr="004730AE" w14:paraId="4D6D670A" w14:textId="77777777" w:rsidTr="00650D63">
        <w:trPr>
          <w:trHeight w:val="938"/>
        </w:trPr>
        <w:tc>
          <w:tcPr>
            <w:tcW w:w="2243" w:type="dxa"/>
            <w:tcBorders>
              <w:top w:val="nil"/>
              <w:left w:val="single" w:sz="4" w:space="0" w:color="auto"/>
              <w:bottom w:val="single" w:sz="4" w:space="0" w:color="auto"/>
              <w:right w:val="single" w:sz="4" w:space="0" w:color="auto"/>
            </w:tcBorders>
            <w:shd w:val="clear" w:color="auto" w:fill="auto"/>
            <w:noWrap/>
            <w:vAlign w:val="bottom"/>
            <w:hideMark/>
          </w:tcPr>
          <w:p w14:paraId="110D11B6" w14:textId="77777777" w:rsidR="00600C79" w:rsidRPr="004730AE" w:rsidRDefault="00600C79" w:rsidP="004730AE">
            <w:pPr>
              <w:pStyle w:val="af"/>
              <w:rPr>
                <w:rFonts w:ascii="Times New Roman" w:hAnsi="Times New Roman" w:cs="Times New Roman"/>
                <w:sz w:val="28"/>
                <w:szCs w:val="28"/>
                <w:lang w:val="en-US"/>
              </w:rPr>
            </w:pPr>
            <w:r w:rsidRPr="004730AE">
              <w:rPr>
                <w:rFonts w:ascii="Times New Roman" w:hAnsi="Times New Roman" w:cs="Times New Roman"/>
                <w:sz w:val="28"/>
                <w:szCs w:val="28"/>
                <w:lang w:val="en-US"/>
              </w:rPr>
              <w:t>other</w:t>
            </w:r>
          </w:p>
        </w:tc>
        <w:tc>
          <w:tcPr>
            <w:tcW w:w="1438" w:type="dxa"/>
            <w:tcBorders>
              <w:top w:val="nil"/>
              <w:left w:val="nil"/>
              <w:bottom w:val="single" w:sz="4" w:space="0" w:color="auto"/>
              <w:right w:val="single" w:sz="4" w:space="0" w:color="auto"/>
            </w:tcBorders>
            <w:shd w:val="clear" w:color="auto" w:fill="FFFFFF" w:themeFill="background1"/>
            <w:noWrap/>
            <w:vAlign w:val="bottom"/>
            <w:hideMark/>
          </w:tcPr>
          <w:p w14:paraId="3D6D332E" w14:textId="77777777" w:rsidR="00600C79" w:rsidRPr="004730AE" w:rsidRDefault="00600C79" w:rsidP="008F0F1A">
            <w:pPr>
              <w:pStyle w:val="af"/>
              <w:jc w:val="center"/>
              <w:rPr>
                <w:rFonts w:ascii="Times New Roman" w:hAnsi="Times New Roman" w:cs="Times New Roman"/>
                <w:sz w:val="28"/>
                <w:szCs w:val="28"/>
                <w:lang w:val="en-US"/>
              </w:rPr>
            </w:pPr>
            <w:r w:rsidRPr="004730AE">
              <w:rPr>
                <w:rFonts w:ascii="Times New Roman" w:hAnsi="Times New Roman" w:cs="Times New Roman"/>
                <w:sz w:val="28"/>
                <w:szCs w:val="28"/>
                <w:lang w:val="en-US"/>
              </w:rPr>
              <w:t>tax allowance</w:t>
            </w: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2151512B" w14:textId="2D80A082" w:rsidR="00600C79" w:rsidRPr="004730AE" w:rsidRDefault="00600C79" w:rsidP="008F0F1A">
            <w:pPr>
              <w:pStyle w:val="af"/>
              <w:jc w:val="center"/>
              <w:rPr>
                <w:rFonts w:ascii="Times New Roman" w:hAnsi="Times New Roman" w:cs="Times New Roman"/>
                <w:sz w:val="28"/>
                <w:szCs w:val="28"/>
              </w:rPr>
            </w:pPr>
          </w:p>
        </w:tc>
        <w:tc>
          <w:tcPr>
            <w:tcW w:w="996" w:type="dxa"/>
            <w:tcBorders>
              <w:top w:val="nil"/>
              <w:left w:val="nil"/>
              <w:bottom w:val="single" w:sz="4" w:space="0" w:color="auto"/>
              <w:right w:val="single" w:sz="4" w:space="0" w:color="auto"/>
            </w:tcBorders>
            <w:shd w:val="clear" w:color="auto" w:fill="FFFFFF" w:themeFill="background1"/>
            <w:noWrap/>
            <w:vAlign w:val="bottom"/>
            <w:hideMark/>
          </w:tcPr>
          <w:p w14:paraId="47A38FD9" w14:textId="3A9A7059" w:rsidR="00600C79" w:rsidRPr="004730AE" w:rsidRDefault="00600C79" w:rsidP="008F0F1A">
            <w:pPr>
              <w:pStyle w:val="af"/>
              <w:jc w:val="center"/>
              <w:rPr>
                <w:rFonts w:ascii="Times New Roman" w:hAnsi="Times New Roman" w:cs="Times New Roman"/>
                <w:sz w:val="28"/>
                <w:szCs w:val="28"/>
              </w:rPr>
            </w:pPr>
          </w:p>
        </w:tc>
        <w:tc>
          <w:tcPr>
            <w:tcW w:w="1840" w:type="dxa"/>
            <w:tcBorders>
              <w:top w:val="nil"/>
              <w:left w:val="nil"/>
              <w:bottom w:val="single" w:sz="4" w:space="0" w:color="auto"/>
              <w:right w:val="single" w:sz="4" w:space="0" w:color="auto"/>
            </w:tcBorders>
            <w:shd w:val="clear" w:color="auto" w:fill="FFFFFF" w:themeFill="background1"/>
            <w:vAlign w:val="bottom"/>
            <w:hideMark/>
          </w:tcPr>
          <w:p w14:paraId="68D25EA2" w14:textId="1FE21029" w:rsidR="00600C79" w:rsidRPr="004730AE" w:rsidRDefault="00600C79" w:rsidP="008F0F1A">
            <w:pPr>
              <w:pStyle w:val="af"/>
              <w:jc w:val="center"/>
              <w:rPr>
                <w:rFonts w:ascii="Times New Roman" w:hAnsi="Times New Roman" w:cs="Times New Roman"/>
                <w:sz w:val="28"/>
                <w:szCs w:val="28"/>
                <w:lang w:val="en-US"/>
              </w:rPr>
            </w:pPr>
            <w:r w:rsidRPr="004730AE">
              <w:rPr>
                <w:rFonts w:ascii="Times New Roman" w:hAnsi="Times New Roman" w:cs="Times New Roman"/>
                <w:sz w:val="28"/>
                <w:szCs w:val="28"/>
                <w:lang w:val="en-US"/>
              </w:rPr>
              <w:t>investment incentives,</w:t>
            </w:r>
            <w:r w:rsidR="008F0F1A">
              <w:rPr>
                <w:rFonts w:ascii="Times New Roman" w:hAnsi="Times New Roman" w:cs="Times New Roman"/>
                <w:sz w:val="28"/>
                <w:szCs w:val="28"/>
                <w:lang w:val="en-US"/>
              </w:rPr>
              <w:t xml:space="preserve"> </w:t>
            </w:r>
            <w:r w:rsidRPr="004730AE">
              <w:rPr>
                <w:rFonts w:ascii="Times New Roman" w:hAnsi="Times New Roman" w:cs="Times New Roman"/>
                <w:sz w:val="28"/>
                <w:szCs w:val="28"/>
                <w:lang w:val="en-US"/>
              </w:rPr>
              <w:t>grants and funding programs</w:t>
            </w: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69854EC8" w14:textId="6AE2F51B" w:rsidR="00600C79" w:rsidRPr="004730AE" w:rsidRDefault="00600C79" w:rsidP="008F0F1A">
            <w:pPr>
              <w:pStyle w:val="af"/>
              <w:jc w:val="center"/>
              <w:rPr>
                <w:rFonts w:ascii="Times New Roman" w:hAnsi="Times New Roman" w:cs="Times New Roman"/>
                <w:sz w:val="28"/>
                <w:szCs w:val="28"/>
                <w:lang w:val="en-US"/>
              </w:rPr>
            </w:pPr>
          </w:p>
        </w:tc>
        <w:tc>
          <w:tcPr>
            <w:tcW w:w="1067" w:type="dxa"/>
            <w:tcBorders>
              <w:top w:val="nil"/>
              <w:left w:val="nil"/>
              <w:bottom w:val="single" w:sz="4" w:space="0" w:color="auto"/>
              <w:right w:val="single" w:sz="4" w:space="0" w:color="auto"/>
            </w:tcBorders>
            <w:shd w:val="clear" w:color="auto" w:fill="FFFFFF" w:themeFill="background1"/>
            <w:noWrap/>
            <w:vAlign w:val="bottom"/>
            <w:hideMark/>
          </w:tcPr>
          <w:p w14:paraId="3A2C3802" w14:textId="77777777" w:rsidR="00600C79" w:rsidRPr="004730AE" w:rsidRDefault="00600C79" w:rsidP="008F0F1A">
            <w:pPr>
              <w:pStyle w:val="af"/>
              <w:jc w:val="center"/>
              <w:rPr>
                <w:rFonts w:ascii="Times New Roman" w:hAnsi="Times New Roman" w:cs="Times New Roman"/>
                <w:sz w:val="28"/>
                <w:szCs w:val="28"/>
                <w:lang w:val="en-US"/>
              </w:rPr>
            </w:pPr>
            <w:r w:rsidRPr="004730AE">
              <w:rPr>
                <w:rFonts w:ascii="Times New Roman" w:hAnsi="Times New Roman" w:cs="Times New Roman"/>
                <w:sz w:val="28"/>
                <w:szCs w:val="28"/>
                <w:lang w:val="en-US"/>
              </w:rPr>
              <w:t>cash grants</w:t>
            </w:r>
          </w:p>
        </w:tc>
      </w:tr>
      <w:tr w:rsidR="004730AE" w:rsidRPr="000E0481" w14:paraId="08765575" w14:textId="77777777" w:rsidTr="004730AE">
        <w:trPr>
          <w:trHeight w:val="411"/>
        </w:trPr>
        <w:tc>
          <w:tcPr>
            <w:tcW w:w="9344"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462B5C07" w14:textId="1D2CE156" w:rsidR="004730AE" w:rsidRPr="004730AE" w:rsidRDefault="002F4189" w:rsidP="002F4189">
            <w:pPr>
              <w:spacing w:after="0" w:line="240" w:lineRule="auto"/>
              <w:contextualSpacing/>
              <w:jc w:val="both"/>
              <w:rPr>
                <w:rFonts w:ascii="Times New Roman" w:eastAsia="Times New Roman" w:hAnsi="Times New Roman" w:cs="Times New Roman"/>
                <w:sz w:val="28"/>
                <w:szCs w:val="28"/>
                <w:lang w:val="en-US"/>
              </w:rPr>
            </w:pPr>
            <w:r w:rsidRPr="002F4189">
              <w:rPr>
                <w:rFonts w:ascii="Times New Roman" w:hAnsi="Times New Roman" w:cs="Times New Roman"/>
                <w:sz w:val="28"/>
                <w:szCs w:val="28"/>
                <w:lang w:val="en-US"/>
              </w:rPr>
              <w:t xml:space="preserve">        </w:t>
            </w:r>
            <w:r w:rsidR="004730AE" w:rsidRPr="006B3BA4">
              <w:rPr>
                <w:rFonts w:ascii="Times New Roman" w:hAnsi="Times New Roman" w:cs="Times New Roman"/>
                <w:sz w:val="24"/>
                <w:szCs w:val="24"/>
                <w:lang w:val="en-US"/>
              </w:rPr>
              <w:t>Note – Compiled by author based on sources [135-138]</w:t>
            </w:r>
          </w:p>
        </w:tc>
      </w:tr>
    </w:tbl>
    <w:p w14:paraId="780F180D"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p>
    <w:p w14:paraId="761A9CD6" w14:textId="15078E11"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According to the Entrepreneurial Code, incentives are provided through an investment contract between the government and enterprises, targeting priority sectors of the economy as identified by the government. A qualifying investment project receives (</w:t>
      </w:r>
      <w:proofErr w:type="spellStart"/>
      <w:r w:rsidRPr="00244343">
        <w:rPr>
          <w:rFonts w:ascii="Times New Roman" w:hAnsi="Times New Roman" w:cs="Times New Roman"/>
          <w:sz w:val="28"/>
          <w:szCs w:val="28"/>
          <w:lang w:val="en-US"/>
        </w:rPr>
        <w:t>i</w:t>
      </w:r>
      <w:proofErr w:type="spellEnd"/>
      <w:r w:rsidRPr="00244343">
        <w:rPr>
          <w:rFonts w:ascii="Times New Roman" w:hAnsi="Times New Roman" w:cs="Times New Roman"/>
          <w:sz w:val="28"/>
          <w:szCs w:val="28"/>
          <w:lang w:val="en-US"/>
        </w:rPr>
        <w:t>) exemptions from customs charges and import VAT, subject to certain conditions, and (</w:t>
      </w:r>
      <w:r w:rsidRPr="004730AE">
        <w:rPr>
          <w:rFonts w:ascii="Times New Roman" w:hAnsi="Times New Roman" w:cs="Times New Roman"/>
          <w:sz w:val="28"/>
          <w:szCs w:val="28"/>
          <w:lang w:val="en-US"/>
        </w:rPr>
        <w:t>ii) state-provided in-kind grants. In addition to the aforementioned advantages, priority investment projects receive (iii) tax incentives and (iv) investment subsidies. Special investment projects, characterized by investment preferences, are afforded (v) exemptions from customs taxes and (vi) tax benefits (as shown in table No.</w:t>
      </w:r>
      <w:r w:rsidR="00E10090" w:rsidRPr="004730AE">
        <w:rPr>
          <w:rFonts w:ascii="Times New Roman" w:hAnsi="Times New Roman" w:cs="Times New Roman"/>
          <w:sz w:val="28"/>
          <w:szCs w:val="28"/>
          <w:lang w:val="en-US"/>
        </w:rPr>
        <w:t>6</w:t>
      </w:r>
      <w:r w:rsidRPr="004730AE">
        <w:rPr>
          <w:rFonts w:ascii="Times New Roman" w:hAnsi="Times New Roman" w:cs="Times New Roman"/>
          <w:sz w:val="28"/>
          <w:szCs w:val="28"/>
          <w:lang w:val="en-US"/>
        </w:rPr>
        <w:t>).</w:t>
      </w:r>
    </w:p>
    <w:p w14:paraId="75FFB028" w14:textId="07D69453"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revisions to the Tax Code included an 'investment tax credit' that permits the alteration of tax payment deadlines for specific taxpayer groups and enables them to either decrease tax liabilities by 100% or remit taxes in instalments, contingent upon the fulfilment of specific taxpayer criteria. The investment tax credit may be granted for up to three years. The stability of the taxation structure is assured for VAT, WHT, payroll tax, excise taxes, and environmental emission payments [</w:t>
      </w:r>
      <w:r w:rsidR="00FA19A7">
        <w:rPr>
          <w:rFonts w:ascii="Times New Roman" w:eastAsia="Times New Roman" w:hAnsi="Times New Roman" w:cs="Times New Roman"/>
          <w:sz w:val="28"/>
          <w:szCs w:val="28"/>
          <w:lang w:val="en-US"/>
        </w:rPr>
        <w:t>148</w:t>
      </w:r>
      <w:r w:rsidRPr="00244343">
        <w:rPr>
          <w:rFonts w:ascii="Times New Roman" w:hAnsi="Times New Roman" w:cs="Times New Roman"/>
          <w:sz w:val="28"/>
          <w:szCs w:val="28"/>
          <w:lang w:val="en-US"/>
        </w:rPr>
        <w:t>].</w:t>
      </w:r>
    </w:p>
    <w:p w14:paraId="6D15D674" w14:textId="22D8BAFA"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In contrast, in countries with advanced economies like South Korea, China, and Japan, private investment makes up 75% of the total R&amp;D funding [</w:t>
      </w:r>
      <w:r w:rsidR="00FA19A7">
        <w:rPr>
          <w:rFonts w:ascii="Times New Roman" w:eastAsia="Times New Roman" w:hAnsi="Times New Roman" w:cs="Times New Roman"/>
          <w:sz w:val="28"/>
          <w:szCs w:val="28"/>
          <w:lang w:val="en-US"/>
        </w:rPr>
        <w:t>149</w:t>
      </w:r>
      <w:r w:rsidRPr="00244343">
        <w:rPr>
          <w:rFonts w:ascii="Times New Roman" w:hAnsi="Times New Roman" w:cs="Times New Roman"/>
          <w:sz w:val="28"/>
          <w:szCs w:val="28"/>
          <w:lang w:val="en-US"/>
        </w:rPr>
        <w:t>].</w:t>
      </w:r>
    </w:p>
    <w:p w14:paraId="79D11DF1" w14:textId="4DCC0851"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lastRenderedPageBreak/>
        <w:tab/>
        <w:t>Also, interesting to note that, in Japan, the tax credit cap for specific R&amp;D activities is 20% of the corporation tax obligation, with an additional rate of up to 10% contingent upon fluctuations in the R&amp;D ratio. An extra R&amp;D credit of up to 10% for open innovation is also accessible. A new 'innovation box' in Japan will allow companies to deduct 30% of the 'qualified income' derived from AI technology they have independently researched and developed, applicable for fiscal years from 1 April 2025 to 31 March 2032 [</w:t>
      </w:r>
      <w:r w:rsidR="00FA19A7">
        <w:rPr>
          <w:rFonts w:ascii="Times New Roman" w:eastAsia="Times New Roman" w:hAnsi="Times New Roman" w:cs="Times New Roman"/>
          <w:sz w:val="28"/>
          <w:szCs w:val="28"/>
          <w:lang w:val="en-US"/>
        </w:rPr>
        <w:t>150</w:t>
      </w:r>
      <w:r w:rsidRPr="00244343">
        <w:rPr>
          <w:rFonts w:ascii="Times New Roman" w:hAnsi="Times New Roman" w:cs="Times New Roman"/>
          <w:sz w:val="28"/>
          <w:szCs w:val="28"/>
          <w:lang w:val="en-US"/>
        </w:rPr>
        <w:t>].</w:t>
      </w:r>
    </w:p>
    <w:p w14:paraId="6676A5DA"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In China tax exemptions and tax holidays are typical method of financial stimuli of innovation in the country. Moreover, organizational and start-up expenses are entirely tax-deductible in the initial year of operation. Interesting to note that, on January 1, 2023, enterprises may deduct 200% of their qualifying research and development expenses for tax purposes. For research and development expenditures that have resulted in the creation of intangible assets, the tax amortization shall be calculated at 200% of the cost of the intangible assets.</w:t>
      </w:r>
    </w:p>
    <w:p w14:paraId="70C58D69"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From the start of January 2023 till the end of 2027, integrated circuit enterprises and manufacturers of industrial mother machines may deduct 220% of their qualifying research and development expenses for tax purposes. For research and development expenditures that have resulted in the creation of intangible assets, the tax amortization shall be calculated at 220% of the cost associated with the intangible assets.</w:t>
      </w:r>
    </w:p>
    <w:p w14:paraId="65CEE097" w14:textId="4A85AE95" w:rsidR="00600C79"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Commencing on January 1, 2022, enterprises are permitted to deduct 200% of the funds contributed to non-profit scientific and technological R&amp;D institutions, HEIs, or governmental natural science funds designated for fundamental research purposes [</w:t>
      </w:r>
      <w:r w:rsidR="00FA19A7">
        <w:rPr>
          <w:rFonts w:ascii="Times New Roman" w:eastAsia="Times New Roman" w:hAnsi="Times New Roman" w:cs="Times New Roman"/>
          <w:sz w:val="28"/>
          <w:szCs w:val="28"/>
          <w:lang w:val="en-US"/>
        </w:rPr>
        <w:t>151</w:t>
      </w:r>
      <w:r w:rsidRPr="00244343">
        <w:rPr>
          <w:rFonts w:ascii="Times New Roman" w:hAnsi="Times New Roman" w:cs="Times New Roman"/>
          <w:sz w:val="28"/>
          <w:szCs w:val="28"/>
          <w:lang w:val="en-US"/>
        </w:rPr>
        <w:t>].</w:t>
      </w:r>
    </w:p>
    <w:p w14:paraId="4C8AECFA"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5F669B">
        <w:rPr>
          <w:rFonts w:ascii="Times New Roman" w:hAnsi="Times New Roman" w:cs="Times New Roman"/>
          <w:sz w:val="28"/>
          <w:szCs w:val="28"/>
          <w:lang w:val="en-US"/>
        </w:rPr>
        <w:t xml:space="preserve">As leading economies, the United States and Israel employ distinct yet complementary financial incentives to foster research and development (R&amp;D) and innovation. The U.S. primarily supports innovation through federal grants, tax credits, and public-private partnerships, with key programs like the Research and Experimentation (R&amp;E) Tax Credit and funding from agencies like the National Science Foundation (NSF) and DARPA. On the other hand, Israel's strategy is government-led; the Israel Innovation Authority (IIA), especially in the startup environment, offers direct grants, conditional loans, and incentives for high-risk technical initiatives. While both countries emphasize tax benefits, Israel's model relies more on direct government intervention, whereas the U.S. encourages private sector engagement through venture capital incentives and </w:t>
      </w:r>
      <w:proofErr w:type="spellStart"/>
      <w:r w:rsidRPr="005F669B">
        <w:rPr>
          <w:rFonts w:ascii="Times New Roman" w:hAnsi="Times New Roman" w:cs="Times New Roman"/>
          <w:sz w:val="28"/>
          <w:szCs w:val="28"/>
          <w:lang w:val="en-US"/>
        </w:rPr>
        <w:t>defence</w:t>
      </w:r>
      <w:proofErr w:type="spellEnd"/>
      <w:r w:rsidRPr="005F669B">
        <w:rPr>
          <w:rFonts w:ascii="Times New Roman" w:hAnsi="Times New Roman" w:cs="Times New Roman"/>
          <w:sz w:val="28"/>
          <w:szCs w:val="28"/>
          <w:lang w:val="en-US"/>
        </w:rPr>
        <w:t>-related R&amp;D funding. Ultimately, the U.S. fosters a diverse, large-scale innovation ecosystem, while Israel leverages a targeted, high-tech-focused strategy to drive technological advancements.</w:t>
      </w:r>
    </w:p>
    <w:p w14:paraId="08B210C9"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Whereas in Italy in February 2023, the Council of Ministers sanctioned the creation of a new "incentives code" to diminish the fragmentation of current incentive schemes and enhance their efficacy for businesses. The Ministry of Enterprise and Made in Italy (MIMIT) must execute the assigned directives within 24 months, by December 2024.</w:t>
      </w:r>
    </w:p>
    <w:p w14:paraId="323A99F4"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lastRenderedPageBreak/>
        <w:t xml:space="preserve">This change is associated with the 2023-2025 Budget Law and conforms to the Economic and Financial Document guidelines and the Recovery and Resilience Plan (RRP). The goals are to streamline investment rules and foster the advancement of Southern Italy. Transforming stimuli is essential for progressing Italy's industrial policy, necessitating improved efficacy of current measures for businesses and stress on global issues, such as green and digital transitions. </w:t>
      </w:r>
    </w:p>
    <w:p w14:paraId="0D31028E"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Suppose investments occur between January 1, 2023, and December 31, 2025, or by June 30, 2026, contingent upon the seller accepting the purchase order by December 31, 2025, and the buyer remitting a minimum of 20% of the buy price. In that case, the tax credit is acknowledged in the following amounts:</w:t>
      </w:r>
    </w:p>
    <w:p w14:paraId="2C3BBE0E"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20% of the expenditure for investments does not exceed EUR 2.5 million.</w:t>
      </w:r>
    </w:p>
    <w:p w14:paraId="0AF6E8F8"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10% of the expenditure for investments ranging from EUR 2.5 million to EUR 10 million.</w:t>
      </w:r>
    </w:p>
    <w:p w14:paraId="3D542951"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5% of the expenditure for investments ranging from EUR 10 million to EUR 20 million.</w:t>
      </w:r>
    </w:p>
    <w:p w14:paraId="60C1DD3E"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specified criterion is applicable for each fiscal year from 2023 to 2025.</w:t>
      </w:r>
    </w:p>
    <w:p w14:paraId="0851850B" w14:textId="30C1735B"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A national budget cap of 2.2 billion euros has been established only for investments made in FY 2025. To secure the tax credit, taxpayers must submit designated communications to the appropriate authorities [</w:t>
      </w:r>
      <w:r w:rsidR="00FA19A7">
        <w:rPr>
          <w:rFonts w:ascii="Times New Roman" w:eastAsia="Times New Roman" w:hAnsi="Times New Roman" w:cs="Times New Roman"/>
          <w:sz w:val="28"/>
          <w:szCs w:val="28"/>
          <w:lang w:val="en-US"/>
        </w:rPr>
        <w:t>152</w:t>
      </w:r>
      <w:r w:rsidRPr="00244343">
        <w:rPr>
          <w:rFonts w:ascii="Times New Roman" w:hAnsi="Times New Roman" w:cs="Times New Roman"/>
          <w:sz w:val="28"/>
          <w:szCs w:val="28"/>
          <w:lang w:val="en-US"/>
        </w:rPr>
        <w:t xml:space="preserve">]. </w:t>
      </w:r>
    </w:p>
    <w:p w14:paraId="3A69B197" w14:textId="660928ED"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success of leading countries in the commercialization of scientific research hinges on enhancing financial and legal support, including refining state financing mechanisms, incentivizing private investment, adjusting the tax framework for research and development, supporting domestic manufacturers of innovative technologies and products, qualifying technology transfer, identifying industry priorities, consolidating and safeguarding intellectual property rights in research and development outcomes, and promoting scientists and universities [</w:t>
      </w:r>
      <w:r w:rsidR="0057736C">
        <w:rPr>
          <w:rFonts w:ascii="Times New Roman" w:hAnsi="Times New Roman" w:cs="Times New Roman"/>
          <w:sz w:val="28"/>
          <w:szCs w:val="28"/>
          <w:lang w:val="en-US"/>
        </w:rPr>
        <w:t>153</w:t>
      </w:r>
      <w:r w:rsidRPr="00244343">
        <w:rPr>
          <w:rFonts w:ascii="Times New Roman" w:hAnsi="Times New Roman" w:cs="Times New Roman"/>
          <w:sz w:val="28"/>
          <w:szCs w:val="28"/>
          <w:lang w:val="en-US"/>
        </w:rPr>
        <w:t xml:space="preserve">]. </w:t>
      </w:r>
    </w:p>
    <w:p w14:paraId="03CEC959" w14:textId="0AE2ED7F"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A study conducted by Kazakhstani researchers reveals that Kazakhstan confronts a paradox: Although having significant scientific and technical potential, the application of research outcomes is insufficient. The nation has established its scientific and technical capacity, evidenced by the presence of research institutes and universities and domestic scientific patents and innovations; yet, there is a notable lack of implementation in industry. The demand for innovative outcomes from the industrial and social sectors is insufficient compared to the nation's scientific and technical capabilities. As previously said, the primary cause of this problem is the inadequate understanding of the principles of commercialization of creative technology among domestic inventors and scientists [</w:t>
      </w:r>
      <w:r w:rsidR="00FA19A7">
        <w:rPr>
          <w:rFonts w:ascii="Times New Roman" w:eastAsia="Times New Roman" w:hAnsi="Times New Roman" w:cs="Times New Roman"/>
          <w:sz w:val="28"/>
          <w:szCs w:val="28"/>
          <w:lang w:val="en-US"/>
        </w:rPr>
        <w:t>145</w:t>
      </w:r>
      <w:r w:rsidRPr="00244343">
        <w:rPr>
          <w:rFonts w:ascii="Times New Roman" w:hAnsi="Times New Roman" w:cs="Times New Roman"/>
          <w:sz w:val="28"/>
          <w:szCs w:val="28"/>
          <w:lang w:val="en-US"/>
        </w:rPr>
        <w:t xml:space="preserve">]. </w:t>
      </w:r>
    </w:p>
    <w:p w14:paraId="78DE1FBA" w14:textId="77777777" w:rsidR="0052133B" w:rsidRDefault="00600C79" w:rsidP="0052133B">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In consideration of the financial incentives for research and development used by leading innovative nations, it is recommended that Kazakhstan implement the following measure:</w:t>
      </w:r>
    </w:p>
    <w:p w14:paraId="6E78DB39" w14:textId="425603D7" w:rsidR="00600C79" w:rsidRPr="0052133B" w:rsidRDefault="00600C79" w:rsidP="00950438">
      <w:pPr>
        <w:pStyle w:val="ad"/>
        <w:numPr>
          <w:ilvl w:val="0"/>
          <w:numId w:val="31"/>
        </w:numPr>
        <w:spacing w:after="0" w:line="240" w:lineRule="auto"/>
        <w:ind w:left="0" w:firstLine="709"/>
        <w:jc w:val="both"/>
        <w:rPr>
          <w:rFonts w:ascii="Times New Roman" w:hAnsi="Times New Roman" w:cs="Times New Roman"/>
          <w:sz w:val="28"/>
          <w:szCs w:val="28"/>
          <w:lang w:val="en-US"/>
        </w:rPr>
      </w:pPr>
      <w:r w:rsidRPr="0052133B">
        <w:rPr>
          <w:rFonts w:ascii="Times New Roman" w:hAnsi="Times New Roman" w:cs="Times New Roman"/>
          <w:sz w:val="28"/>
          <w:szCs w:val="28"/>
          <w:lang w:val="en-US"/>
        </w:rPr>
        <w:t>Establish government-backed innovation funds that invest in emerging, high-risk technological ventures, providing certain assurances to mitigate risk for investors.</w:t>
      </w:r>
    </w:p>
    <w:p w14:paraId="2D7F168A" w14:textId="6BE13380" w:rsidR="00600C79" w:rsidRPr="00244343" w:rsidRDefault="00600C79" w:rsidP="00950438">
      <w:pPr>
        <w:pStyle w:val="ad"/>
        <w:numPr>
          <w:ilvl w:val="0"/>
          <w:numId w:val="31"/>
        </w:numPr>
        <w:spacing w:after="0" w:line="240" w:lineRule="auto"/>
        <w:ind w:left="0" w:firstLine="709"/>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lastRenderedPageBreak/>
        <w:t xml:space="preserve">Enhance and simplify R&amp;D tax benefits for large corporations and SMEs to stimulate private-sector investment in innovative </w:t>
      </w:r>
      <w:proofErr w:type="spellStart"/>
      <w:r w:rsidRPr="00244343">
        <w:rPr>
          <w:rFonts w:ascii="Times New Roman" w:hAnsi="Times New Roman" w:cs="Times New Roman"/>
          <w:sz w:val="28"/>
          <w:szCs w:val="28"/>
          <w:lang w:val="en-US"/>
        </w:rPr>
        <w:t>endeavours</w:t>
      </w:r>
      <w:proofErr w:type="spellEnd"/>
      <w:r w:rsidRPr="00244343">
        <w:rPr>
          <w:rFonts w:ascii="Times New Roman" w:hAnsi="Times New Roman" w:cs="Times New Roman"/>
          <w:sz w:val="28"/>
          <w:szCs w:val="28"/>
          <w:lang w:val="en-US"/>
        </w:rPr>
        <w:t>.</w:t>
      </w:r>
    </w:p>
    <w:p w14:paraId="7F907748" w14:textId="053F63B8" w:rsidR="00600C79" w:rsidRPr="0052133B" w:rsidRDefault="00600C79" w:rsidP="00950438">
      <w:pPr>
        <w:pStyle w:val="ad"/>
        <w:numPr>
          <w:ilvl w:val="0"/>
          <w:numId w:val="31"/>
        </w:numPr>
        <w:spacing w:after="0" w:line="240" w:lineRule="auto"/>
        <w:ind w:left="0" w:firstLine="709"/>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Kazakhstan could improve funding programs aimed at startups, universities, and SME innovations that line with strategic national objectives.</w:t>
      </w:r>
    </w:p>
    <w:p w14:paraId="0BA99ED7" w14:textId="77777777" w:rsidR="0052133B" w:rsidRDefault="00600C79" w:rsidP="00950438">
      <w:pPr>
        <w:pStyle w:val="ad"/>
        <w:numPr>
          <w:ilvl w:val="0"/>
          <w:numId w:val="31"/>
        </w:numPr>
        <w:spacing w:after="0" w:line="240" w:lineRule="auto"/>
        <w:ind w:left="0" w:firstLine="709"/>
        <w:jc w:val="both"/>
        <w:rPr>
          <w:rFonts w:ascii="Times New Roman" w:hAnsi="Times New Roman" w:cs="Times New Roman"/>
          <w:sz w:val="28"/>
          <w:szCs w:val="28"/>
          <w:lang w:val="en-US"/>
        </w:rPr>
      </w:pPr>
      <w:r w:rsidRPr="0052133B">
        <w:rPr>
          <w:rFonts w:ascii="Times New Roman" w:hAnsi="Times New Roman" w:cs="Times New Roman"/>
          <w:sz w:val="28"/>
          <w:szCs w:val="28"/>
          <w:lang w:val="en-US"/>
        </w:rPr>
        <w:t>Establish innovation zones that offer financial incentives for enterprises in essential sectors such as information technology, energy, and biotechnology, similar to Silicon Valley in the U.S. and the Skolkovo Innovation Center in Russia.</w:t>
      </w:r>
    </w:p>
    <w:p w14:paraId="15147FF6" w14:textId="23B902B5" w:rsidR="00600C79" w:rsidRPr="00950438" w:rsidRDefault="00600C79" w:rsidP="00950438">
      <w:pPr>
        <w:pStyle w:val="ad"/>
        <w:numPr>
          <w:ilvl w:val="0"/>
          <w:numId w:val="31"/>
        </w:numPr>
        <w:spacing w:after="0" w:line="240" w:lineRule="auto"/>
        <w:ind w:left="0" w:firstLine="709"/>
        <w:jc w:val="both"/>
        <w:rPr>
          <w:rFonts w:ascii="Times New Roman" w:hAnsi="Times New Roman" w:cs="Times New Roman"/>
          <w:sz w:val="28"/>
          <w:szCs w:val="28"/>
          <w:lang w:val="en-US"/>
        </w:rPr>
      </w:pPr>
      <w:r w:rsidRPr="0052133B">
        <w:rPr>
          <w:rFonts w:ascii="Times New Roman" w:hAnsi="Times New Roman" w:cs="Times New Roman"/>
          <w:sz w:val="28"/>
          <w:szCs w:val="28"/>
          <w:lang w:val="en-US"/>
        </w:rPr>
        <w:t xml:space="preserve">Allocate </w:t>
      </w:r>
      <w:r w:rsidRPr="00950438">
        <w:rPr>
          <w:rFonts w:ascii="Times New Roman" w:hAnsi="Times New Roman" w:cs="Times New Roman"/>
          <w:sz w:val="28"/>
          <w:szCs w:val="28"/>
          <w:lang w:val="en-US"/>
        </w:rPr>
        <w:t>resources to create research and development talent cultivation programs similar to those in Finland in collaboration with prominent international</w:t>
      </w:r>
      <w:r w:rsidRPr="00950438">
        <w:rPr>
          <w:rFonts w:ascii="Times New Roman" w:eastAsia="Times New Roman" w:hAnsi="Times New Roman" w:cs="Times New Roman"/>
          <w:sz w:val="28"/>
          <w:szCs w:val="28"/>
          <w:lang w:val="en-US"/>
        </w:rPr>
        <w:t xml:space="preserve"> universities and research organizations.</w:t>
      </w:r>
    </w:p>
    <w:p w14:paraId="4E7DB976" w14:textId="6A42B099" w:rsidR="00600C79" w:rsidRPr="00950438" w:rsidRDefault="00600C79" w:rsidP="00FA19A7">
      <w:pPr>
        <w:pStyle w:val="a4"/>
        <w:spacing w:before="0" w:beforeAutospacing="0" w:after="0" w:afterAutospacing="0"/>
        <w:ind w:firstLine="720"/>
        <w:jc w:val="both"/>
        <w:rPr>
          <w:color w:val="0E101A"/>
          <w:sz w:val="28"/>
          <w:szCs w:val="28"/>
          <w:lang w:val="en-US"/>
        </w:rPr>
      </w:pPr>
      <w:r w:rsidRPr="00950438">
        <w:rPr>
          <w:color w:val="0E101A"/>
          <w:sz w:val="28"/>
          <w:szCs w:val="28"/>
          <w:lang w:val="en-US"/>
        </w:rPr>
        <w:t>The Global Innovation Index (GII), designed by the World Intellectual Property Organization (WIPO)</w:t>
      </w:r>
      <w:r w:rsidR="0057736C" w:rsidRPr="00950438">
        <w:rPr>
          <w:color w:val="0E101A"/>
          <w:sz w:val="28"/>
          <w:szCs w:val="28"/>
          <w:lang w:val="en-US"/>
        </w:rPr>
        <w:t xml:space="preserve"> </w:t>
      </w:r>
      <w:r w:rsidRPr="00950438">
        <w:rPr>
          <w:color w:val="0E101A"/>
          <w:sz w:val="28"/>
          <w:szCs w:val="28"/>
          <w:lang w:val="en-US"/>
        </w:rPr>
        <w:t>[</w:t>
      </w:r>
      <w:r w:rsidR="0057736C" w:rsidRPr="00950438">
        <w:rPr>
          <w:color w:val="0E101A"/>
          <w:sz w:val="28"/>
          <w:szCs w:val="28"/>
          <w:lang w:val="en-US"/>
        </w:rPr>
        <w:t>11</w:t>
      </w:r>
      <w:r w:rsidRPr="00950438">
        <w:rPr>
          <w:color w:val="0E101A"/>
          <w:sz w:val="28"/>
          <w:szCs w:val="28"/>
          <w:lang w:val="en-US"/>
        </w:rPr>
        <w:t xml:space="preserve">], provides a composite measure of national innovation capacity by evaluating </w:t>
      </w:r>
      <w:r w:rsidRPr="00EC52F2">
        <w:rPr>
          <w:sz w:val="28"/>
          <w:szCs w:val="28"/>
          <w:lang w:val="en-US"/>
        </w:rPr>
        <w:t xml:space="preserve">input and output indicators such as political environment, business sophistication, knowledge creation, and university-industry linkages. It is a comprehensive benchmarking tool for comparing institutional conditions and innovation ecosystems' interactions across different countries. Within this context, the relationship between </w:t>
      </w:r>
      <w:r w:rsidRPr="00EC52F2">
        <w:rPr>
          <w:rStyle w:val="a3"/>
          <w:sz w:val="28"/>
          <w:szCs w:val="28"/>
          <w:lang w:val="en-US"/>
        </w:rPr>
        <w:t xml:space="preserve">university-industry collaboration </w:t>
      </w:r>
      <w:r w:rsidRPr="00EC52F2">
        <w:rPr>
          <w:sz w:val="28"/>
          <w:szCs w:val="28"/>
          <w:lang w:val="en-US"/>
        </w:rPr>
        <w:t xml:space="preserve">and </w:t>
      </w:r>
      <w:r w:rsidRPr="00EC52F2">
        <w:rPr>
          <w:rStyle w:val="a3"/>
          <w:sz w:val="28"/>
          <w:szCs w:val="28"/>
          <w:lang w:val="en-US"/>
        </w:rPr>
        <w:t>cluster development and</w:t>
      </w:r>
      <w:r w:rsidRPr="00EC52F2">
        <w:rPr>
          <w:sz w:val="28"/>
          <w:szCs w:val="28"/>
          <w:lang w:val="en-US"/>
        </w:rPr>
        <w:t xml:space="preserve"> the asso</w:t>
      </w:r>
      <w:r w:rsidRPr="00EC52F2">
        <w:rPr>
          <w:rStyle w:val="a3"/>
          <w:sz w:val="28"/>
          <w:szCs w:val="28"/>
          <w:lang w:val="en-US"/>
        </w:rPr>
        <w:t>ciation between political stability and the ease of starting a business</w:t>
      </w:r>
      <w:r w:rsidRPr="00EC52F2">
        <w:rPr>
          <w:sz w:val="28"/>
          <w:szCs w:val="28"/>
          <w:lang w:val="en-US"/>
        </w:rPr>
        <w:t xml:space="preserve"> becomes a focal point for empirical investigation</w:t>
      </w:r>
      <w:r w:rsidRPr="00950438">
        <w:rPr>
          <w:color w:val="0E101A"/>
          <w:sz w:val="28"/>
          <w:szCs w:val="28"/>
          <w:lang w:val="en-US"/>
        </w:rPr>
        <w:t>.</w:t>
      </w:r>
    </w:p>
    <w:p w14:paraId="4840CD71" w14:textId="77777777" w:rsidR="00600C79" w:rsidRPr="00950438" w:rsidRDefault="00600C79" w:rsidP="00FA19A7">
      <w:pPr>
        <w:pStyle w:val="a4"/>
        <w:spacing w:before="0" w:beforeAutospacing="0" w:after="0" w:afterAutospacing="0"/>
        <w:ind w:firstLine="720"/>
        <w:jc w:val="both"/>
        <w:rPr>
          <w:color w:val="0E101A"/>
          <w:sz w:val="28"/>
          <w:szCs w:val="28"/>
          <w:lang w:val="en-US"/>
        </w:rPr>
      </w:pPr>
      <w:r w:rsidRPr="00950438">
        <w:rPr>
          <w:color w:val="0E101A"/>
          <w:sz w:val="28"/>
          <w:szCs w:val="28"/>
          <w:lang w:val="en-US"/>
        </w:rPr>
        <w:t xml:space="preserve">This study integrates GII sub-pillars—specifically </w:t>
      </w:r>
      <w:r w:rsidRPr="00950438">
        <w:rPr>
          <w:rStyle w:val="a3"/>
          <w:color w:val="0E101A"/>
          <w:sz w:val="28"/>
          <w:szCs w:val="28"/>
          <w:lang w:val="en-US"/>
        </w:rPr>
        <w:t>"University-Industry Research Collaboration"</w:t>
      </w:r>
      <w:r w:rsidRPr="00950438">
        <w:rPr>
          <w:color w:val="0E101A"/>
          <w:sz w:val="28"/>
          <w:szCs w:val="28"/>
          <w:lang w:val="en-US"/>
        </w:rPr>
        <w:t xml:space="preserve"> and </w:t>
      </w:r>
      <w:r w:rsidRPr="00950438">
        <w:rPr>
          <w:rStyle w:val="a3"/>
          <w:color w:val="0E101A"/>
          <w:sz w:val="28"/>
          <w:szCs w:val="28"/>
          <w:lang w:val="en-US"/>
        </w:rPr>
        <w:t>"Cluster Development"</w:t>
      </w:r>
      <w:r w:rsidRPr="00950438">
        <w:rPr>
          <w:color w:val="0E101A"/>
          <w:sz w:val="28"/>
          <w:szCs w:val="28"/>
          <w:lang w:val="en-US"/>
        </w:rPr>
        <w:t xml:space="preserve"> (under Innovation Linkages), along with </w:t>
      </w:r>
      <w:r w:rsidRPr="00950438">
        <w:rPr>
          <w:rStyle w:val="a3"/>
          <w:color w:val="0E101A"/>
          <w:sz w:val="28"/>
          <w:szCs w:val="28"/>
          <w:lang w:val="en-US"/>
        </w:rPr>
        <w:t>"Political Stability"</w:t>
      </w:r>
      <w:r w:rsidRPr="00950438">
        <w:rPr>
          <w:color w:val="0E101A"/>
          <w:sz w:val="28"/>
          <w:szCs w:val="28"/>
          <w:lang w:val="en-US"/>
        </w:rPr>
        <w:t xml:space="preserve"> and </w:t>
      </w:r>
      <w:r w:rsidRPr="00950438">
        <w:rPr>
          <w:rStyle w:val="a3"/>
          <w:color w:val="0E101A"/>
          <w:sz w:val="28"/>
          <w:szCs w:val="28"/>
          <w:lang w:val="en-US"/>
        </w:rPr>
        <w:t>"Ease of Starting a Business"</w:t>
      </w:r>
      <w:r w:rsidRPr="00950438">
        <w:rPr>
          <w:color w:val="0E101A"/>
          <w:sz w:val="28"/>
          <w:szCs w:val="28"/>
          <w:lang w:val="en-US"/>
        </w:rPr>
        <w:t xml:space="preserve"> (under Institutions and Business Sophistication)—to examine the structural drivers and constraints of national innovation systems. By conducting correlational analysis across four countries with varying innovation profiles—</w:t>
      </w:r>
      <w:r w:rsidRPr="00950438">
        <w:rPr>
          <w:rStyle w:val="a3"/>
          <w:color w:val="0E101A"/>
          <w:sz w:val="28"/>
          <w:szCs w:val="28"/>
          <w:lang w:val="en-US"/>
        </w:rPr>
        <w:t>China, Japan, Italy, and Kazakhstan</w:t>
      </w:r>
      <w:r w:rsidRPr="00950438">
        <w:rPr>
          <w:color w:val="0E101A"/>
          <w:sz w:val="28"/>
          <w:szCs w:val="28"/>
          <w:lang w:val="en-US"/>
        </w:rPr>
        <w:t>—this research aims to uncover how macro-institutional and meso-level dynamics condition entrepreneurial emergence and regional innovation performance.</w:t>
      </w:r>
    </w:p>
    <w:p w14:paraId="79163F44" w14:textId="77777777" w:rsidR="00600C79" w:rsidRPr="00E87E24" w:rsidRDefault="00600C79" w:rsidP="0057736C">
      <w:pPr>
        <w:pStyle w:val="a4"/>
        <w:spacing w:before="0" w:beforeAutospacing="0" w:after="0" w:afterAutospacing="0"/>
        <w:ind w:firstLine="720"/>
        <w:jc w:val="both"/>
        <w:rPr>
          <w:color w:val="0E101A"/>
          <w:sz w:val="28"/>
          <w:szCs w:val="28"/>
          <w:lang w:val="en-US"/>
        </w:rPr>
      </w:pPr>
      <w:r w:rsidRPr="00950438">
        <w:rPr>
          <w:color w:val="0E101A"/>
          <w:sz w:val="28"/>
          <w:szCs w:val="28"/>
          <w:lang w:val="en-US"/>
        </w:rPr>
        <w:t>For instance, China and Japan consistently rank high in university-industry collaboration and cluster strength within the</w:t>
      </w:r>
      <w:r w:rsidRPr="00E87E24">
        <w:rPr>
          <w:color w:val="0E101A"/>
          <w:sz w:val="28"/>
          <w:szCs w:val="28"/>
          <w:lang w:val="en-US"/>
        </w:rPr>
        <w:t xml:space="preserve"> GII, reflecting mature innovation systems with deeply integrated academia-industry partnerships and strong regional innovation hubs. While benefiting from industrial clusters, Italy demonstrates more moderate levels of institutional coordination and political stability, which may influence its entrepreneurial outcomes differently. Kazakhstan, a growing innovation system, has recently progressed in promoting innovation-driven universities and cluster development via state-led initiatives; however, its Global Innovation Index rankings regarding political stability and business environment indicate possible systemic obstacles to nascent entrepreneurial activity. </w:t>
      </w:r>
    </w:p>
    <w:p w14:paraId="6585FE06" w14:textId="77777777" w:rsidR="00600C79" w:rsidRPr="00E87E24" w:rsidRDefault="00600C79" w:rsidP="0057736C">
      <w:pPr>
        <w:pStyle w:val="a4"/>
        <w:spacing w:before="0" w:beforeAutospacing="0" w:after="0" w:afterAutospacing="0"/>
        <w:ind w:firstLine="720"/>
        <w:jc w:val="both"/>
        <w:rPr>
          <w:color w:val="0E101A"/>
          <w:sz w:val="28"/>
          <w:szCs w:val="28"/>
          <w:lang w:val="en-US"/>
        </w:rPr>
      </w:pPr>
      <w:r w:rsidRPr="00E87E24">
        <w:rPr>
          <w:color w:val="0E101A"/>
          <w:sz w:val="28"/>
          <w:szCs w:val="28"/>
          <w:lang w:val="en-US"/>
        </w:rPr>
        <w:t xml:space="preserve">The correlational study examines if stronger UIC is associated with more vigorous cluster growth, signifying dynamic regional innovation ecosystems. Concurrently, it examines the correlation between political stability and the capacity to initiate a firm, evaluating the institutional preparedness for innovation-driven entrepreneurship. The choice of these four countries establishes a comparative framework that juxtaposes established innovation economies with transitional </w:t>
      </w:r>
      <w:r w:rsidRPr="00E87E24">
        <w:rPr>
          <w:color w:val="0E101A"/>
          <w:sz w:val="28"/>
          <w:szCs w:val="28"/>
          <w:lang w:val="en-US"/>
        </w:rPr>
        <w:lastRenderedPageBreak/>
        <w:t>situations, highlighting the facilitating and inhibiting elements for entrepreneurial purposes within Triple Helix ecosystems.</w:t>
      </w:r>
    </w:p>
    <w:p w14:paraId="22968DD4" w14:textId="4D26F0A0" w:rsidR="00600C79" w:rsidRPr="0057736C" w:rsidRDefault="00600C79" w:rsidP="0057736C">
      <w:pPr>
        <w:pStyle w:val="a4"/>
        <w:spacing w:before="0" w:beforeAutospacing="0" w:after="0" w:afterAutospacing="0"/>
        <w:ind w:firstLine="720"/>
        <w:jc w:val="both"/>
        <w:rPr>
          <w:color w:val="0E101A"/>
          <w:sz w:val="28"/>
          <w:szCs w:val="28"/>
          <w:lang w:val="en-US"/>
        </w:rPr>
      </w:pPr>
      <w:r w:rsidRPr="00E87E24">
        <w:rPr>
          <w:color w:val="0E101A"/>
          <w:sz w:val="28"/>
          <w:szCs w:val="28"/>
          <w:lang w:val="en-US"/>
        </w:rPr>
        <w:t>This research integrates GII data into the analytical framework, aligning institutional performance metrics with observed correlations. Thus, it establishes a theoretically and empirically grounded foundation for comprehending how national innovation policies and university engagement structures influence entrepreneurial ecosystems across various economic contexts.</w:t>
      </w:r>
    </w:p>
    <w:p w14:paraId="04CBCDD1" w14:textId="67FFBA23"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E87E24">
        <w:rPr>
          <w:rFonts w:ascii="Times New Roman" w:hAnsi="Times New Roman" w:cs="Times New Roman"/>
          <w:sz w:val="28"/>
          <w:szCs w:val="28"/>
          <w:lang w:val="en-US"/>
        </w:rPr>
        <w:t xml:space="preserve">To sum up these three different THM application in three different countries on multidimensional level the secondary data </w:t>
      </w:r>
      <w:r w:rsidRPr="00244343">
        <w:rPr>
          <w:rFonts w:ascii="Times New Roman" w:hAnsi="Times New Roman" w:cs="Times New Roman"/>
          <w:sz w:val="28"/>
          <w:szCs w:val="28"/>
          <w:lang w:val="en-US"/>
        </w:rPr>
        <w:t>on innovation ranks and some its pillars were taken from GII reports throughout 2010-2023. The data on: Starting business, UIC, presence of clusters and their state, political stability and overall GII rank of above analyzed countries, including Kazakhstan [</w:t>
      </w:r>
      <w:r w:rsidR="00770DC9">
        <w:rPr>
          <w:rFonts w:ascii="Times New Roman" w:hAnsi="Times New Roman" w:cs="Times New Roman"/>
          <w:sz w:val="28"/>
          <w:szCs w:val="28"/>
          <w:lang w:val="kk-KZ"/>
        </w:rPr>
        <w:t>154-167</w:t>
      </w:r>
      <w:r w:rsidRPr="00244343">
        <w:rPr>
          <w:rFonts w:ascii="Times New Roman" w:hAnsi="Times New Roman" w:cs="Times New Roman"/>
          <w:sz w:val="28"/>
          <w:szCs w:val="28"/>
          <w:lang w:val="en-US"/>
        </w:rPr>
        <w:t>].</w:t>
      </w:r>
    </w:p>
    <w:p w14:paraId="19A38F90" w14:textId="7742BAB0" w:rsidR="00600C79" w:rsidRPr="00244343" w:rsidRDefault="00600C79" w:rsidP="00600C79">
      <w:pPr>
        <w:spacing w:after="0" w:line="240" w:lineRule="auto"/>
        <w:ind w:firstLine="720"/>
        <w:contextualSpacing/>
        <w:jc w:val="both"/>
        <w:rPr>
          <w:rFonts w:ascii="Times New Roman" w:hAnsi="Times New Roman" w:cs="Times New Roman"/>
          <w:sz w:val="28"/>
          <w:szCs w:val="28"/>
          <w:shd w:val="clear" w:color="auto" w:fill="D9D9D9" w:themeFill="background1" w:themeFillShade="D9"/>
          <w:lang w:val="en-US"/>
        </w:rPr>
      </w:pPr>
      <w:r w:rsidRPr="00244343">
        <w:rPr>
          <w:rFonts w:ascii="Times New Roman" w:hAnsi="Times New Roman" w:cs="Times New Roman"/>
          <w:sz w:val="28"/>
          <w:szCs w:val="28"/>
          <w:lang w:val="en-US"/>
        </w:rPr>
        <w:t xml:space="preserve">Following bar charts represents each country’s political stability index calculated from their political rank in GII reports (2010-2023) via excel formula =RANK.AVG (number, ref, [order]) and put the index according to the stability level logic (figures 26,27,28,29).  Correlational analysis was carried out to determine how the country's political stability affects any of the given pillars. Detailed data on ranks of given countries are given in appendix </w:t>
      </w:r>
      <w:r w:rsidR="00D9420A">
        <w:rPr>
          <w:rFonts w:ascii="Times New Roman" w:hAnsi="Times New Roman" w:cs="Times New Roman"/>
          <w:sz w:val="28"/>
          <w:szCs w:val="28"/>
          <w:lang w:val="en-US"/>
        </w:rPr>
        <w:t>B</w:t>
      </w:r>
      <w:r w:rsidRPr="00244343">
        <w:rPr>
          <w:rFonts w:ascii="Times New Roman" w:hAnsi="Times New Roman" w:cs="Times New Roman"/>
          <w:sz w:val="28"/>
          <w:szCs w:val="28"/>
          <w:lang w:val="en-US"/>
        </w:rPr>
        <w:t xml:space="preserve"> (tables </w:t>
      </w:r>
      <w:r w:rsidR="00D9420A">
        <w:rPr>
          <w:rFonts w:ascii="Times New Roman" w:hAnsi="Times New Roman" w:cs="Times New Roman"/>
          <w:sz w:val="28"/>
          <w:szCs w:val="28"/>
          <w:lang w:val="en-US"/>
        </w:rPr>
        <w:t>B.1</w:t>
      </w:r>
      <w:r w:rsidRPr="00244343">
        <w:rPr>
          <w:rFonts w:ascii="Times New Roman" w:hAnsi="Times New Roman" w:cs="Times New Roman"/>
          <w:sz w:val="28"/>
          <w:szCs w:val="28"/>
          <w:lang w:val="en-US"/>
        </w:rPr>
        <w:t>,</w:t>
      </w:r>
      <w:r w:rsidR="00D9420A">
        <w:rPr>
          <w:rFonts w:ascii="Times New Roman" w:hAnsi="Times New Roman" w:cs="Times New Roman"/>
          <w:sz w:val="28"/>
          <w:szCs w:val="28"/>
          <w:lang w:val="en-US"/>
        </w:rPr>
        <w:t xml:space="preserve"> B.2</w:t>
      </w:r>
      <w:r w:rsidRPr="00244343">
        <w:rPr>
          <w:rFonts w:ascii="Times New Roman" w:hAnsi="Times New Roman" w:cs="Times New Roman"/>
          <w:sz w:val="28"/>
          <w:szCs w:val="28"/>
          <w:lang w:val="en-US"/>
        </w:rPr>
        <w:t>,</w:t>
      </w:r>
      <w:r w:rsidR="00D9420A">
        <w:rPr>
          <w:rFonts w:ascii="Times New Roman" w:hAnsi="Times New Roman" w:cs="Times New Roman"/>
          <w:sz w:val="28"/>
          <w:szCs w:val="28"/>
          <w:lang w:val="en-US"/>
        </w:rPr>
        <w:t xml:space="preserve"> B.3</w:t>
      </w:r>
      <w:r w:rsidRPr="00244343">
        <w:rPr>
          <w:rFonts w:ascii="Times New Roman" w:hAnsi="Times New Roman" w:cs="Times New Roman"/>
          <w:sz w:val="28"/>
          <w:szCs w:val="28"/>
          <w:lang w:val="en-US"/>
        </w:rPr>
        <w:t>,</w:t>
      </w:r>
      <w:r w:rsidR="00D9420A">
        <w:rPr>
          <w:rFonts w:ascii="Times New Roman" w:hAnsi="Times New Roman" w:cs="Times New Roman"/>
          <w:sz w:val="28"/>
          <w:szCs w:val="28"/>
          <w:lang w:val="en-US"/>
        </w:rPr>
        <w:t xml:space="preserve"> B.4</w:t>
      </w:r>
      <w:r w:rsidRPr="00244343">
        <w:rPr>
          <w:rFonts w:ascii="Times New Roman" w:hAnsi="Times New Roman" w:cs="Times New Roman"/>
          <w:sz w:val="28"/>
          <w:szCs w:val="28"/>
          <w:lang w:val="en-US"/>
        </w:rPr>
        <w:t xml:space="preserve">). </w:t>
      </w:r>
    </w:p>
    <w:p w14:paraId="225A8FB5"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shd w:val="clear" w:color="auto" w:fill="D9D9D9" w:themeFill="background1" w:themeFillShade="D9"/>
          <w:lang w:val="en-US"/>
        </w:rPr>
      </w:pPr>
    </w:p>
    <w:p w14:paraId="0747EA0D" w14:textId="3C42A3C9" w:rsidR="00600C79" w:rsidRPr="00244343" w:rsidRDefault="00600C79" w:rsidP="00853725">
      <w:pPr>
        <w:spacing w:after="0" w:line="240" w:lineRule="auto"/>
        <w:ind w:firstLine="720"/>
        <w:contextualSpacing/>
        <w:jc w:val="center"/>
        <w:rPr>
          <w:rFonts w:ascii="Times New Roman" w:eastAsiaTheme="minorEastAsia" w:hAnsi="Times New Roman" w:cs="Times New Roman"/>
          <w:sz w:val="28"/>
          <w:szCs w:val="28"/>
          <w:lang w:val="en-US"/>
        </w:rPr>
      </w:pPr>
      <m:oMath>
        <m:r>
          <w:rPr>
            <w:rFonts w:ascii="Cambria Math" w:hAnsi="Cambria Math" w:cs="Times New Roman"/>
            <w:sz w:val="32"/>
            <w:szCs w:val="32"/>
            <w:lang w:val="en-US"/>
          </w:rPr>
          <m:t>r</m:t>
        </m:r>
        <m:r>
          <m:rPr>
            <m:sty m:val="p"/>
          </m:rPr>
          <w:rPr>
            <w:rFonts w:ascii="Cambria Math" w:hAnsi="Cambria Math" w:cs="Times New Roman"/>
            <w:sz w:val="32"/>
            <w:szCs w:val="32"/>
            <w:lang w:val="en-US"/>
          </w:rPr>
          <m:t>=</m:t>
        </m:r>
        <m:f>
          <m:fPr>
            <m:ctrlPr>
              <w:rPr>
                <w:rFonts w:ascii="Cambria Math" w:hAnsi="Cambria Math" w:cs="Times New Roman"/>
                <w:sz w:val="32"/>
                <w:szCs w:val="32"/>
                <w:lang w:val="en-US"/>
              </w:rPr>
            </m:ctrlPr>
          </m:fPr>
          <m:num>
            <m:nary>
              <m:naryPr>
                <m:chr m:val="∑"/>
                <m:limLoc m:val="undOvr"/>
                <m:subHide m:val="1"/>
                <m:supHide m:val="1"/>
                <m:ctrlPr>
                  <w:rPr>
                    <w:rFonts w:ascii="Cambria Math" w:hAnsi="Cambria Math" w:cs="Times New Roman"/>
                    <w:sz w:val="32"/>
                    <w:szCs w:val="32"/>
                    <w:lang w:val="en-US"/>
                  </w:rPr>
                </m:ctrlPr>
              </m:naryPr>
              <m:sub/>
              <m:sup/>
              <m:e>
                <m:r>
                  <w:rPr>
                    <w:rFonts w:ascii="Cambria Math" w:hAnsi="Cambria Math" w:cs="Times New Roman"/>
                    <w:sz w:val="32"/>
                    <w:szCs w:val="32"/>
                    <w:lang w:val="en-US"/>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x</m:t>
                    </m:r>
                  </m:e>
                  <m:sub>
                    <m:r>
                      <w:rPr>
                        <w:rFonts w:ascii="Cambria Math" w:hAnsi="Cambria Math" w:cs="Times New Roman"/>
                        <w:sz w:val="32"/>
                        <w:szCs w:val="32"/>
                        <w:lang w:val="en-US"/>
                      </w:rPr>
                      <m:t>i</m:t>
                    </m:r>
                  </m:sub>
                </m:sSub>
              </m:e>
            </m:nary>
            <m:r>
              <m:rPr>
                <m:sty m:val="p"/>
              </m:rPr>
              <w:rPr>
                <w:rFonts w:ascii="Cambria Math" w:hAnsi="Cambria Math" w:cs="Times New Roman"/>
                <w:sz w:val="32"/>
                <w:szCs w:val="32"/>
                <w:lang w:val="en-US"/>
              </w:rPr>
              <m:t>-</m:t>
            </m:r>
            <m:bar>
              <m:barPr>
                <m:pos m:val="top"/>
                <m:ctrlPr>
                  <w:rPr>
                    <w:rFonts w:ascii="Cambria Math" w:hAnsi="Cambria Math" w:cs="Times New Roman"/>
                    <w:sz w:val="32"/>
                    <w:szCs w:val="32"/>
                    <w:lang w:val="en-US"/>
                  </w:rPr>
                </m:ctrlPr>
              </m:barPr>
              <m:e>
                <m:r>
                  <w:rPr>
                    <w:rFonts w:ascii="Cambria Math" w:hAnsi="Cambria Math" w:cs="Times New Roman"/>
                    <w:sz w:val="32"/>
                    <w:szCs w:val="32"/>
                    <w:lang w:val="en-US"/>
                  </w:rPr>
                  <m:t>x</m:t>
                </m:r>
              </m:e>
            </m:bar>
            <m:r>
              <w:rPr>
                <w:rFonts w:ascii="Cambria Math" w:hAnsi="Cambria Math" w:cs="Times New Roman"/>
                <w:sz w:val="32"/>
                <w:szCs w:val="32"/>
                <w:lang w:val="en-US"/>
              </w:rPr>
              <m:t>)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y</m:t>
                </m:r>
              </m:e>
              <m:sub>
                <m:r>
                  <w:rPr>
                    <w:rFonts w:ascii="Cambria Math" w:hAnsi="Cambria Math" w:cs="Times New Roman"/>
                    <w:sz w:val="32"/>
                    <w:szCs w:val="32"/>
                    <w:lang w:val="en-US"/>
                  </w:rPr>
                  <m:t>i</m:t>
                </m:r>
              </m:sub>
            </m:sSub>
            <m:r>
              <w:rPr>
                <w:rFonts w:ascii="Cambria Math" w:hAnsi="Cambria Math" w:cs="Times New Roman"/>
                <w:sz w:val="32"/>
                <w:szCs w:val="32"/>
                <w:lang w:val="en-US"/>
              </w:rPr>
              <m:t>-</m:t>
            </m:r>
            <m:bar>
              <m:barPr>
                <m:pos m:val="top"/>
                <m:ctrlPr>
                  <w:rPr>
                    <w:rFonts w:ascii="Cambria Math" w:hAnsi="Cambria Math" w:cs="Times New Roman"/>
                    <w:i/>
                    <w:sz w:val="32"/>
                    <w:szCs w:val="32"/>
                    <w:lang w:val="en-US"/>
                  </w:rPr>
                </m:ctrlPr>
              </m:barPr>
              <m:e>
                <m:r>
                  <w:rPr>
                    <w:rFonts w:ascii="Cambria Math" w:hAnsi="Cambria Math" w:cs="Times New Roman"/>
                    <w:sz w:val="32"/>
                    <w:szCs w:val="32"/>
                    <w:lang w:val="en-US"/>
                  </w:rPr>
                  <m:t>y</m:t>
                </m:r>
              </m:e>
            </m:bar>
            <m:r>
              <w:rPr>
                <w:rFonts w:ascii="Cambria Math" w:hAnsi="Cambria Math" w:cs="Times New Roman"/>
                <w:sz w:val="32"/>
                <w:szCs w:val="32"/>
                <w:lang w:val="en-US"/>
              </w:rPr>
              <m:t>)</m:t>
            </m:r>
          </m:num>
          <m:den>
            <m:rad>
              <m:radPr>
                <m:degHide m:val="1"/>
                <m:ctrlPr>
                  <w:rPr>
                    <w:rFonts w:ascii="Cambria Math" w:hAnsi="Cambria Math" w:cs="Times New Roman"/>
                    <w:sz w:val="32"/>
                    <w:szCs w:val="32"/>
                    <w:lang w:val="en-US"/>
                  </w:rPr>
                </m:ctrlPr>
              </m:radPr>
              <m:deg/>
              <m:e>
                <m:sSup>
                  <m:sSupPr>
                    <m:ctrlPr>
                      <w:rPr>
                        <w:rFonts w:ascii="Cambria Math" w:hAnsi="Cambria Math" w:cs="Times New Roman"/>
                        <w:sz w:val="32"/>
                        <w:szCs w:val="32"/>
                        <w:lang w:val="en-US"/>
                      </w:rPr>
                    </m:ctrlPr>
                  </m:sSupPr>
                  <m:e>
                    <m:nary>
                      <m:naryPr>
                        <m:chr m:val="∑"/>
                        <m:limLoc m:val="undOvr"/>
                        <m:subHide m:val="1"/>
                        <m:supHide m:val="1"/>
                        <m:ctrlPr>
                          <w:rPr>
                            <w:rFonts w:ascii="Cambria Math" w:hAnsi="Cambria Math" w:cs="Times New Roman"/>
                            <w:sz w:val="32"/>
                            <w:szCs w:val="32"/>
                            <w:lang w:val="en-US"/>
                          </w:rPr>
                        </m:ctrlPr>
                      </m:naryPr>
                      <m:sub/>
                      <m:sup/>
                      <m:e>
                        <m:r>
                          <w:rPr>
                            <w:rFonts w:ascii="Cambria Math" w:hAnsi="Cambria Math" w:cs="Times New Roman"/>
                            <w:sz w:val="32"/>
                            <w:szCs w:val="32"/>
                            <w:lang w:val="en-US"/>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x</m:t>
                            </m:r>
                          </m:e>
                          <m:sub>
                            <m:r>
                              <w:rPr>
                                <w:rFonts w:ascii="Cambria Math" w:hAnsi="Cambria Math" w:cs="Times New Roman"/>
                                <w:sz w:val="32"/>
                                <w:szCs w:val="32"/>
                                <w:lang w:val="en-US"/>
                              </w:rPr>
                              <m:t>i</m:t>
                            </m:r>
                          </m:sub>
                        </m:sSub>
                      </m:e>
                    </m:nary>
                    <m:r>
                      <m:rPr>
                        <m:sty m:val="p"/>
                      </m:rPr>
                      <w:rPr>
                        <w:rFonts w:ascii="Cambria Math" w:hAnsi="Cambria Math" w:cs="Times New Roman"/>
                        <w:sz w:val="32"/>
                        <w:szCs w:val="32"/>
                        <w:lang w:val="en-US"/>
                      </w:rPr>
                      <m:t>-</m:t>
                    </m:r>
                    <m:bar>
                      <m:barPr>
                        <m:pos m:val="top"/>
                        <m:ctrlPr>
                          <w:rPr>
                            <w:rFonts w:ascii="Cambria Math" w:hAnsi="Cambria Math" w:cs="Times New Roman"/>
                            <w:sz w:val="32"/>
                            <w:szCs w:val="32"/>
                            <w:lang w:val="en-US"/>
                          </w:rPr>
                        </m:ctrlPr>
                      </m:barPr>
                      <m:e>
                        <m:r>
                          <w:rPr>
                            <w:rFonts w:ascii="Cambria Math" w:hAnsi="Cambria Math" w:cs="Times New Roman"/>
                            <w:sz w:val="32"/>
                            <w:szCs w:val="32"/>
                            <w:lang w:val="en-US"/>
                          </w:rPr>
                          <m:t>x</m:t>
                        </m:r>
                      </m:e>
                    </m:bar>
                    <m:r>
                      <w:rPr>
                        <w:rFonts w:ascii="Cambria Math" w:hAnsi="Cambria Math" w:cs="Times New Roman"/>
                        <w:sz w:val="32"/>
                        <w:szCs w:val="32"/>
                        <w:lang w:val="en-US"/>
                      </w:rPr>
                      <m:t>)</m:t>
                    </m:r>
                  </m:e>
                  <m:sup>
                    <m:r>
                      <m:rPr>
                        <m:sty m:val="p"/>
                      </m:rPr>
                      <w:rPr>
                        <w:rFonts w:ascii="Cambria Math" w:hAnsi="Cambria Math" w:cs="Times New Roman"/>
                        <w:sz w:val="32"/>
                        <w:szCs w:val="32"/>
                        <w:lang w:val="en-US"/>
                      </w:rPr>
                      <m:t>2</m:t>
                    </m:r>
                  </m:sup>
                </m:sSup>
                <m:r>
                  <m:rPr>
                    <m:sty m:val="p"/>
                  </m:rPr>
                  <w:rPr>
                    <w:rFonts w:ascii="Cambria Math" w:hAnsi="Cambria Math" w:cs="Times New Roman"/>
                    <w:sz w:val="32"/>
                    <w:szCs w:val="32"/>
                    <w:lang w:val="en-US"/>
                  </w:rPr>
                  <m:t xml:space="preserve"> </m:t>
                </m:r>
                <m:sSup>
                  <m:sSupPr>
                    <m:ctrlPr>
                      <w:rPr>
                        <w:rFonts w:ascii="Cambria Math" w:hAnsi="Cambria Math" w:cs="Times New Roman"/>
                        <w:sz w:val="32"/>
                        <w:szCs w:val="32"/>
                        <w:lang w:val="en-US"/>
                      </w:rPr>
                    </m:ctrlPr>
                  </m:sSupPr>
                  <m:e>
                    <m:nary>
                      <m:naryPr>
                        <m:chr m:val="∑"/>
                        <m:limLoc m:val="undOvr"/>
                        <m:subHide m:val="1"/>
                        <m:supHide m:val="1"/>
                        <m:ctrlPr>
                          <w:rPr>
                            <w:rFonts w:ascii="Cambria Math" w:hAnsi="Cambria Math" w:cs="Times New Roman"/>
                            <w:sz w:val="32"/>
                            <w:szCs w:val="32"/>
                            <w:lang w:val="en-US"/>
                          </w:rPr>
                        </m:ctrlPr>
                      </m:naryPr>
                      <m:sub/>
                      <m:sup/>
                      <m:e>
                        <m:r>
                          <w:rPr>
                            <w:rFonts w:ascii="Cambria Math" w:hAnsi="Cambria Math" w:cs="Times New Roman"/>
                            <w:sz w:val="32"/>
                            <w:szCs w:val="32"/>
                            <w:lang w:val="en-US"/>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y</m:t>
                            </m:r>
                          </m:e>
                          <m:sub>
                            <m:r>
                              <w:rPr>
                                <w:rFonts w:ascii="Cambria Math" w:hAnsi="Cambria Math" w:cs="Times New Roman"/>
                                <w:sz w:val="32"/>
                                <w:szCs w:val="32"/>
                                <w:lang w:val="en-US"/>
                              </w:rPr>
                              <m:t>i</m:t>
                            </m:r>
                          </m:sub>
                        </m:sSub>
                      </m:e>
                    </m:nary>
                    <m:r>
                      <m:rPr>
                        <m:sty m:val="p"/>
                      </m:rPr>
                      <w:rPr>
                        <w:rFonts w:ascii="Cambria Math" w:hAnsi="Cambria Math" w:cs="Times New Roman"/>
                        <w:sz w:val="32"/>
                        <w:szCs w:val="32"/>
                        <w:lang w:val="en-US"/>
                      </w:rPr>
                      <m:t>-</m:t>
                    </m:r>
                    <m:bar>
                      <m:barPr>
                        <m:pos m:val="top"/>
                        <m:ctrlPr>
                          <w:rPr>
                            <w:rFonts w:ascii="Cambria Math" w:hAnsi="Cambria Math" w:cs="Times New Roman"/>
                            <w:sz w:val="32"/>
                            <w:szCs w:val="32"/>
                            <w:lang w:val="en-US"/>
                          </w:rPr>
                        </m:ctrlPr>
                      </m:barPr>
                      <m:e>
                        <m:r>
                          <w:rPr>
                            <w:rFonts w:ascii="Cambria Math" w:hAnsi="Cambria Math" w:cs="Times New Roman"/>
                            <w:sz w:val="32"/>
                            <w:szCs w:val="32"/>
                            <w:lang w:val="en-US"/>
                          </w:rPr>
                          <m:t>y</m:t>
                        </m:r>
                      </m:e>
                    </m:bar>
                    <m:r>
                      <w:rPr>
                        <w:rFonts w:ascii="Cambria Math" w:hAnsi="Cambria Math" w:cs="Times New Roman"/>
                        <w:sz w:val="32"/>
                        <w:szCs w:val="32"/>
                        <w:lang w:val="en-US"/>
                      </w:rPr>
                      <m:t>)</m:t>
                    </m:r>
                  </m:e>
                  <m:sup>
                    <m:r>
                      <m:rPr>
                        <m:sty m:val="p"/>
                      </m:rPr>
                      <w:rPr>
                        <w:rFonts w:ascii="Cambria Math" w:hAnsi="Cambria Math" w:cs="Times New Roman"/>
                        <w:sz w:val="32"/>
                        <w:szCs w:val="32"/>
                        <w:lang w:val="en-US"/>
                      </w:rPr>
                      <m:t>2</m:t>
                    </m:r>
                  </m:sup>
                </m:sSup>
              </m:e>
            </m:rad>
            <m:r>
              <w:rPr>
                <w:rFonts w:ascii="Cambria Math" w:hAnsi="Cambria Math" w:cs="Times New Roman"/>
                <w:sz w:val="32"/>
                <w:szCs w:val="32"/>
                <w:lang w:val="en-US"/>
              </w:rPr>
              <m:t xml:space="preserve"> </m:t>
            </m:r>
          </m:den>
        </m:f>
      </m:oMath>
      <w:r w:rsidRPr="00244343">
        <w:rPr>
          <w:rFonts w:ascii="Times New Roman" w:eastAsiaTheme="minorEastAsia" w:hAnsi="Times New Roman" w:cs="Times New Roman"/>
          <w:sz w:val="28"/>
          <w:szCs w:val="28"/>
          <w:lang w:val="en-US"/>
        </w:rPr>
        <w:t xml:space="preserve">                                                       (1)</w:t>
      </w:r>
    </w:p>
    <w:p w14:paraId="7F0777EE" w14:textId="77777777" w:rsidR="00600C79" w:rsidRDefault="00600C79" w:rsidP="006354D5">
      <w:pPr>
        <w:spacing w:after="0" w:line="240" w:lineRule="auto"/>
        <w:contextualSpacing/>
        <w:jc w:val="both"/>
        <w:rPr>
          <w:rFonts w:ascii="Times New Roman" w:eastAsiaTheme="minorEastAsia" w:hAnsi="Times New Roman" w:cs="Times New Roman"/>
          <w:sz w:val="28"/>
          <w:szCs w:val="28"/>
          <w:lang w:val="en-US"/>
        </w:rPr>
      </w:pPr>
    </w:p>
    <w:p w14:paraId="5C90F3C0" w14:textId="77777777" w:rsidR="00600C79" w:rsidRPr="00244343" w:rsidRDefault="00600C79" w:rsidP="00600C79">
      <w:pPr>
        <w:spacing w:after="0" w:line="240" w:lineRule="auto"/>
        <w:ind w:firstLine="720"/>
        <w:contextualSpacing/>
        <w:jc w:val="both"/>
        <w:rPr>
          <w:rFonts w:ascii="Times New Roman" w:eastAsiaTheme="minorEastAsia" w:hAnsi="Times New Roman" w:cs="Times New Roman"/>
          <w:sz w:val="28"/>
          <w:szCs w:val="28"/>
          <w:lang w:val="en-US"/>
        </w:rPr>
      </w:pPr>
      <w:r w:rsidRPr="00244343">
        <w:rPr>
          <w:rFonts w:ascii="Times New Roman" w:eastAsiaTheme="minorEastAsia" w:hAnsi="Times New Roman" w:cs="Times New Roman"/>
          <w:sz w:val="28"/>
          <w:szCs w:val="28"/>
          <w:lang w:val="en-US"/>
        </w:rPr>
        <w:t>r = correlation coefficient</w:t>
      </w:r>
    </w:p>
    <w:p w14:paraId="3FE3E431" w14:textId="77777777" w:rsidR="00600C79" w:rsidRPr="00244343" w:rsidRDefault="00600C79" w:rsidP="00600C79">
      <w:pPr>
        <w:spacing w:after="0" w:line="240" w:lineRule="auto"/>
        <w:ind w:firstLine="720"/>
        <w:contextualSpacing/>
        <w:jc w:val="both"/>
        <w:rPr>
          <w:rFonts w:ascii="Times New Roman" w:eastAsiaTheme="minorEastAsia" w:hAnsi="Times New Roman" w:cs="Times New Roman"/>
          <w:sz w:val="28"/>
          <w:szCs w:val="28"/>
          <w:lang w:val="en-US"/>
        </w:rPr>
      </w:pPr>
      <w:r w:rsidRPr="00244343">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oMath>
      <w:r w:rsidRPr="00244343">
        <w:rPr>
          <w:rFonts w:ascii="Times New Roman" w:eastAsiaTheme="minorEastAsia" w:hAnsi="Times New Roman" w:cs="Times New Roman"/>
          <w:sz w:val="28"/>
          <w:szCs w:val="28"/>
          <w:lang w:val="en-US"/>
        </w:rPr>
        <w:t xml:space="preserve"> = represent the x -data item </w:t>
      </w:r>
    </w:p>
    <w:p w14:paraId="24B604AB" w14:textId="77777777" w:rsidR="00600C79" w:rsidRPr="00244343" w:rsidRDefault="002C6007" w:rsidP="00600C79">
      <w:pPr>
        <w:spacing w:after="0" w:line="240" w:lineRule="auto"/>
        <w:ind w:firstLine="720"/>
        <w:contextualSpacing/>
        <w:jc w:val="both"/>
        <w:rPr>
          <w:rFonts w:ascii="Times New Roman" w:eastAsiaTheme="minorEastAsia" w:hAnsi="Times New Roman" w:cs="Times New Roman"/>
          <w:sz w:val="28"/>
          <w:szCs w:val="28"/>
          <w:lang w:val="en-US"/>
        </w:rPr>
      </w:pPr>
      <m:oMath>
        <m:bar>
          <m:barPr>
            <m:pos m:val="top"/>
            <m:ctrlPr>
              <w:rPr>
                <w:rFonts w:ascii="Cambria Math" w:hAnsi="Cambria Math" w:cs="Times New Roman"/>
                <w:sz w:val="28"/>
                <w:szCs w:val="28"/>
                <w:lang w:val="en-US"/>
              </w:rPr>
            </m:ctrlPr>
          </m:barPr>
          <m:e>
            <m:r>
              <w:rPr>
                <w:rFonts w:ascii="Cambria Math" w:hAnsi="Cambria Math" w:cs="Times New Roman"/>
                <w:sz w:val="28"/>
                <w:szCs w:val="28"/>
                <w:lang w:val="en-US"/>
              </w:rPr>
              <m:t>x</m:t>
            </m:r>
          </m:e>
        </m:bar>
      </m:oMath>
      <w:r w:rsidR="00600C79" w:rsidRPr="00244343">
        <w:rPr>
          <w:rFonts w:ascii="Times New Roman" w:eastAsiaTheme="minorEastAsia" w:hAnsi="Times New Roman" w:cs="Times New Roman"/>
          <w:sz w:val="28"/>
          <w:szCs w:val="28"/>
          <w:lang w:val="en-US"/>
        </w:rPr>
        <w:t xml:space="preserve"> = mean oof the x- variable</w:t>
      </w:r>
    </w:p>
    <w:p w14:paraId="75DDD7EE" w14:textId="77777777" w:rsidR="00600C79" w:rsidRPr="00244343" w:rsidRDefault="002C6007" w:rsidP="00600C79">
      <w:pPr>
        <w:spacing w:after="0" w:line="240" w:lineRule="auto"/>
        <w:ind w:firstLine="720"/>
        <w:contextualSpacing/>
        <w:jc w:val="both"/>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oMath>
      <w:r w:rsidR="00600C79" w:rsidRPr="00244343">
        <w:rPr>
          <w:rFonts w:ascii="Times New Roman" w:eastAsiaTheme="minorEastAsia" w:hAnsi="Times New Roman" w:cs="Times New Roman"/>
          <w:sz w:val="28"/>
          <w:szCs w:val="28"/>
          <w:lang w:val="en-US"/>
        </w:rPr>
        <w:t xml:space="preserve"> = represents the y- data item </w:t>
      </w:r>
    </w:p>
    <w:p w14:paraId="5AB1AE0F" w14:textId="77777777" w:rsidR="00600C79" w:rsidRPr="00244343" w:rsidRDefault="002C6007" w:rsidP="00600C79">
      <w:pPr>
        <w:spacing w:after="0" w:line="240" w:lineRule="auto"/>
        <w:ind w:firstLine="720"/>
        <w:contextualSpacing/>
        <w:jc w:val="both"/>
        <w:rPr>
          <w:rFonts w:ascii="Times New Roman" w:eastAsiaTheme="minorEastAsia" w:hAnsi="Times New Roman" w:cs="Times New Roman"/>
          <w:sz w:val="28"/>
          <w:szCs w:val="28"/>
          <w:lang w:val="en-US"/>
        </w:rPr>
      </w:pPr>
      <m:oMath>
        <m:bar>
          <m:barPr>
            <m:pos m:val="top"/>
            <m:ctrlPr>
              <w:rPr>
                <w:rFonts w:ascii="Cambria Math" w:hAnsi="Cambria Math" w:cs="Times New Roman"/>
                <w:i/>
                <w:sz w:val="28"/>
                <w:szCs w:val="28"/>
                <w:lang w:val="en-US"/>
              </w:rPr>
            </m:ctrlPr>
          </m:barPr>
          <m:e>
            <m:r>
              <w:rPr>
                <w:rFonts w:ascii="Cambria Math" w:hAnsi="Cambria Math" w:cs="Times New Roman"/>
                <w:sz w:val="28"/>
                <w:szCs w:val="28"/>
                <w:lang w:val="en-US"/>
              </w:rPr>
              <m:t>y</m:t>
            </m:r>
          </m:e>
        </m:bar>
      </m:oMath>
      <w:r w:rsidR="00600C79" w:rsidRPr="00244343">
        <w:rPr>
          <w:rFonts w:ascii="Times New Roman" w:eastAsiaTheme="minorEastAsia" w:hAnsi="Times New Roman" w:cs="Times New Roman"/>
          <w:sz w:val="28"/>
          <w:szCs w:val="28"/>
          <w:lang w:val="en-US"/>
        </w:rPr>
        <w:t xml:space="preserve"> = mean of the y - variable</w:t>
      </w:r>
    </w:p>
    <w:p w14:paraId="6D6F652A"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 </w:t>
      </w:r>
    </w:p>
    <w:p w14:paraId="6588F5CA" w14:textId="4271CB9C" w:rsidR="00600C79"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Coefficient correlation between political stability and starting a business. Political stability is crucial for shaping innovation outcome. Starting a business is one of the crucial pillars in ranking innovation index of a country. Political instability may hinder economic growth and the start of a new business [</w:t>
      </w:r>
      <w:r w:rsidR="0014110F">
        <w:rPr>
          <w:rFonts w:ascii="Times New Roman" w:hAnsi="Times New Roman" w:cs="Times New Roman"/>
          <w:sz w:val="28"/>
          <w:szCs w:val="28"/>
          <w:lang w:val="kk-KZ"/>
        </w:rPr>
        <w:t>168-170</w:t>
      </w:r>
      <w:r w:rsidRPr="00244343">
        <w:rPr>
          <w:rFonts w:ascii="Times New Roman" w:hAnsi="Times New Roman" w:cs="Times New Roman"/>
          <w:sz w:val="28"/>
          <w:szCs w:val="28"/>
          <w:lang w:val="en-US"/>
        </w:rPr>
        <w:t>]. Political stability is essential for initiating a business, as instability disrupts operations, supply chains, and safety, deterring investments and obstructing economic progress, as evidenced in Freetown from 1991 to 2007 [</w:t>
      </w:r>
      <w:r w:rsidR="0014110F">
        <w:rPr>
          <w:rFonts w:ascii="Times New Roman" w:hAnsi="Times New Roman" w:cs="Times New Roman"/>
          <w:sz w:val="28"/>
          <w:szCs w:val="28"/>
          <w:lang w:val="kk-KZ"/>
        </w:rPr>
        <w:t>171</w:t>
      </w:r>
      <w:r w:rsidRPr="00244343">
        <w:rPr>
          <w:rFonts w:ascii="Times New Roman" w:hAnsi="Times New Roman" w:cs="Times New Roman"/>
          <w:sz w:val="28"/>
          <w:szCs w:val="28"/>
          <w:lang w:val="en-US"/>
        </w:rPr>
        <w:t xml:space="preserve">]. </w:t>
      </w:r>
    </w:p>
    <w:p w14:paraId="524A3833"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p>
    <w:p w14:paraId="045AD300"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i/>
          <w:iCs/>
          <w:sz w:val="28"/>
          <w:szCs w:val="28"/>
          <w:lang w:val="en-US"/>
        </w:rPr>
      </w:pPr>
      <w:r w:rsidRPr="00244343">
        <w:rPr>
          <w:rFonts w:ascii="Times New Roman" w:hAnsi="Times New Roman" w:cs="Times New Roman"/>
          <w:i/>
          <w:iCs/>
          <w:sz w:val="28"/>
          <w:szCs w:val="28"/>
          <w:lang w:val="en-US"/>
        </w:rPr>
        <w:t xml:space="preserve">China represents </w:t>
      </w:r>
      <w:r w:rsidRPr="00244343">
        <w:rPr>
          <w:rFonts w:ascii="Times New Roman" w:eastAsia="Times New Roman" w:hAnsi="Times New Roman" w:cs="Times New Roman"/>
          <w:i/>
          <w:iCs/>
          <w:sz w:val="28"/>
          <w:szCs w:val="28"/>
          <w:lang w:val="en-US"/>
        </w:rPr>
        <w:t>-0,8598</w:t>
      </w:r>
    </w:p>
    <w:p w14:paraId="2B5D4BA4"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i/>
          <w:iCs/>
          <w:sz w:val="28"/>
          <w:szCs w:val="28"/>
          <w:lang w:val="en-US"/>
        </w:rPr>
      </w:pPr>
      <w:r w:rsidRPr="00244343">
        <w:rPr>
          <w:rFonts w:ascii="Times New Roman" w:hAnsi="Times New Roman" w:cs="Times New Roman"/>
          <w:i/>
          <w:iCs/>
          <w:sz w:val="28"/>
          <w:szCs w:val="28"/>
          <w:lang w:val="en-US"/>
        </w:rPr>
        <w:t xml:space="preserve">Italy </w:t>
      </w:r>
      <w:r w:rsidRPr="00244343">
        <w:rPr>
          <w:rFonts w:ascii="Times New Roman" w:eastAsia="Times New Roman" w:hAnsi="Times New Roman" w:cs="Times New Roman"/>
          <w:i/>
          <w:iCs/>
          <w:sz w:val="28"/>
          <w:szCs w:val="28"/>
          <w:lang w:val="en-US"/>
        </w:rPr>
        <w:t>-0,8402</w:t>
      </w:r>
    </w:p>
    <w:p w14:paraId="352BA59A"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i/>
          <w:iCs/>
          <w:sz w:val="28"/>
          <w:szCs w:val="28"/>
          <w:lang w:val="en-US"/>
        </w:rPr>
      </w:pPr>
      <w:r w:rsidRPr="00244343">
        <w:rPr>
          <w:rFonts w:ascii="Times New Roman" w:eastAsia="Times New Roman" w:hAnsi="Times New Roman" w:cs="Times New Roman"/>
          <w:i/>
          <w:iCs/>
          <w:sz w:val="28"/>
          <w:szCs w:val="28"/>
          <w:lang w:val="en-US"/>
        </w:rPr>
        <w:t>Japan -0,1142</w:t>
      </w:r>
    </w:p>
    <w:p w14:paraId="5B3747D5" w14:textId="37D3CB5A" w:rsidR="00600C79" w:rsidRDefault="00600C79" w:rsidP="006354D5">
      <w:pPr>
        <w:spacing w:after="0" w:line="240" w:lineRule="auto"/>
        <w:ind w:firstLine="720"/>
        <w:contextualSpacing/>
        <w:jc w:val="both"/>
        <w:rPr>
          <w:rFonts w:ascii="Times New Roman" w:eastAsia="Times New Roman" w:hAnsi="Times New Roman" w:cs="Times New Roman"/>
          <w:i/>
          <w:iCs/>
          <w:sz w:val="28"/>
          <w:szCs w:val="28"/>
          <w:lang w:val="en-US"/>
        </w:rPr>
      </w:pPr>
      <w:proofErr w:type="spellStart"/>
      <w:r w:rsidRPr="00244343">
        <w:rPr>
          <w:rFonts w:ascii="Times New Roman" w:eastAsia="Times New Roman" w:hAnsi="Times New Roman" w:cs="Times New Roman"/>
          <w:i/>
          <w:iCs/>
          <w:sz w:val="28"/>
          <w:szCs w:val="28"/>
          <w:lang w:val="en-US"/>
        </w:rPr>
        <w:t>Kz</w:t>
      </w:r>
      <w:proofErr w:type="spellEnd"/>
      <w:r w:rsidRPr="00244343">
        <w:rPr>
          <w:rFonts w:ascii="Times New Roman" w:eastAsia="Times New Roman" w:hAnsi="Times New Roman" w:cs="Times New Roman"/>
          <w:i/>
          <w:iCs/>
          <w:sz w:val="28"/>
          <w:szCs w:val="28"/>
          <w:lang w:val="en-US"/>
        </w:rPr>
        <w:t xml:space="preserve"> -0,1785</w:t>
      </w:r>
    </w:p>
    <w:p w14:paraId="532D0B0B" w14:textId="020D8C8D" w:rsidR="006354D5" w:rsidRDefault="006354D5" w:rsidP="006354D5">
      <w:pPr>
        <w:spacing w:after="0" w:line="240" w:lineRule="auto"/>
        <w:ind w:firstLine="720"/>
        <w:contextualSpacing/>
        <w:jc w:val="both"/>
        <w:rPr>
          <w:rFonts w:ascii="Times New Roman" w:eastAsia="Times New Roman" w:hAnsi="Times New Roman" w:cs="Times New Roman"/>
          <w:i/>
          <w:iCs/>
          <w:sz w:val="28"/>
          <w:szCs w:val="28"/>
          <w:lang w:val="en-US"/>
        </w:rPr>
      </w:pPr>
    </w:p>
    <w:p w14:paraId="5CD5B1BF" w14:textId="59818F31" w:rsidR="006354D5" w:rsidRDefault="006354D5" w:rsidP="006354D5">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results demonstrate the negative correlation between political stability rank and starting the business in a country. China demonstrated the highest negative correlation (-0,8598) between political stability and starting a business. The less the </w:t>
      </w:r>
      <w:r w:rsidRPr="00244343">
        <w:rPr>
          <w:rFonts w:ascii="Times New Roman" w:hAnsi="Times New Roman" w:cs="Times New Roman"/>
          <w:sz w:val="28"/>
          <w:szCs w:val="28"/>
          <w:lang w:val="en-US"/>
        </w:rPr>
        <w:lastRenderedPageBreak/>
        <w:t>index of political stability the more it takes to start a business. Italy showed no less than China, -0,8402; Italy's political instability has impeded innovation, as diminishing citizen engagement and ineffectual reforms result in a lack of sustainable growth and escalating inequality, suppressing the potential for inventive progress [1</w:t>
      </w:r>
      <w:r>
        <w:rPr>
          <w:rFonts w:ascii="Times New Roman" w:hAnsi="Times New Roman" w:cs="Times New Roman"/>
          <w:sz w:val="28"/>
          <w:szCs w:val="28"/>
          <w:lang w:val="kk-KZ"/>
        </w:rPr>
        <w:t>72</w:t>
      </w:r>
      <w:r w:rsidRPr="00244343">
        <w:rPr>
          <w:rFonts w:ascii="Times New Roman" w:hAnsi="Times New Roman" w:cs="Times New Roman"/>
          <w:sz w:val="28"/>
          <w:szCs w:val="28"/>
          <w:lang w:val="en-US"/>
        </w:rPr>
        <w:t>]. whereas Japan demonstrated less negative correlation due to more stable political environment in the country. Interestingly, Kazakhstan depicted insignificant negative correlation.</w:t>
      </w:r>
    </w:p>
    <w:p w14:paraId="5A5F24F0" w14:textId="77777777" w:rsidR="006354D5" w:rsidRPr="006354D5" w:rsidRDefault="006354D5" w:rsidP="006354D5">
      <w:pPr>
        <w:spacing w:after="0" w:line="240" w:lineRule="auto"/>
        <w:ind w:firstLine="720"/>
        <w:contextualSpacing/>
        <w:jc w:val="both"/>
        <w:rPr>
          <w:rFonts w:ascii="Times New Roman" w:hAnsi="Times New Roman" w:cs="Times New Roman"/>
          <w:sz w:val="28"/>
          <w:szCs w:val="28"/>
          <w:lang w:val="en-US"/>
        </w:rPr>
      </w:pPr>
    </w:p>
    <w:p w14:paraId="72CBAF3C" w14:textId="77777777" w:rsidR="00600C79" w:rsidRPr="00244343" w:rsidRDefault="00600C79" w:rsidP="006354D5">
      <w:pPr>
        <w:spacing w:after="0" w:line="240" w:lineRule="auto"/>
        <w:ind w:firstLine="720"/>
        <w:contextualSpacing/>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6F706D8F" wp14:editId="3D07859B">
            <wp:extent cx="5498020" cy="2623820"/>
            <wp:effectExtent l="0" t="0" r="7620" b="5080"/>
            <wp:docPr id="21" name="Диаграмма 21">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B0E907A" w14:textId="77777777"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p>
    <w:p w14:paraId="48C95F94" w14:textId="77777777"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26 - Political stability index: China</w:t>
      </w:r>
    </w:p>
    <w:p w14:paraId="706480A3" w14:textId="77777777"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p>
    <w:p w14:paraId="5AA7DF2E" w14:textId="31943B51" w:rsidR="00600C79" w:rsidRPr="005C3631" w:rsidRDefault="00600C79" w:rsidP="00F64A64">
      <w:pPr>
        <w:spacing w:after="0" w:line="240" w:lineRule="auto"/>
        <w:ind w:firstLine="720"/>
        <w:contextualSpacing/>
        <w:rPr>
          <w:rFonts w:ascii="Times New Roman" w:hAnsi="Times New Roman" w:cs="Times New Roman"/>
          <w:sz w:val="24"/>
          <w:szCs w:val="24"/>
          <w:lang w:val="en-US"/>
        </w:rPr>
      </w:pPr>
      <w:r w:rsidRPr="005C3631">
        <w:rPr>
          <w:rFonts w:ascii="Times New Roman" w:hAnsi="Times New Roman" w:cs="Times New Roman"/>
          <w:sz w:val="24"/>
          <w:szCs w:val="24"/>
          <w:lang w:val="en-US"/>
        </w:rPr>
        <w:t>Note – Compiled by author on the basis of GII reports [</w:t>
      </w:r>
      <w:r w:rsidR="0014110F" w:rsidRPr="005C3631">
        <w:rPr>
          <w:rFonts w:ascii="Times New Roman" w:hAnsi="Times New Roman" w:cs="Times New Roman"/>
          <w:sz w:val="24"/>
          <w:szCs w:val="24"/>
          <w:lang w:val="kk-KZ"/>
        </w:rPr>
        <w:t>154-167</w:t>
      </w:r>
      <w:r w:rsidRPr="005C3631">
        <w:rPr>
          <w:rFonts w:ascii="Times New Roman" w:hAnsi="Times New Roman" w:cs="Times New Roman"/>
          <w:sz w:val="24"/>
          <w:szCs w:val="24"/>
          <w:lang w:val="en-US"/>
        </w:rPr>
        <w:t>]</w:t>
      </w:r>
    </w:p>
    <w:p w14:paraId="7529CC30"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p>
    <w:p w14:paraId="7BC45A0D" w14:textId="64EDC90B" w:rsidR="00600C79" w:rsidRPr="006F796C" w:rsidRDefault="00600C79" w:rsidP="006354D5">
      <w:pPr>
        <w:pStyle w:val="a4"/>
        <w:spacing w:before="0" w:beforeAutospacing="0" w:after="0" w:afterAutospacing="0"/>
        <w:ind w:firstLine="720"/>
        <w:jc w:val="both"/>
        <w:rPr>
          <w:color w:val="0E101A"/>
          <w:sz w:val="28"/>
          <w:szCs w:val="28"/>
          <w:lang w:val="en-US"/>
        </w:rPr>
      </w:pPr>
      <w:r w:rsidRPr="006F796C">
        <w:rPr>
          <w:color w:val="0E101A"/>
          <w:sz w:val="28"/>
          <w:szCs w:val="28"/>
          <w:lang w:val="en-US"/>
        </w:rPr>
        <w:t>Contrarily, Japan and Kazakhstan demonstrate weak negative correlations (r =</w:t>
      </w:r>
      <w:r w:rsidR="0014110F">
        <w:rPr>
          <w:color w:val="0E101A"/>
          <w:sz w:val="28"/>
          <w:szCs w:val="28"/>
          <w:lang w:val="kk-KZ"/>
        </w:rPr>
        <w:t xml:space="preserve"> -</w:t>
      </w:r>
      <w:r w:rsidRPr="006F796C">
        <w:rPr>
          <w:color w:val="0E101A"/>
          <w:sz w:val="28"/>
          <w:szCs w:val="28"/>
          <w:lang w:val="en-US"/>
        </w:rPr>
        <w:t xml:space="preserve">0.1142 and r = -0.1785), signifying a diminished relationship between political stability and company formation. In Japan, the minimal correlation indicates that social risk aversion, ageing demographics, and cultural attitudes toward entrepreneurship are more influential in determining entrepreneurial </w:t>
      </w:r>
      <w:proofErr w:type="spellStart"/>
      <w:r w:rsidRPr="006F796C">
        <w:rPr>
          <w:color w:val="0E101A"/>
          <w:sz w:val="28"/>
          <w:szCs w:val="28"/>
          <w:lang w:val="en-US"/>
        </w:rPr>
        <w:t>behaviour</w:t>
      </w:r>
      <w:proofErr w:type="spellEnd"/>
      <w:r w:rsidRPr="006F796C">
        <w:rPr>
          <w:color w:val="0E101A"/>
          <w:sz w:val="28"/>
          <w:szCs w:val="28"/>
          <w:lang w:val="en-US"/>
        </w:rPr>
        <w:t xml:space="preserve"> than governmental conditions alone. At the same time, Kazakhstan, as a transitional economy, has witnessed considerable reform efforts to improve its business environment despite facing challenges in political governance. The minor correlation suggests that although political stability is crucial, institutional reforms, financial access, and foreign alliances may significantly affect entrepreneurial activity in Kazakhstan.</w:t>
      </w:r>
    </w:p>
    <w:p w14:paraId="36BFA826" w14:textId="6BECA3A6" w:rsidR="00600C79" w:rsidRPr="006F796C" w:rsidRDefault="00600C79" w:rsidP="00C467C8">
      <w:pPr>
        <w:pStyle w:val="a4"/>
        <w:spacing w:before="0" w:beforeAutospacing="0" w:after="0" w:afterAutospacing="0"/>
        <w:ind w:firstLine="720"/>
        <w:jc w:val="both"/>
        <w:rPr>
          <w:color w:val="0E101A"/>
          <w:sz w:val="28"/>
          <w:szCs w:val="28"/>
          <w:lang w:val="en-US"/>
        </w:rPr>
      </w:pPr>
      <w:r w:rsidRPr="006F796C">
        <w:rPr>
          <w:color w:val="0E101A"/>
          <w:sz w:val="28"/>
          <w:szCs w:val="28"/>
          <w:lang w:val="en-US"/>
        </w:rPr>
        <w:t>These findings corroborate academic ideas that governmental stability, while essential for maintaining economic institutions, does not consistently foster entrepreneurial activity in all country contexts. As the literature suggests, the quality of institutions, regulatory efficiency, and innovation policy coherence often mediate the relationship between political conditions and the ease of business formation</w:t>
      </w:r>
      <w:r w:rsidR="00436413">
        <w:rPr>
          <w:color w:val="0E101A"/>
          <w:sz w:val="28"/>
          <w:szCs w:val="28"/>
          <w:lang w:val="en-US"/>
        </w:rPr>
        <w:t xml:space="preserve"> [173, 174]. </w:t>
      </w:r>
      <w:r w:rsidRPr="006F796C">
        <w:rPr>
          <w:color w:val="0E101A"/>
          <w:sz w:val="28"/>
          <w:szCs w:val="28"/>
          <w:lang w:val="en-US"/>
        </w:rPr>
        <w:t xml:space="preserve">Moreover, empirical evidence from regions affected by political instability—such as Freetown during the civil conflict (1991–2007)—demonstrates </w:t>
      </w:r>
      <w:r w:rsidRPr="006F796C">
        <w:rPr>
          <w:color w:val="0E101A"/>
          <w:sz w:val="28"/>
          <w:szCs w:val="28"/>
          <w:lang w:val="en-US"/>
        </w:rPr>
        <w:lastRenderedPageBreak/>
        <w:t>that severe political disruption can decisively hinder entrepreneurial emergence by dismantling infrastructure, threatening security, and deterring investment</w:t>
      </w:r>
      <w:r w:rsidR="002F5849">
        <w:rPr>
          <w:color w:val="0E101A"/>
          <w:sz w:val="28"/>
          <w:szCs w:val="28"/>
          <w:lang w:val="kk-KZ"/>
        </w:rPr>
        <w:t xml:space="preserve"> </w:t>
      </w:r>
      <w:r w:rsidR="002F5849">
        <w:rPr>
          <w:color w:val="0E101A"/>
          <w:sz w:val="28"/>
          <w:szCs w:val="28"/>
          <w:lang w:val="en-US"/>
        </w:rPr>
        <w:t>[175].</w:t>
      </w:r>
      <w:r w:rsidR="00436413">
        <w:rPr>
          <w:color w:val="0E101A"/>
          <w:sz w:val="28"/>
          <w:szCs w:val="28"/>
          <w:lang w:val="en-US"/>
        </w:rPr>
        <w:t xml:space="preserve"> </w:t>
      </w:r>
    </w:p>
    <w:p w14:paraId="02BC8D00" w14:textId="7B50EF14" w:rsidR="00600C79" w:rsidRPr="008A698C" w:rsidRDefault="00600C79" w:rsidP="008A698C">
      <w:pPr>
        <w:pStyle w:val="a4"/>
        <w:spacing w:before="0" w:beforeAutospacing="0" w:after="0" w:afterAutospacing="0"/>
        <w:ind w:firstLine="720"/>
        <w:jc w:val="both"/>
        <w:rPr>
          <w:color w:val="0E101A"/>
          <w:sz w:val="28"/>
          <w:szCs w:val="28"/>
          <w:lang w:val="en-US"/>
        </w:rPr>
      </w:pPr>
      <w:r w:rsidRPr="006F796C">
        <w:rPr>
          <w:color w:val="0E101A"/>
          <w:sz w:val="28"/>
          <w:szCs w:val="28"/>
          <w:lang w:val="en-US"/>
        </w:rPr>
        <w:t>Hence, in interpreting the correlation results, it is essential to distinguish between stability as a macro-level enabler and entrepreneurship as a micro-structural phenomenon. Political stability serves as a fundamental condition; however, the establishment of a firm also depends on regulatory clarity, capital accessibility, institutional transparency, and cultural attitudes towards innovation and risk-taking.</w:t>
      </w:r>
    </w:p>
    <w:p w14:paraId="1679E8E2" w14:textId="77777777" w:rsidR="00600C79" w:rsidRPr="00244343" w:rsidRDefault="00600C79" w:rsidP="008A698C">
      <w:pPr>
        <w:spacing w:after="0" w:line="240" w:lineRule="auto"/>
        <w:contextualSpacing/>
        <w:jc w:val="both"/>
        <w:rPr>
          <w:rFonts w:ascii="Times New Roman" w:hAnsi="Times New Roman" w:cs="Times New Roman"/>
          <w:sz w:val="28"/>
          <w:szCs w:val="28"/>
          <w:lang w:val="en-US"/>
        </w:rPr>
      </w:pPr>
    </w:p>
    <w:p w14:paraId="5DE7DC33"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64E0DDE9" wp14:editId="6391C0C7">
            <wp:extent cx="5177477" cy="2196465"/>
            <wp:effectExtent l="0" t="0" r="4445" b="13335"/>
            <wp:docPr id="22" name="Диаграмма 2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2F786EB" w14:textId="77777777"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27 - Political stability index: Italy</w:t>
      </w:r>
    </w:p>
    <w:p w14:paraId="0CFF988D" w14:textId="40136445" w:rsidR="00600C79" w:rsidRPr="00C467C8" w:rsidRDefault="00C467C8" w:rsidP="00600C79">
      <w:pPr>
        <w:spacing w:after="0" w:line="240" w:lineRule="auto"/>
        <w:ind w:firstLine="720"/>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448C0F05" w14:textId="17E82656" w:rsidR="00600C79" w:rsidRPr="008A698C" w:rsidRDefault="00600C79" w:rsidP="00F64A64">
      <w:pPr>
        <w:spacing w:after="0" w:line="240" w:lineRule="auto"/>
        <w:ind w:firstLine="720"/>
        <w:contextualSpacing/>
        <w:rPr>
          <w:rFonts w:ascii="Times New Roman" w:hAnsi="Times New Roman" w:cs="Times New Roman"/>
          <w:sz w:val="24"/>
          <w:szCs w:val="24"/>
          <w:lang w:val="en-US"/>
        </w:rPr>
      </w:pPr>
      <w:r w:rsidRPr="008A698C">
        <w:rPr>
          <w:rFonts w:ascii="Times New Roman" w:hAnsi="Times New Roman" w:cs="Times New Roman"/>
          <w:sz w:val="24"/>
          <w:szCs w:val="24"/>
          <w:lang w:val="en-US"/>
        </w:rPr>
        <w:t>Note – Compiled by author on the basis of [</w:t>
      </w:r>
      <w:r w:rsidR="00C467C8" w:rsidRPr="008A698C">
        <w:rPr>
          <w:rFonts w:ascii="Times New Roman" w:hAnsi="Times New Roman" w:cs="Times New Roman"/>
          <w:sz w:val="24"/>
          <w:szCs w:val="24"/>
          <w:lang w:val="kk-KZ"/>
        </w:rPr>
        <w:t>154-167</w:t>
      </w:r>
      <w:r w:rsidRPr="008A698C">
        <w:rPr>
          <w:rFonts w:ascii="Times New Roman" w:hAnsi="Times New Roman" w:cs="Times New Roman"/>
          <w:sz w:val="24"/>
          <w:szCs w:val="24"/>
          <w:lang w:val="en-US"/>
        </w:rPr>
        <w:t>]</w:t>
      </w:r>
    </w:p>
    <w:p w14:paraId="0943F0EA" w14:textId="77777777" w:rsidR="002F5849" w:rsidRDefault="002F5849" w:rsidP="00600C79">
      <w:pPr>
        <w:spacing w:after="0" w:line="240" w:lineRule="auto"/>
        <w:ind w:firstLine="720"/>
        <w:contextualSpacing/>
        <w:jc w:val="both"/>
        <w:rPr>
          <w:rFonts w:ascii="Times New Roman" w:hAnsi="Times New Roman" w:cs="Times New Roman"/>
          <w:sz w:val="28"/>
          <w:szCs w:val="28"/>
          <w:lang w:val="en-US"/>
        </w:rPr>
      </w:pPr>
    </w:p>
    <w:p w14:paraId="4C291CB1" w14:textId="1EB4A882" w:rsidR="00600C79"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Although the political stability in Kazakhstan may not be of a highest index (stable), it almost doesn’t affect the starting a business in Kazakhstan. It implies that whether less governmental intervention or underdevelopment of the business exists or not, it indicates independence of starting business on the rank index of stability in Kazakhstan, although there is no evidence of such conclusion. </w:t>
      </w:r>
    </w:p>
    <w:p w14:paraId="13B14731" w14:textId="77777777" w:rsidR="006354D5" w:rsidRPr="00244343" w:rsidRDefault="006354D5" w:rsidP="00600C79">
      <w:pPr>
        <w:spacing w:after="0" w:line="240" w:lineRule="auto"/>
        <w:ind w:firstLine="720"/>
        <w:contextualSpacing/>
        <w:jc w:val="both"/>
        <w:rPr>
          <w:rFonts w:ascii="Times New Roman" w:hAnsi="Times New Roman" w:cs="Times New Roman"/>
          <w:sz w:val="28"/>
          <w:szCs w:val="28"/>
          <w:lang w:val="en-US"/>
        </w:rPr>
      </w:pPr>
    </w:p>
    <w:p w14:paraId="603E7F07"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31AC0D27" wp14:editId="1FC2A788">
            <wp:extent cx="5201285" cy="2422566"/>
            <wp:effectExtent l="0" t="0" r="18415" b="15875"/>
            <wp:docPr id="23" name="Диаграмма 23">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89C0961" w14:textId="77777777"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p>
    <w:p w14:paraId="7520C645" w14:textId="77777777"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28 - Political stability index: Japan</w:t>
      </w:r>
    </w:p>
    <w:p w14:paraId="056344D3" w14:textId="74C4D48B" w:rsidR="00600C79" w:rsidRPr="00244343" w:rsidRDefault="002F5849" w:rsidP="00600C79">
      <w:pPr>
        <w:spacing w:after="0" w:line="240" w:lineRule="auto"/>
        <w:ind w:firstLine="720"/>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6C969397" w14:textId="2CA2DAC5" w:rsidR="006354D5" w:rsidRPr="006354D5" w:rsidRDefault="00600C79" w:rsidP="006354D5">
      <w:pPr>
        <w:spacing w:after="0" w:line="240" w:lineRule="auto"/>
        <w:ind w:firstLine="720"/>
        <w:contextualSpacing/>
        <w:rPr>
          <w:rFonts w:ascii="Times New Roman" w:hAnsi="Times New Roman" w:cs="Times New Roman"/>
          <w:sz w:val="24"/>
          <w:szCs w:val="24"/>
          <w:lang w:val="en-US"/>
        </w:rPr>
      </w:pPr>
      <w:r w:rsidRPr="008A698C">
        <w:rPr>
          <w:rFonts w:ascii="Times New Roman" w:hAnsi="Times New Roman" w:cs="Times New Roman"/>
          <w:sz w:val="24"/>
          <w:szCs w:val="24"/>
          <w:lang w:val="en-US"/>
        </w:rPr>
        <w:t>Note – Compiled by author on the basis of GII reports [</w:t>
      </w:r>
      <w:r w:rsidR="002F5849" w:rsidRPr="008A698C">
        <w:rPr>
          <w:rFonts w:ascii="Times New Roman" w:hAnsi="Times New Roman" w:cs="Times New Roman"/>
          <w:sz w:val="24"/>
          <w:szCs w:val="24"/>
          <w:lang w:val="kk-KZ"/>
        </w:rPr>
        <w:t>154-167</w:t>
      </w:r>
      <w:r w:rsidRPr="008A698C">
        <w:rPr>
          <w:rFonts w:ascii="Times New Roman" w:hAnsi="Times New Roman" w:cs="Times New Roman"/>
          <w:sz w:val="24"/>
          <w:szCs w:val="24"/>
          <w:lang w:val="en-US"/>
        </w:rPr>
        <w:t>]</w:t>
      </w:r>
    </w:p>
    <w:p w14:paraId="4CC14593" w14:textId="567C891A" w:rsidR="00600C79" w:rsidRPr="00244343" w:rsidRDefault="006354D5" w:rsidP="006354D5">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lastRenderedPageBreak/>
        <w:t>The higher education industry in Kazakhstan is constrained in its orientation towards innovation, attributable to a convoluted policy landscape shaped by political stability and financial mechanisms [1</w:t>
      </w:r>
      <w:r>
        <w:rPr>
          <w:rFonts w:ascii="Times New Roman" w:hAnsi="Times New Roman" w:cs="Times New Roman"/>
          <w:sz w:val="28"/>
          <w:szCs w:val="28"/>
          <w:lang w:val="en-US"/>
        </w:rPr>
        <w:t>76</w:t>
      </w:r>
      <w:r w:rsidRPr="00244343">
        <w:rPr>
          <w:rFonts w:ascii="Times New Roman" w:hAnsi="Times New Roman" w:cs="Times New Roman"/>
          <w:sz w:val="28"/>
          <w:szCs w:val="28"/>
          <w:lang w:val="en-US"/>
        </w:rPr>
        <w:t>].</w:t>
      </w:r>
      <w:r w:rsidR="002F5849">
        <w:rPr>
          <w:rFonts w:ascii="Times New Roman" w:hAnsi="Times New Roman" w:cs="Times New Roman"/>
          <w:sz w:val="28"/>
          <w:szCs w:val="28"/>
          <w:lang w:val="en-US"/>
        </w:rPr>
        <w:t xml:space="preserve"> </w:t>
      </w:r>
    </w:p>
    <w:p w14:paraId="2D9706A0" w14:textId="4E140380"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results of an analysis conducted on 9 Asian countries indicate that factors such as voice and accountability</w:t>
      </w:r>
      <w:r>
        <w:rPr>
          <w:rFonts w:ascii="Times New Roman" w:hAnsi="Times New Roman" w:cs="Times New Roman"/>
          <w:sz w:val="28"/>
          <w:szCs w:val="28"/>
          <w:lang w:val="en-US"/>
        </w:rPr>
        <w:t>, g</w:t>
      </w:r>
      <w:r w:rsidRPr="00020331">
        <w:rPr>
          <w:rFonts w:ascii="Times New Roman" w:hAnsi="Times New Roman" w:cs="Times New Roman"/>
          <w:sz w:val="28"/>
          <w:szCs w:val="28"/>
          <w:lang w:val="en-US"/>
        </w:rPr>
        <w:t xml:space="preserve">overnance stability, security, and regulatory effectiveness </w:t>
      </w:r>
      <w:r w:rsidRPr="00244343">
        <w:rPr>
          <w:rFonts w:ascii="Times New Roman" w:hAnsi="Times New Roman" w:cs="Times New Roman"/>
          <w:sz w:val="28"/>
          <w:szCs w:val="28"/>
          <w:lang w:val="en-US"/>
        </w:rPr>
        <w:t xml:space="preserve">statistically impact the decision to create a business in the chosen countries. According to </w:t>
      </w:r>
      <w:proofErr w:type="spellStart"/>
      <w:r w:rsidRPr="00244343">
        <w:rPr>
          <w:rFonts w:ascii="Times New Roman" w:hAnsi="Times New Roman" w:cs="Times New Roman"/>
          <w:sz w:val="28"/>
          <w:szCs w:val="28"/>
          <w:lang w:val="en-US"/>
        </w:rPr>
        <w:t>Almaqtari</w:t>
      </w:r>
      <w:proofErr w:type="spellEnd"/>
      <w:r w:rsidRPr="00244343">
        <w:rPr>
          <w:rFonts w:ascii="Times New Roman" w:hAnsi="Times New Roman" w:cs="Times New Roman"/>
          <w:sz w:val="28"/>
          <w:szCs w:val="28"/>
          <w:lang w:val="en-US"/>
        </w:rPr>
        <w:t xml:space="preserve"> F et al. [1</w:t>
      </w:r>
      <w:r w:rsidR="003B5F46">
        <w:rPr>
          <w:rFonts w:ascii="Times New Roman" w:hAnsi="Times New Roman" w:cs="Times New Roman"/>
          <w:sz w:val="28"/>
          <w:szCs w:val="28"/>
          <w:lang w:val="kk-KZ"/>
        </w:rPr>
        <w:t>77</w:t>
      </w:r>
      <w:r w:rsidRPr="00244343">
        <w:rPr>
          <w:rFonts w:ascii="Times New Roman" w:hAnsi="Times New Roman" w:cs="Times New Roman"/>
          <w:sz w:val="28"/>
          <w:szCs w:val="28"/>
          <w:lang w:val="en-US"/>
        </w:rPr>
        <w:t>], political stability, the absence of violence, and regulatory quality have a statistically significant beneficial impact on initiating a business. However, voice and accountability significantly negatively impact the success of launching a firm. However, there are no research conducted related to negative correlational coefficient implying political stability effect on starting a business.</w:t>
      </w:r>
      <w:r w:rsidR="002F5849">
        <w:rPr>
          <w:rFonts w:ascii="Times New Roman" w:hAnsi="Times New Roman" w:cs="Times New Roman"/>
          <w:sz w:val="28"/>
          <w:szCs w:val="28"/>
          <w:lang w:val="en-US"/>
        </w:rPr>
        <w:t xml:space="preserve"> </w:t>
      </w:r>
    </w:p>
    <w:p w14:paraId="15E5E306"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p>
    <w:p w14:paraId="2F4307D1"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6FDEDE4D" wp14:editId="26867496">
            <wp:extent cx="5454502" cy="2243469"/>
            <wp:effectExtent l="0" t="0" r="13335" b="4445"/>
            <wp:docPr id="24" name="Диаграмма 24">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98F9DF7" w14:textId="77777777"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p>
    <w:p w14:paraId="55ABD9AE" w14:textId="77777777"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29 - Political stability index: Kazakhstan</w:t>
      </w:r>
    </w:p>
    <w:p w14:paraId="3CCAD6F5" w14:textId="77777777"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p>
    <w:p w14:paraId="4CA53A50" w14:textId="420491AA" w:rsidR="00600C79" w:rsidRPr="008A698C" w:rsidRDefault="00600C79" w:rsidP="00F64A64">
      <w:pPr>
        <w:spacing w:after="0" w:line="240" w:lineRule="auto"/>
        <w:ind w:firstLine="720"/>
        <w:contextualSpacing/>
        <w:rPr>
          <w:rFonts w:ascii="Times New Roman" w:hAnsi="Times New Roman" w:cs="Times New Roman"/>
          <w:sz w:val="24"/>
          <w:szCs w:val="24"/>
          <w:lang w:val="en-US"/>
        </w:rPr>
      </w:pPr>
      <w:r w:rsidRPr="008A698C">
        <w:rPr>
          <w:rFonts w:ascii="Times New Roman" w:hAnsi="Times New Roman" w:cs="Times New Roman"/>
          <w:sz w:val="24"/>
          <w:szCs w:val="24"/>
          <w:lang w:val="en-US"/>
        </w:rPr>
        <w:t>Note – Compiled by author on the basis of GII reports [</w:t>
      </w:r>
      <w:r w:rsidR="003B5F46" w:rsidRPr="008A698C">
        <w:rPr>
          <w:rFonts w:ascii="Times New Roman" w:hAnsi="Times New Roman" w:cs="Times New Roman"/>
          <w:sz w:val="24"/>
          <w:szCs w:val="24"/>
          <w:lang w:val="kk-KZ"/>
        </w:rPr>
        <w:t>154-167</w:t>
      </w:r>
      <w:r w:rsidRPr="008A698C">
        <w:rPr>
          <w:rFonts w:ascii="Times New Roman" w:hAnsi="Times New Roman" w:cs="Times New Roman"/>
          <w:sz w:val="24"/>
          <w:szCs w:val="24"/>
          <w:lang w:val="en-US"/>
        </w:rPr>
        <w:t>]</w:t>
      </w:r>
    </w:p>
    <w:p w14:paraId="79BAE993" w14:textId="445500D3" w:rsidR="00600C79" w:rsidRPr="003B5F46" w:rsidRDefault="003B5F46" w:rsidP="00600C79">
      <w:pPr>
        <w:spacing w:after="0" w:line="240" w:lineRule="auto"/>
        <w:ind w:firstLine="72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129F966E" w14:textId="6115CFBD"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study published in 2024 by </w:t>
      </w:r>
      <w:proofErr w:type="spellStart"/>
      <w:r w:rsidRPr="00244343">
        <w:rPr>
          <w:rFonts w:ascii="Times New Roman" w:hAnsi="Times New Roman" w:cs="Times New Roman"/>
          <w:sz w:val="28"/>
          <w:szCs w:val="28"/>
          <w:lang w:val="en-US"/>
        </w:rPr>
        <w:t>Almaqtari</w:t>
      </w:r>
      <w:proofErr w:type="spellEnd"/>
      <w:r w:rsidRPr="00244343">
        <w:rPr>
          <w:rFonts w:ascii="Times New Roman" w:hAnsi="Times New Roman" w:cs="Times New Roman"/>
          <w:sz w:val="28"/>
          <w:szCs w:val="28"/>
          <w:lang w:val="en-US"/>
        </w:rPr>
        <w:t>, F.A. et al. [1</w:t>
      </w:r>
      <w:r w:rsidR="003B5F46">
        <w:rPr>
          <w:rFonts w:ascii="Times New Roman" w:hAnsi="Times New Roman" w:cs="Times New Roman"/>
          <w:sz w:val="28"/>
          <w:szCs w:val="28"/>
          <w:lang w:val="kk-KZ"/>
        </w:rPr>
        <w:t>78</w:t>
      </w:r>
      <w:r w:rsidRPr="00244343">
        <w:rPr>
          <w:rFonts w:ascii="Times New Roman" w:hAnsi="Times New Roman" w:cs="Times New Roman"/>
          <w:sz w:val="28"/>
          <w:szCs w:val="28"/>
          <w:lang w:val="en-US"/>
        </w:rPr>
        <w:t xml:space="preserve">] reveals that in countries with low Sustainable Development Goals (SDGs), political stability has a statistically insignificant negative effect on sustainability performance. In contrast, government effectiveness demonstrates a statistically insignificant positive effect on sustainability performance. Interesting to note that for Kazakhstani region, the results from the research by </w:t>
      </w:r>
      <w:proofErr w:type="spellStart"/>
      <w:r w:rsidRPr="00244343">
        <w:rPr>
          <w:rFonts w:ascii="Times New Roman" w:hAnsi="Times New Roman" w:cs="Times New Roman"/>
          <w:sz w:val="28"/>
          <w:szCs w:val="28"/>
          <w:lang w:val="en-US"/>
        </w:rPr>
        <w:t>Mhamed</w:t>
      </w:r>
      <w:proofErr w:type="spellEnd"/>
      <w:r w:rsidRPr="00244343">
        <w:rPr>
          <w:rFonts w:ascii="Times New Roman" w:hAnsi="Times New Roman" w:cs="Times New Roman"/>
          <w:sz w:val="28"/>
          <w:szCs w:val="28"/>
          <w:lang w:val="en-US"/>
        </w:rPr>
        <w:t xml:space="preserve"> et al [1</w:t>
      </w:r>
      <w:r w:rsidR="003B5F46">
        <w:rPr>
          <w:rFonts w:ascii="Times New Roman" w:hAnsi="Times New Roman" w:cs="Times New Roman"/>
          <w:sz w:val="28"/>
          <w:szCs w:val="28"/>
          <w:lang w:val="kk-KZ"/>
        </w:rPr>
        <w:t>76</w:t>
      </w:r>
      <w:r w:rsidRPr="00244343">
        <w:rPr>
          <w:rFonts w:ascii="Times New Roman" w:hAnsi="Times New Roman" w:cs="Times New Roman"/>
          <w:sz w:val="28"/>
          <w:szCs w:val="28"/>
          <w:lang w:val="en-US"/>
        </w:rPr>
        <w:t>, p.5] state that the higher education industry in Kazakhstan has a constrained innovation orientation due to a convoluted policy landscape shaped by political stability and financial mechanisms.</w:t>
      </w:r>
    </w:p>
    <w:p w14:paraId="0F5AAE57"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Three countries' innovation management and application in different contexts and with different historical backgrounds prove the viability of this model. The last comparative correlational analysis demonstrated the strong negative impact of governmental stability on the cluster and UIC developments, proving how much governmental and political stability impacts the prosperity of the country's innovation. </w:t>
      </w:r>
    </w:p>
    <w:p w14:paraId="18B31D70" w14:textId="3CF6F8AA"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interaction between cluster development and university-industry collaboration is essential for promoting innovation and improving regional </w:t>
      </w:r>
      <w:r w:rsidRPr="00244343">
        <w:rPr>
          <w:rFonts w:ascii="Times New Roman" w:hAnsi="Times New Roman" w:cs="Times New Roman"/>
          <w:sz w:val="28"/>
          <w:szCs w:val="28"/>
          <w:lang w:val="en-US"/>
        </w:rPr>
        <w:lastRenderedPageBreak/>
        <w:t>competitiveness. Universities act pivotal in industrial clusters, promoting technology transfer and entrepreneurial initiatives that stimulate economic development.</w:t>
      </w:r>
    </w:p>
    <w:p w14:paraId="2A7D1A12"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p>
    <w:p w14:paraId="1C5DE9DA"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p>
    <w:p w14:paraId="59E10458"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17DDB15F" wp14:editId="0976C95D">
            <wp:extent cx="5462649" cy="3182587"/>
            <wp:effectExtent l="0" t="0" r="5080" b="18415"/>
            <wp:docPr id="10" name="Диаграмма 10">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8708DFE"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p>
    <w:p w14:paraId="010423F1" w14:textId="77777777"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30 - Correlational graph between UIC and Clusters development: China</w:t>
      </w:r>
    </w:p>
    <w:p w14:paraId="16E37FCA" w14:textId="77777777"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p>
    <w:p w14:paraId="30AA1471" w14:textId="5A75A456" w:rsidR="00600C79" w:rsidRPr="008A698C" w:rsidRDefault="00600C79" w:rsidP="00F64A64">
      <w:pPr>
        <w:spacing w:after="0" w:line="240" w:lineRule="auto"/>
        <w:ind w:firstLine="720"/>
        <w:contextualSpacing/>
        <w:rPr>
          <w:rFonts w:ascii="Times New Roman" w:hAnsi="Times New Roman" w:cs="Times New Roman"/>
          <w:sz w:val="24"/>
          <w:szCs w:val="24"/>
          <w:lang w:val="en-US"/>
        </w:rPr>
      </w:pPr>
      <w:r w:rsidRPr="008A698C">
        <w:rPr>
          <w:rFonts w:ascii="Times New Roman" w:hAnsi="Times New Roman" w:cs="Times New Roman"/>
          <w:sz w:val="24"/>
          <w:szCs w:val="24"/>
          <w:lang w:val="en-US"/>
        </w:rPr>
        <w:t>Note – Compiled by author on the basis of [</w:t>
      </w:r>
      <w:r w:rsidR="003B5F46" w:rsidRPr="008A698C">
        <w:rPr>
          <w:rFonts w:ascii="Times New Roman" w:hAnsi="Times New Roman" w:cs="Times New Roman"/>
          <w:sz w:val="24"/>
          <w:szCs w:val="24"/>
          <w:lang w:val="kk-KZ"/>
        </w:rPr>
        <w:t>154-167</w:t>
      </w:r>
      <w:r w:rsidRPr="008A698C">
        <w:rPr>
          <w:rFonts w:ascii="Times New Roman" w:hAnsi="Times New Roman" w:cs="Times New Roman"/>
          <w:sz w:val="24"/>
          <w:szCs w:val="24"/>
          <w:lang w:val="en-US"/>
        </w:rPr>
        <w:t>]</w:t>
      </w:r>
    </w:p>
    <w:p w14:paraId="07DF10E7" w14:textId="6E2E4F5B" w:rsidR="00600C79" w:rsidRPr="003B5F46" w:rsidRDefault="003B5F46" w:rsidP="00600C79">
      <w:pPr>
        <w:spacing w:after="0" w:line="240" w:lineRule="auto"/>
        <w:ind w:firstLine="72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13982196" w14:textId="56E3FAF3" w:rsidR="00600C79" w:rsidRPr="003B5F46" w:rsidRDefault="00600C79" w:rsidP="00600C79">
      <w:pPr>
        <w:spacing w:after="0" w:line="240" w:lineRule="auto"/>
        <w:ind w:firstLine="720"/>
        <w:contextualSpacing/>
        <w:jc w:val="both"/>
        <w:rPr>
          <w:rFonts w:ascii="Times New Roman" w:hAnsi="Times New Roman" w:cs="Times New Roman"/>
          <w:sz w:val="28"/>
          <w:szCs w:val="28"/>
          <w:lang w:val="kk-KZ"/>
        </w:rPr>
      </w:pPr>
      <w:r w:rsidRPr="00244343">
        <w:rPr>
          <w:rFonts w:ascii="Times New Roman" w:hAnsi="Times New Roman" w:cs="Times New Roman"/>
          <w:sz w:val="28"/>
          <w:szCs w:val="28"/>
          <w:lang w:val="en-US"/>
        </w:rPr>
        <w:t>Universities enhance industry clusters by offering scientific support and training, improving innovation and resource efficiency. They participate in entrepreneurial endeavors, including startups and applied research, facilitating the connection between university and industry [1</w:t>
      </w:r>
      <w:r w:rsidR="003B5F46">
        <w:rPr>
          <w:rFonts w:ascii="Times New Roman" w:hAnsi="Times New Roman" w:cs="Times New Roman"/>
          <w:sz w:val="28"/>
          <w:szCs w:val="28"/>
          <w:lang w:val="kk-KZ"/>
        </w:rPr>
        <w:t>79</w:t>
      </w:r>
      <w:r w:rsidRPr="00244343">
        <w:rPr>
          <w:rFonts w:ascii="Times New Roman" w:hAnsi="Times New Roman" w:cs="Times New Roman"/>
          <w:sz w:val="28"/>
          <w:szCs w:val="28"/>
          <w:lang w:val="en-US"/>
        </w:rPr>
        <w:t xml:space="preserve">]. Figures 30 and 32 prove above statements. Correlational coefficient analysis demonstrates the following results per each country (countries under research): </w:t>
      </w:r>
      <w:r w:rsidR="003B5F46">
        <w:rPr>
          <w:rFonts w:ascii="Times New Roman" w:hAnsi="Times New Roman" w:cs="Times New Roman"/>
          <w:sz w:val="28"/>
          <w:szCs w:val="28"/>
          <w:lang w:val="kk-KZ"/>
        </w:rPr>
        <w:t xml:space="preserve"> </w:t>
      </w:r>
    </w:p>
    <w:p w14:paraId="31A20FF8" w14:textId="77777777" w:rsidR="008A698C" w:rsidRDefault="008A698C" w:rsidP="00600C79">
      <w:pPr>
        <w:spacing w:line="240" w:lineRule="auto"/>
        <w:ind w:firstLine="720"/>
        <w:contextualSpacing/>
        <w:jc w:val="both"/>
        <w:rPr>
          <w:rFonts w:ascii="Times New Roman" w:hAnsi="Times New Roman" w:cs="Times New Roman"/>
          <w:sz w:val="28"/>
          <w:szCs w:val="28"/>
          <w:lang w:val="en-US"/>
        </w:rPr>
      </w:pPr>
    </w:p>
    <w:p w14:paraId="4E4D210A" w14:textId="6AF0C428" w:rsidR="00600C79" w:rsidRPr="00244343" w:rsidRDefault="00600C79" w:rsidP="00600C79">
      <w:pPr>
        <w:spacing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rPr>
        <w:t xml:space="preserve">China </w:t>
      </w:r>
      <w:r w:rsidRPr="00244343">
        <w:rPr>
          <w:rFonts w:ascii="Times New Roman" w:eastAsia="Times New Roman" w:hAnsi="Times New Roman" w:cs="Times New Roman"/>
          <w:sz w:val="28"/>
          <w:szCs w:val="28"/>
          <w:lang w:val="en-US"/>
        </w:rPr>
        <w:t>0,8090</w:t>
      </w:r>
    </w:p>
    <w:p w14:paraId="7FF95EE6" w14:textId="77777777" w:rsidR="00600C79" w:rsidRPr="00244343" w:rsidRDefault="00600C79" w:rsidP="00600C79">
      <w:pPr>
        <w:spacing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Italy 0,0370</w:t>
      </w:r>
    </w:p>
    <w:p w14:paraId="1CBA930B" w14:textId="77777777" w:rsidR="00600C79" w:rsidRPr="00244343" w:rsidRDefault="00600C79" w:rsidP="00600C79">
      <w:pPr>
        <w:spacing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Japan 0,7836</w:t>
      </w:r>
    </w:p>
    <w:p w14:paraId="3CA7DFA4" w14:textId="3D8EFE13" w:rsidR="00600C79" w:rsidRDefault="00600C79" w:rsidP="00600C79">
      <w:pPr>
        <w:spacing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Kazakhstan 0,1028</w:t>
      </w:r>
    </w:p>
    <w:p w14:paraId="43BD78D5" w14:textId="56D14910" w:rsidR="006354D5" w:rsidRDefault="006354D5" w:rsidP="006354D5">
      <w:pPr>
        <w:spacing w:line="240" w:lineRule="auto"/>
        <w:contextualSpacing/>
        <w:jc w:val="both"/>
        <w:rPr>
          <w:rFonts w:ascii="Times New Roman" w:eastAsia="Times New Roman" w:hAnsi="Times New Roman" w:cs="Times New Roman"/>
          <w:sz w:val="28"/>
          <w:szCs w:val="28"/>
          <w:lang w:val="en-US"/>
        </w:rPr>
      </w:pPr>
    </w:p>
    <w:p w14:paraId="35ECC1CE" w14:textId="170F8727" w:rsidR="006354D5" w:rsidRPr="006354D5" w:rsidRDefault="006354D5" w:rsidP="006354D5">
      <w:pPr>
        <w:spacing w:after="0" w:line="240" w:lineRule="auto"/>
        <w:ind w:firstLine="720"/>
        <w:contextualSpacing/>
        <w:jc w:val="both"/>
        <w:rPr>
          <w:rFonts w:ascii="Times New Roman" w:hAnsi="Times New Roman" w:cs="Times New Roman"/>
          <w:sz w:val="28"/>
          <w:szCs w:val="28"/>
          <w:lang w:val="kk-KZ"/>
        </w:rPr>
      </w:pPr>
      <w:r w:rsidRPr="00244343">
        <w:rPr>
          <w:rFonts w:ascii="Times New Roman" w:hAnsi="Times New Roman" w:cs="Times New Roman"/>
          <w:sz w:val="28"/>
          <w:szCs w:val="28"/>
          <w:lang w:val="en-US"/>
        </w:rPr>
        <w:t>China and Japan (see figures 30/32) show a strong correlation between the development of UIC and cluster development. However, Italy and Kazakhstan's analysis reveal a weak to negligible amount of correlation, respectively (see figures 31/33). Two distinct countries, regarding region, cluster development, and innovation index level, demonstrate weak to non-significant relationships between interrelated items in innovation development</w:t>
      </w:r>
      <w:r>
        <w:rPr>
          <w:rFonts w:ascii="Times New Roman" w:hAnsi="Times New Roman" w:cs="Times New Roman"/>
          <w:sz w:val="28"/>
          <w:szCs w:val="28"/>
          <w:lang w:val="kk-KZ"/>
        </w:rPr>
        <w:t>.</w:t>
      </w:r>
    </w:p>
    <w:p w14:paraId="0F3B7DD5" w14:textId="77777777" w:rsidR="00600C79" w:rsidRPr="00244343" w:rsidRDefault="00600C79" w:rsidP="006354D5">
      <w:pPr>
        <w:spacing w:after="0" w:line="240" w:lineRule="auto"/>
        <w:ind w:firstLine="720"/>
        <w:contextualSpacing/>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lastRenderedPageBreak/>
        <w:drawing>
          <wp:inline distT="0" distB="0" distL="0" distR="0" wp14:anchorId="6EDE7D4A" wp14:editId="0B250AC0">
            <wp:extent cx="5379085" cy="2576945"/>
            <wp:effectExtent l="0" t="0" r="12065" b="13970"/>
            <wp:docPr id="13" name="Диаграмма 13">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8571364" w14:textId="77777777"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p>
    <w:p w14:paraId="3F8FDA51" w14:textId="77777777"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31 - Correlational graph between UIC and Clusters development: Italy</w:t>
      </w:r>
    </w:p>
    <w:p w14:paraId="0CB719FD" w14:textId="77777777"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p>
    <w:p w14:paraId="676CBA1A" w14:textId="1DF2BC05" w:rsidR="00600C79" w:rsidRPr="008A698C" w:rsidRDefault="00600C79" w:rsidP="00F64A64">
      <w:pPr>
        <w:spacing w:after="0" w:line="240" w:lineRule="auto"/>
        <w:ind w:firstLine="720"/>
        <w:contextualSpacing/>
        <w:rPr>
          <w:rFonts w:ascii="Times New Roman" w:hAnsi="Times New Roman" w:cs="Times New Roman"/>
          <w:sz w:val="24"/>
          <w:szCs w:val="24"/>
          <w:lang w:val="en-US"/>
        </w:rPr>
      </w:pPr>
      <w:r w:rsidRPr="008A698C">
        <w:rPr>
          <w:rFonts w:ascii="Times New Roman" w:hAnsi="Times New Roman" w:cs="Times New Roman"/>
          <w:sz w:val="24"/>
          <w:szCs w:val="24"/>
          <w:lang w:val="en-US"/>
        </w:rPr>
        <w:t>Note – Compiled by author via Excel on the basis of [</w:t>
      </w:r>
      <w:r w:rsidR="003B5F46" w:rsidRPr="008A698C">
        <w:rPr>
          <w:rFonts w:ascii="Times New Roman" w:hAnsi="Times New Roman" w:cs="Times New Roman"/>
          <w:sz w:val="24"/>
          <w:szCs w:val="24"/>
          <w:lang w:val="kk-KZ"/>
        </w:rPr>
        <w:t>154-167</w:t>
      </w:r>
      <w:r w:rsidRPr="008A698C">
        <w:rPr>
          <w:rFonts w:ascii="Times New Roman" w:hAnsi="Times New Roman" w:cs="Times New Roman"/>
          <w:sz w:val="24"/>
          <w:szCs w:val="24"/>
          <w:lang w:val="en-US"/>
        </w:rPr>
        <w:t>]</w:t>
      </w:r>
    </w:p>
    <w:p w14:paraId="512C6451" w14:textId="0423C9B6" w:rsidR="00600C79" w:rsidRPr="003B5F46" w:rsidRDefault="003B5F46" w:rsidP="00600C79">
      <w:pPr>
        <w:spacing w:after="0" w:line="240" w:lineRule="auto"/>
        <w:ind w:firstLine="720"/>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7E401403" w14:textId="77777777" w:rsidR="006354D5" w:rsidRPr="001E2AFC" w:rsidRDefault="006354D5" w:rsidP="006354D5">
      <w:pPr>
        <w:pStyle w:val="a4"/>
        <w:spacing w:before="0" w:beforeAutospacing="0" w:after="0" w:afterAutospacing="0"/>
        <w:ind w:firstLine="720"/>
        <w:jc w:val="both"/>
        <w:rPr>
          <w:color w:val="0E101A"/>
          <w:sz w:val="28"/>
          <w:szCs w:val="28"/>
          <w:lang w:val="en-US"/>
        </w:rPr>
      </w:pPr>
      <w:r w:rsidRPr="001E2AFC">
        <w:rPr>
          <w:color w:val="0E101A"/>
          <w:sz w:val="28"/>
          <w:szCs w:val="28"/>
          <w:lang w:val="en-US"/>
        </w:rPr>
        <w:t>Collaboration between two actors -universities and industries is essential for promoting innovation-driven cluster development by providing scientific knowledge, specialized training, and frameworks for applied research and technology transfer. These relationships facilitate information diffusion, promote the commercialization of academic results, and cultivate the establishment of regionally specialized innovation clusters. Consequently, universities increasingly function as knowledge generators and entrepreneurial entities integrated within regional economic systems.</w:t>
      </w:r>
    </w:p>
    <w:p w14:paraId="3C6E6D87" w14:textId="77777777" w:rsidR="00600C79" w:rsidRPr="00244343" w:rsidRDefault="00600C79" w:rsidP="006354D5">
      <w:pPr>
        <w:spacing w:after="0" w:line="240" w:lineRule="auto"/>
        <w:contextualSpacing/>
        <w:jc w:val="both"/>
        <w:rPr>
          <w:rFonts w:ascii="Times New Roman" w:hAnsi="Times New Roman" w:cs="Times New Roman"/>
          <w:sz w:val="28"/>
          <w:szCs w:val="28"/>
          <w:lang w:val="en-US"/>
        </w:rPr>
      </w:pPr>
    </w:p>
    <w:p w14:paraId="736CBA04" w14:textId="77777777" w:rsidR="00600C79" w:rsidRPr="00244343" w:rsidRDefault="00600C79" w:rsidP="006354D5">
      <w:pPr>
        <w:spacing w:after="0" w:line="240" w:lineRule="auto"/>
        <w:ind w:firstLine="720"/>
        <w:contextualSpacing/>
        <w:jc w:val="center"/>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176786D9" wp14:editId="53FA1534">
            <wp:extent cx="5538470" cy="2363190"/>
            <wp:effectExtent l="0" t="0" r="5080" b="18415"/>
            <wp:docPr id="18" name="Диаграмма 18">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D2933D3" w14:textId="77777777"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p>
    <w:p w14:paraId="20B5EF9C" w14:textId="77777777"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32 - Correlational graph between UIC and Clusters development: Japan</w:t>
      </w:r>
    </w:p>
    <w:p w14:paraId="7EB5F1DC" w14:textId="77777777"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p>
    <w:p w14:paraId="6AFD3E26" w14:textId="215F9D1F" w:rsidR="00600C79" w:rsidRPr="006354D5" w:rsidRDefault="00600C79" w:rsidP="006354D5">
      <w:pPr>
        <w:spacing w:after="0" w:line="240" w:lineRule="auto"/>
        <w:ind w:firstLine="720"/>
        <w:contextualSpacing/>
        <w:rPr>
          <w:rFonts w:ascii="Times New Roman" w:hAnsi="Times New Roman" w:cs="Times New Roman"/>
          <w:sz w:val="24"/>
          <w:szCs w:val="24"/>
          <w:lang w:val="kk-KZ"/>
        </w:rPr>
      </w:pPr>
      <w:r w:rsidRPr="008A698C">
        <w:rPr>
          <w:rFonts w:ascii="Times New Roman" w:hAnsi="Times New Roman" w:cs="Times New Roman"/>
          <w:sz w:val="24"/>
          <w:szCs w:val="24"/>
          <w:lang w:val="en-US"/>
        </w:rPr>
        <w:t>Note – Compiled by author via Excel on the basis of [</w:t>
      </w:r>
      <w:r w:rsidR="003B5F46" w:rsidRPr="008A698C">
        <w:rPr>
          <w:rFonts w:ascii="Times New Roman" w:hAnsi="Times New Roman" w:cs="Times New Roman"/>
          <w:sz w:val="24"/>
          <w:szCs w:val="24"/>
          <w:lang w:val="kk-KZ"/>
        </w:rPr>
        <w:t>154-167</w:t>
      </w:r>
      <w:r w:rsidRPr="008A698C">
        <w:rPr>
          <w:rFonts w:ascii="Times New Roman" w:hAnsi="Times New Roman" w:cs="Times New Roman"/>
          <w:sz w:val="24"/>
          <w:szCs w:val="24"/>
          <w:lang w:val="en-US"/>
        </w:rPr>
        <w:t>]</w:t>
      </w:r>
      <w:r w:rsidR="003B5F46" w:rsidRPr="008A698C">
        <w:rPr>
          <w:rFonts w:ascii="Times New Roman" w:hAnsi="Times New Roman" w:cs="Times New Roman"/>
          <w:sz w:val="24"/>
          <w:szCs w:val="24"/>
          <w:lang w:val="kk-KZ"/>
        </w:rPr>
        <w:t xml:space="preserve"> </w:t>
      </w:r>
    </w:p>
    <w:p w14:paraId="6CB50660" w14:textId="77777777" w:rsidR="00600C79" w:rsidRPr="001E2AFC" w:rsidRDefault="00600C79" w:rsidP="003B5F46">
      <w:pPr>
        <w:pStyle w:val="a4"/>
        <w:spacing w:before="0" w:beforeAutospacing="0" w:after="0" w:afterAutospacing="0"/>
        <w:ind w:firstLine="720"/>
        <w:jc w:val="both"/>
        <w:rPr>
          <w:color w:val="0E101A"/>
          <w:sz w:val="28"/>
          <w:szCs w:val="28"/>
          <w:lang w:val="en-US"/>
        </w:rPr>
      </w:pPr>
      <w:r w:rsidRPr="001E2AFC">
        <w:rPr>
          <w:color w:val="0E101A"/>
          <w:sz w:val="28"/>
          <w:szCs w:val="28"/>
          <w:lang w:val="en-US"/>
        </w:rPr>
        <w:lastRenderedPageBreak/>
        <w:t xml:space="preserve">The correlational analysis between </w:t>
      </w:r>
      <w:r w:rsidRPr="001E2AFC">
        <w:rPr>
          <w:rStyle w:val="a3"/>
          <w:color w:val="0E101A"/>
          <w:sz w:val="28"/>
          <w:szCs w:val="28"/>
          <w:lang w:val="en-US"/>
        </w:rPr>
        <w:t>university-industry collaboration</w:t>
      </w:r>
      <w:r w:rsidRPr="001E2AFC">
        <w:rPr>
          <w:color w:val="0E101A"/>
          <w:sz w:val="28"/>
          <w:szCs w:val="28"/>
          <w:lang w:val="en-US"/>
        </w:rPr>
        <w:t xml:space="preserve"> and </w:t>
      </w:r>
      <w:r w:rsidRPr="001E2AFC">
        <w:rPr>
          <w:rStyle w:val="a3"/>
          <w:color w:val="0E101A"/>
          <w:sz w:val="28"/>
          <w:szCs w:val="28"/>
          <w:lang w:val="en-US"/>
        </w:rPr>
        <w:t>cluster development</w:t>
      </w:r>
      <w:r w:rsidRPr="001E2AFC">
        <w:rPr>
          <w:color w:val="0E101A"/>
          <w:sz w:val="28"/>
          <w:szCs w:val="28"/>
          <w:lang w:val="en-US"/>
        </w:rPr>
        <w:t xml:space="preserve"> across four countries—China (r = 0.8090), Japan (r = 0.7836), Italy (r = 0.0370), and Kazakhstan (r = 0.1028)—reveals meaningful differences in the maturity and structure of national innovation systems</w:t>
      </w:r>
      <w:r>
        <w:rPr>
          <w:color w:val="0E101A"/>
          <w:sz w:val="28"/>
          <w:szCs w:val="28"/>
          <w:lang w:val="en-US"/>
        </w:rPr>
        <w:t xml:space="preserve"> </w:t>
      </w:r>
      <w:r w:rsidRPr="004730AE">
        <w:rPr>
          <w:color w:val="0E101A"/>
          <w:sz w:val="28"/>
          <w:szCs w:val="28"/>
          <w:lang w:val="en-US"/>
        </w:rPr>
        <w:t>(figures 30-33).</w:t>
      </w:r>
    </w:p>
    <w:p w14:paraId="77C28B01" w14:textId="77777777" w:rsidR="00600C79" w:rsidRPr="001E2AFC" w:rsidRDefault="00600C79" w:rsidP="003B5F46">
      <w:pPr>
        <w:pStyle w:val="a4"/>
        <w:spacing w:before="0" w:beforeAutospacing="0" w:after="0" w:afterAutospacing="0"/>
        <w:ind w:firstLine="720"/>
        <w:jc w:val="both"/>
        <w:rPr>
          <w:color w:val="0E101A"/>
          <w:sz w:val="28"/>
          <w:szCs w:val="28"/>
          <w:lang w:val="en-US"/>
        </w:rPr>
      </w:pPr>
      <w:r w:rsidRPr="001E2AFC">
        <w:rPr>
          <w:color w:val="0E101A"/>
          <w:sz w:val="28"/>
          <w:szCs w:val="28"/>
          <w:lang w:val="en-US"/>
        </w:rPr>
        <w:t xml:space="preserve">The strong positive correlations observed in China and Japan suggest a high synergy between academic institutions and industrial actors, resulting in robust innovation clusters. In these countries, universities often engage in joint research projects, patent generation, and workforce development tailored to industrial needs. Institutional frameworks and policy instruments actively incentivize such partnerships through research funding, cluster programs, and strategic planning. This linkage has resulted in globally acknowledged innovation hubs like Beijing’s </w:t>
      </w:r>
      <w:proofErr w:type="spellStart"/>
      <w:r w:rsidRPr="001E2AFC">
        <w:rPr>
          <w:color w:val="0E101A"/>
          <w:sz w:val="28"/>
          <w:szCs w:val="28"/>
          <w:lang w:val="en-US"/>
        </w:rPr>
        <w:t>Zhongguancun</w:t>
      </w:r>
      <w:proofErr w:type="spellEnd"/>
      <w:r w:rsidRPr="001E2AFC">
        <w:rPr>
          <w:color w:val="0E101A"/>
          <w:sz w:val="28"/>
          <w:szCs w:val="28"/>
          <w:lang w:val="en-US"/>
        </w:rPr>
        <w:t xml:space="preserve"> and Japan’s Tsukuba Science City, where academic distinction is intrinsically linked to technical advancement and regional economic outcomes.</w:t>
      </w:r>
    </w:p>
    <w:p w14:paraId="7D5BA88F" w14:textId="77777777" w:rsidR="00600C79" w:rsidRPr="001E2AFC" w:rsidRDefault="00600C79" w:rsidP="003B5F46">
      <w:pPr>
        <w:pStyle w:val="a4"/>
        <w:spacing w:before="0" w:beforeAutospacing="0" w:after="0" w:afterAutospacing="0"/>
        <w:ind w:firstLine="720"/>
        <w:jc w:val="both"/>
        <w:rPr>
          <w:color w:val="0E101A"/>
          <w:sz w:val="28"/>
          <w:szCs w:val="28"/>
          <w:lang w:val="en-US"/>
        </w:rPr>
      </w:pPr>
      <w:r w:rsidRPr="001E2AFC">
        <w:rPr>
          <w:color w:val="0E101A"/>
          <w:sz w:val="28"/>
          <w:szCs w:val="28"/>
          <w:lang w:val="en-US"/>
        </w:rPr>
        <w:t>The modest relationships in Italy and Kazakhstan indicate the minimal involvement of universities in the cluster formation process. In Italy, despite the existence of historic industrial districts, the link between academic institutions and small to medium enterprises (SMEs) is inconsistent and varies by location. Institutional inertia, inadequate incentives for collaboration, and disjointed governance frameworks may obstruct continuous information exchange.</w:t>
      </w:r>
    </w:p>
    <w:p w14:paraId="405E7840" w14:textId="77777777" w:rsidR="00600C79" w:rsidRPr="001E2AFC" w:rsidRDefault="00600C79" w:rsidP="003B5F46">
      <w:pPr>
        <w:pStyle w:val="a4"/>
        <w:spacing w:before="0" w:beforeAutospacing="0" w:after="0" w:afterAutospacing="0"/>
        <w:ind w:firstLine="720"/>
        <w:jc w:val="both"/>
        <w:rPr>
          <w:color w:val="0E101A"/>
          <w:sz w:val="28"/>
          <w:szCs w:val="28"/>
          <w:lang w:val="en-US"/>
        </w:rPr>
      </w:pPr>
      <w:r w:rsidRPr="001E2AFC">
        <w:rPr>
          <w:color w:val="0E101A"/>
          <w:sz w:val="28"/>
          <w:szCs w:val="28"/>
          <w:lang w:val="en-US"/>
        </w:rPr>
        <w:t xml:space="preserve">Despite national policies that enhance university-industry connections and regional innovation </w:t>
      </w:r>
      <w:proofErr w:type="spellStart"/>
      <w:r w:rsidRPr="001E2AFC">
        <w:rPr>
          <w:color w:val="0E101A"/>
          <w:sz w:val="28"/>
          <w:szCs w:val="28"/>
          <w:lang w:val="en-US"/>
        </w:rPr>
        <w:t>centres</w:t>
      </w:r>
      <w:proofErr w:type="spellEnd"/>
      <w:r w:rsidRPr="001E2AFC">
        <w:rPr>
          <w:color w:val="0E101A"/>
          <w:sz w:val="28"/>
          <w:szCs w:val="28"/>
          <w:lang w:val="en-US"/>
        </w:rPr>
        <w:t xml:space="preserve"> in Kazakhstan, the weak correlation indicates underlying structural problems. These encompass inadequate commercialization paths, restricted absorptive ability among local enterprises, and an evolving culture of collaborative innovation. Many universities remain focused on foundational education and theoretical research, with only emerging capacities for entrepreneurship support or applied partnerships.</w:t>
      </w:r>
    </w:p>
    <w:p w14:paraId="101347A0" w14:textId="77777777" w:rsidR="00C35C5C" w:rsidRPr="00C35C5C" w:rsidRDefault="00C35C5C" w:rsidP="00C35C5C">
      <w:pPr>
        <w:pStyle w:val="a4"/>
        <w:spacing w:before="0" w:beforeAutospacing="0" w:after="0" w:afterAutospacing="0"/>
        <w:ind w:firstLine="720"/>
        <w:jc w:val="both"/>
        <w:rPr>
          <w:color w:val="0E101A"/>
          <w:sz w:val="28"/>
          <w:szCs w:val="28"/>
          <w:lang w:val="en-US"/>
        </w:rPr>
      </w:pPr>
    </w:p>
    <w:p w14:paraId="651831EE"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7C95ADA1" wp14:editId="4D775E83">
            <wp:extent cx="5471160" cy="2624447"/>
            <wp:effectExtent l="0" t="0" r="15240" b="5080"/>
            <wp:docPr id="19" name="Диаграмма 19">
              <a:extLst xmlns:a="http://schemas.openxmlformats.org/drawingml/2006/main">
                <a:ext uri="{FF2B5EF4-FFF2-40B4-BE49-F238E27FC236}">
                  <a16:creationId xmlns:a16="http://schemas.microsoft.com/office/drawing/2014/main"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A34B169" w14:textId="77777777" w:rsidR="001D7515" w:rsidRDefault="001D7515" w:rsidP="00600C79">
      <w:pPr>
        <w:spacing w:after="0" w:line="240" w:lineRule="auto"/>
        <w:ind w:firstLine="720"/>
        <w:contextualSpacing/>
        <w:jc w:val="center"/>
        <w:rPr>
          <w:rFonts w:ascii="Times New Roman" w:hAnsi="Times New Roman" w:cs="Times New Roman"/>
          <w:sz w:val="28"/>
          <w:szCs w:val="28"/>
          <w:lang w:val="en-US"/>
        </w:rPr>
      </w:pPr>
    </w:p>
    <w:p w14:paraId="7E589C27" w14:textId="68B38651"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33 - Correlational graph between UIC and Clusters development: Kazakhstan</w:t>
      </w:r>
    </w:p>
    <w:p w14:paraId="286B85DF" w14:textId="77777777"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p>
    <w:p w14:paraId="2E5DC426" w14:textId="6286D6C5" w:rsidR="00600C79" w:rsidRPr="001D7515" w:rsidRDefault="00600C79" w:rsidP="001D7515">
      <w:pPr>
        <w:spacing w:after="0" w:line="240" w:lineRule="auto"/>
        <w:ind w:firstLine="720"/>
        <w:contextualSpacing/>
        <w:rPr>
          <w:rFonts w:ascii="Times New Roman" w:hAnsi="Times New Roman" w:cs="Times New Roman"/>
          <w:sz w:val="24"/>
          <w:szCs w:val="24"/>
          <w:lang w:val="en-US"/>
        </w:rPr>
      </w:pPr>
      <w:r w:rsidRPr="008A698C">
        <w:rPr>
          <w:rFonts w:ascii="Times New Roman" w:hAnsi="Times New Roman" w:cs="Times New Roman"/>
          <w:sz w:val="24"/>
          <w:szCs w:val="24"/>
          <w:lang w:val="en-US"/>
        </w:rPr>
        <w:t>Note – Compiled by author via Excel on the basis of [</w:t>
      </w:r>
      <w:r w:rsidR="003B5F46" w:rsidRPr="008A698C">
        <w:rPr>
          <w:rFonts w:ascii="Times New Roman" w:hAnsi="Times New Roman" w:cs="Times New Roman"/>
          <w:sz w:val="24"/>
          <w:szCs w:val="24"/>
          <w:lang w:val="kk-KZ"/>
        </w:rPr>
        <w:t>154-167</w:t>
      </w:r>
      <w:r w:rsidRPr="008A698C">
        <w:rPr>
          <w:rFonts w:ascii="Times New Roman" w:hAnsi="Times New Roman" w:cs="Times New Roman"/>
          <w:sz w:val="24"/>
          <w:szCs w:val="24"/>
          <w:lang w:val="en-US"/>
        </w:rPr>
        <w:t>]</w:t>
      </w:r>
    </w:p>
    <w:p w14:paraId="366D7E71" w14:textId="71C3341F" w:rsidR="001D7515" w:rsidRPr="001D7515" w:rsidRDefault="001D7515" w:rsidP="001D7515">
      <w:pPr>
        <w:pStyle w:val="a4"/>
        <w:spacing w:before="0" w:beforeAutospacing="0" w:after="0" w:afterAutospacing="0"/>
        <w:ind w:firstLine="720"/>
        <w:jc w:val="both"/>
        <w:rPr>
          <w:color w:val="0E101A"/>
          <w:sz w:val="28"/>
          <w:szCs w:val="28"/>
          <w:lang w:val="en-US"/>
        </w:rPr>
      </w:pPr>
      <w:r w:rsidRPr="001E2AFC">
        <w:rPr>
          <w:color w:val="0E101A"/>
          <w:sz w:val="28"/>
          <w:szCs w:val="28"/>
          <w:lang w:val="en-US"/>
        </w:rPr>
        <w:lastRenderedPageBreak/>
        <w:t xml:space="preserve">These findings suggest that while university-industry collaboration is essential for cluster development, its effectiveness is mediated by broader institutional, cultural, and policy environments. High-performing innovation ecosystems tend to be characterized by strong cross-sectoral alignment, shared governance mechanisms, and active integration of universities into economic development strategies. In such environments, </w:t>
      </w:r>
      <w:proofErr w:type="spellStart"/>
      <w:r w:rsidRPr="001E2AFC">
        <w:rPr>
          <w:color w:val="0E101A"/>
          <w:sz w:val="28"/>
          <w:szCs w:val="28"/>
          <w:lang w:val="en-US"/>
        </w:rPr>
        <w:t>Unive</w:t>
      </w:r>
      <w:proofErr w:type="spellEnd"/>
      <w:r w:rsidRPr="001E2AFC">
        <w:rPr>
          <w:color w:val="0E101A"/>
          <w:sz w:val="28"/>
          <w:szCs w:val="28"/>
          <w:lang w:val="en-US"/>
        </w:rPr>
        <w:t xml:space="preserve"> sites act as educational and research hubs and strategic partners in regional transformation.</w:t>
      </w:r>
    </w:p>
    <w:p w14:paraId="5E3AB766" w14:textId="784A4574"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A survey conducted by </w:t>
      </w:r>
      <w:proofErr w:type="spellStart"/>
      <w:r w:rsidRPr="00244343">
        <w:rPr>
          <w:rFonts w:ascii="Times New Roman" w:hAnsi="Times New Roman" w:cs="Times New Roman"/>
          <w:sz w:val="28"/>
          <w:szCs w:val="28"/>
          <w:lang w:val="en-US"/>
        </w:rPr>
        <w:t>Insubria</w:t>
      </w:r>
      <w:proofErr w:type="spellEnd"/>
      <w:r w:rsidRPr="00244343">
        <w:rPr>
          <w:rFonts w:ascii="Times New Roman" w:hAnsi="Times New Roman" w:cs="Times New Roman"/>
          <w:sz w:val="28"/>
          <w:szCs w:val="28"/>
          <w:lang w:val="en-US"/>
        </w:rPr>
        <w:t xml:space="preserve"> University on 266 SMEs from 1999 to 2001 revealed that most SMEs acknowledge the significance of R&amp;D as the primary source of innovation, with 64% indicating the presence of an internal R&amp;D unit dedicated to new product development. In the survey </w:t>
      </w:r>
      <w:proofErr w:type="spellStart"/>
      <w:r w:rsidRPr="00244343">
        <w:rPr>
          <w:rFonts w:ascii="Times New Roman" w:hAnsi="Times New Roman" w:cs="Times New Roman"/>
          <w:sz w:val="28"/>
          <w:szCs w:val="28"/>
          <w:lang w:val="en-US"/>
        </w:rPr>
        <w:t>Muscio</w:t>
      </w:r>
      <w:proofErr w:type="spellEnd"/>
      <w:r w:rsidRPr="00244343">
        <w:rPr>
          <w:rFonts w:ascii="Times New Roman" w:hAnsi="Times New Roman" w:cs="Times New Roman"/>
          <w:sz w:val="28"/>
          <w:szCs w:val="28"/>
          <w:lang w:val="en-US"/>
        </w:rPr>
        <w:t xml:space="preserve"> [1</w:t>
      </w:r>
      <w:r w:rsidR="003B5F46">
        <w:rPr>
          <w:rFonts w:ascii="Times New Roman" w:hAnsi="Times New Roman" w:cs="Times New Roman"/>
          <w:sz w:val="28"/>
          <w:szCs w:val="28"/>
          <w:lang w:val="kk-KZ"/>
        </w:rPr>
        <w:t>80</w:t>
      </w:r>
      <w:r w:rsidRPr="00244343">
        <w:rPr>
          <w:rFonts w:ascii="Times New Roman" w:hAnsi="Times New Roman" w:cs="Times New Roman"/>
          <w:sz w:val="28"/>
          <w:szCs w:val="28"/>
          <w:lang w:val="en-US"/>
        </w:rPr>
        <w:t>] referred to, 55.5% of the manufacturing SMEs questioned requested assistance from a technology transfer center, and 87% thought the services were helpful. It clearly shows that significant Italian regional clusters function independently, have their own transfer technology and R&amp;D offices, and do not rely on UIC. The increase in cluster development does not mean an increase in UIC for Italy in this case. A good example for this result, is a regional cluster in Italy, Lombardy. The "</w:t>
      </w:r>
      <w:proofErr w:type="spellStart"/>
      <w:r w:rsidRPr="00244343">
        <w:rPr>
          <w:rFonts w:ascii="Times New Roman" w:hAnsi="Times New Roman" w:cs="Times New Roman"/>
          <w:sz w:val="28"/>
          <w:szCs w:val="28"/>
          <w:lang w:val="en-US"/>
        </w:rPr>
        <w:t>Biopolo</w:t>
      </w:r>
      <w:proofErr w:type="spellEnd"/>
      <w:r w:rsidRPr="00244343">
        <w:rPr>
          <w:rFonts w:ascii="Times New Roman" w:hAnsi="Times New Roman" w:cs="Times New Roman"/>
          <w:sz w:val="28"/>
          <w:szCs w:val="28"/>
          <w:lang w:val="en-US"/>
        </w:rPr>
        <w:t xml:space="preserve">" is a cooperation of many pharmaceutical businesses and academics from the faculties of Biology, Chemistry, and Agricultural Sciences, with municipal authorities involved in various capacities. A group of professors from the State University of Milan promoted and nurtured the </w:t>
      </w:r>
      <w:proofErr w:type="spellStart"/>
      <w:r w:rsidRPr="00244343">
        <w:rPr>
          <w:rFonts w:ascii="Times New Roman" w:hAnsi="Times New Roman" w:cs="Times New Roman"/>
          <w:sz w:val="28"/>
          <w:szCs w:val="28"/>
          <w:lang w:val="en-US"/>
        </w:rPr>
        <w:t>Biopolo</w:t>
      </w:r>
      <w:proofErr w:type="spellEnd"/>
      <w:r w:rsidRPr="00244343">
        <w:rPr>
          <w:rFonts w:ascii="Times New Roman" w:hAnsi="Times New Roman" w:cs="Times New Roman"/>
          <w:sz w:val="28"/>
          <w:szCs w:val="28"/>
          <w:lang w:val="en-US"/>
        </w:rPr>
        <w:t xml:space="preserve">, which developed from the initial "biotechnology lobby" in the late 1980s. The primary focus was the application of biotechnology in the </w:t>
      </w:r>
      <w:proofErr w:type="spellStart"/>
      <w:r w:rsidRPr="00244343">
        <w:rPr>
          <w:rFonts w:ascii="Times New Roman" w:hAnsi="Times New Roman" w:cs="Times New Roman"/>
          <w:sz w:val="28"/>
          <w:szCs w:val="28"/>
          <w:lang w:val="en-US"/>
        </w:rPr>
        <w:t>agro</w:t>
      </w:r>
      <w:proofErr w:type="spellEnd"/>
      <w:r w:rsidRPr="00244343">
        <w:rPr>
          <w:rFonts w:ascii="Times New Roman" w:hAnsi="Times New Roman" w:cs="Times New Roman"/>
          <w:sz w:val="28"/>
          <w:szCs w:val="28"/>
          <w:lang w:val="en-US"/>
        </w:rPr>
        <w:t>-food sector and environmental contexts.</w:t>
      </w:r>
    </w:p>
    <w:p w14:paraId="0D9ABCD8" w14:textId="3576F6E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w:t>
      </w:r>
      <w:proofErr w:type="spellStart"/>
      <w:r w:rsidRPr="00244343">
        <w:rPr>
          <w:rFonts w:ascii="Times New Roman" w:hAnsi="Times New Roman" w:cs="Times New Roman"/>
          <w:sz w:val="28"/>
          <w:szCs w:val="28"/>
          <w:lang w:val="en-US"/>
        </w:rPr>
        <w:t>Biopolo</w:t>
      </w:r>
      <w:proofErr w:type="spellEnd"/>
      <w:r w:rsidRPr="00244343">
        <w:rPr>
          <w:rFonts w:ascii="Times New Roman" w:hAnsi="Times New Roman" w:cs="Times New Roman"/>
          <w:sz w:val="28"/>
          <w:szCs w:val="28"/>
          <w:lang w:val="en-US"/>
        </w:rPr>
        <w:t xml:space="preserve"> experienced a gradual onset due to scandals within the pharmaceutical sector, political interference, and academic rivalries. The primary activity involved facilitating the establishment of a specialized domain called "biotechnology" within the Faculty of Sciences at State Milan University, with collaboration between the university and industry primarily </w:t>
      </w:r>
      <w:proofErr w:type="spellStart"/>
      <w:r w:rsidRPr="00244343">
        <w:rPr>
          <w:rFonts w:ascii="Times New Roman" w:hAnsi="Times New Roman" w:cs="Times New Roman"/>
          <w:sz w:val="28"/>
          <w:szCs w:val="28"/>
          <w:lang w:val="en-US"/>
        </w:rPr>
        <w:t>centred</w:t>
      </w:r>
      <w:proofErr w:type="spellEnd"/>
      <w:r w:rsidRPr="00244343">
        <w:rPr>
          <w:rFonts w:ascii="Times New Roman" w:hAnsi="Times New Roman" w:cs="Times New Roman"/>
          <w:sz w:val="28"/>
          <w:szCs w:val="28"/>
          <w:lang w:val="en-US"/>
        </w:rPr>
        <w:t xml:space="preserve"> on educational initiatives and training [1</w:t>
      </w:r>
      <w:r w:rsidR="003B5F46">
        <w:rPr>
          <w:rFonts w:ascii="Times New Roman" w:hAnsi="Times New Roman" w:cs="Times New Roman"/>
          <w:sz w:val="28"/>
          <w:szCs w:val="28"/>
          <w:lang w:val="kk-KZ"/>
        </w:rPr>
        <w:t>81</w:t>
      </w:r>
      <w:r w:rsidRPr="00244343">
        <w:rPr>
          <w:rFonts w:ascii="Times New Roman" w:hAnsi="Times New Roman" w:cs="Times New Roman"/>
          <w:sz w:val="28"/>
          <w:szCs w:val="28"/>
          <w:lang w:val="en-US"/>
        </w:rPr>
        <w:t xml:space="preserve">]. </w:t>
      </w:r>
    </w:p>
    <w:p w14:paraId="044B5675" w14:textId="5676F02E"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Research publications indicate that cluster development in Kazakhstan prioritizes the support of </w:t>
      </w:r>
      <w:r>
        <w:rPr>
          <w:rFonts w:ascii="Times New Roman" w:hAnsi="Times New Roman" w:cs="Times New Roman"/>
          <w:sz w:val="28"/>
          <w:szCs w:val="28"/>
          <w:lang w:val="en-US"/>
        </w:rPr>
        <w:t>SMEs</w:t>
      </w:r>
      <w:r w:rsidRPr="00244343">
        <w:rPr>
          <w:rFonts w:ascii="Times New Roman" w:hAnsi="Times New Roman" w:cs="Times New Roman"/>
          <w:sz w:val="28"/>
          <w:szCs w:val="28"/>
          <w:lang w:val="en-US"/>
        </w:rPr>
        <w:t xml:space="preserve"> through initiatives aimed at enhancing competitiveness, cultivating human capital, and promoting collaboration among businesses and associations [1</w:t>
      </w:r>
      <w:r w:rsidR="003B5F46">
        <w:rPr>
          <w:rFonts w:ascii="Times New Roman" w:hAnsi="Times New Roman" w:cs="Times New Roman"/>
          <w:sz w:val="28"/>
          <w:szCs w:val="28"/>
          <w:lang w:val="kk-KZ"/>
        </w:rPr>
        <w:t>82</w:t>
      </w:r>
      <w:r w:rsidRPr="00244343">
        <w:rPr>
          <w:rFonts w:ascii="Times New Roman" w:hAnsi="Times New Roman" w:cs="Times New Roman"/>
          <w:sz w:val="28"/>
          <w:szCs w:val="28"/>
          <w:lang w:val="en-US"/>
        </w:rPr>
        <w:t>]. Additionally, integrating digital technologies across sectors aims to enhance economic and inventive methods to bolster regional competitiveness and digital economy performance [1</w:t>
      </w:r>
      <w:r w:rsidR="003B5F46">
        <w:rPr>
          <w:rFonts w:ascii="Times New Roman" w:hAnsi="Times New Roman" w:cs="Times New Roman"/>
          <w:sz w:val="28"/>
          <w:szCs w:val="28"/>
          <w:lang w:val="kk-KZ"/>
        </w:rPr>
        <w:t>83</w:t>
      </w:r>
      <w:r w:rsidRPr="00244343">
        <w:rPr>
          <w:rFonts w:ascii="Times New Roman" w:hAnsi="Times New Roman" w:cs="Times New Roman"/>
          <w:sz w:val="28"/>
          <w:szCs w:val="28"/>
          <w:lang w:val="en-US"/>
        </w:rPr>
        <w:t>]. Kazakhstan's cluster development emphasizes the enhancement of manufacturing via structural modifications, attracting foreign investments, and promoting small and medium-sized firms to bolster competitiveness and economic growth [1</w:t>
      </w:r>
      <w:r w:rsidR="003B5F46">
        <w:rPr>
          <w:rFonts w:ascii="Times New Roman" w:hAnsi="Times New Roman" w:cs="Times New Roman"/>
          <w:sz w:val="28"/>
          <w:szCs w:val="28"/>
          <w:lang w:val="kk-KZ"/>
        </w:rPr>
        <w:t>84</w:t>
      </w:r>
      <w:r w:rsidRPr="00244343">
        <w:rPr>
          <w:rFonts w:ascii="Times New Roman" w:hAnsi="Times New Roman" w:cs="Times New Roman"/>
          <w:sz w:val="28"/>
          <w:szCs w:val="28"/>
          <w:lang w:val="en-US"/>
        </w:rPr>
        <w:t>].</w:t>
      </w:r>
    </w:p>
    <w:p w14:paraId="59406B84"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To sum up, the coefficient correlations of the four countries, the interdependencies for some, and the minor influential factors for other countries reveal the significance of government support and stability and UI cooperation's impact on regional clustered development.  </w:t>
      </w:r>
    </w:p>
    <w:p w14:paraId="17699CD1"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Revealed correlational coefficients prove that the relationship between political stability and business start-ups is complex and influenced by various </w:t>
      </w:r>
      <w:r w:rsidRPr="00244343">
        <w:rPr>
          <w:rFonts w:ascii="Times New Roman" w:hAnsi="Times New Roman" w:cs="Times New Roman"/>
          <w:sz w:val="28"/>
          <w:szCs w:val="28"/>
          <w:lang w:val="en-US"/>
        </w:rPr>
        <w:lastRenderedPageBreak/>
        <w:t>factors. However, a strong correlation exists between these two variables, particularly in the context of the four countries under consideration: Italy, China, Japan, and Kazakhstan.</w:t>
      </w:r>
    </w:p>
    <w:p w14:paraId="49B1CD0D" w14:textId="77777777" w:rsidR="00600C79" w:rsidRPr="00E465C7" w:rsidRDefault="00600C79" w:rsidP="00600C79">
      <w:pPr>
        <w:spacing w:after="0" w:line="240" w:lineRule="auto"/>
        <w:ind w:firstLine="720"/>
        <w:contextualSpacing/>
        <w:jc w:val="both"/>
        <w:rPr>
          <w:rFonts w:ascii="Times New Roman" w:hAnsi="Times New Roman" w:cs="Times New Roman"/>
          <w:i/>
          <w:iCs/>
          <w:sz w:val="28"/>
          <w:szCs w:val="28"/>
          <w:lang w:val="en-US"/>
        </w:rPr>
      </w:pPr>
      <w:r w:rsidRPr="00E465C7">
        <w:rPr>
          <w:rFonts w:ascii="Times New Roman" w:hAnsi="Times New Roman" w:cs="Times New Roman"/>
          <w:i/>
          <w:iCs/>
          <w:sz w:val="28"/>
          <w:szCs w:val="28"/>
          <w:lang w:val="en-US"/>
        </w:rPr>
        <w:t>Political Stability and Business Confidence</w:t>
      </w:r>
    </w:p>
    <w:p w14:paraId="45143E5E"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Political stability provides a predictable and reliable environment for businesses to operate. It reduces uncertainty and risk, encouraging entrepreneurship and investment. Conversely, political instability can deter investment, increase transaction costs, and hinder economic growth.</w:t>
      </w:r>
    </w:p>
    <w:p w14:paraId="34A98367"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Italy:</w:t>
      </w:r>
      <w:r w:rsidRPr="00244343">
        <w:rPr>
          <w:rFonts w:ascii="Times New Roman" w:eastAsia="Times New Roman" w:hAnsi="Times New Roman" w:cs="Times New Roman"/>
          <w:i/>
          <w:iCs/>
          <w:sz w:val="28"/>
          <w:szCs w:val="28"/>
          <w:lang w:val="en-US"/>
        </w:rPr>
        <w:t xml:space="preserve"> </w:t>
      </w:r>
      <w:r w:rsidRPr="00244343">
        <w:rPr>
          <w:rFonts w:ascii="Times New Roman" w:eastAsia="Times New Roman" w:hAnsi="Times New Roman" w:cs="Times New Roman"/>
          <w:sz w:val="28"/>
          <w:szCs w:val="28"/>
          <w:lang w:val="en-US"/>
        </w:rPr>
        <w:t>While Italy has a long history of political instability, recent years have seen improvements in governance and economic reforms. These reforms have created a better-helping environment for business start-ups, particularly in the tech and innovation sectors.</w:t>
      </w:r>
    </w:p>
    <w:p w14:paraId="6622C56E"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China: Despite a one-party political system, China has maintained relative political stability, which has contributed to its rapid economic growth. However, recent regulatory crackdowns and geopolitical tensions, notably the US-China trade war, have created business uncertainty and challenges. </w:t>
      </w:r>
    </w:p>
    <w:p w14:paraId="5EFD03F2"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Japan:</w:t>
      </w:r>
      <w:r w:rsidRPr="00244343">
        <w:rPr>
          <w:rFonts w:ascii="Times New Roman" w:eastAsia="Times New Roman" w:hAnsi="Times New Roman" w:cs="Times New Roman"/>
          <w:i/>
          <w:iCs/>
          <w:sz w:val="28"/>
          <w:szCs w:val="28"/>
          <w:lang w:val="en-US"/>
        </w:rPr>
        <w:t xml:space="preserve"> </w:t>
      </w:r>
      <w:r w:rsidRPr="00244343">
        <w:rPr>
          <w:rFonts w:ascii="Times New Roman" w:eastAsia="Times New Roman" w:hAnsi="Times New Roman" w:cs="Times New Roman"/>
          <w:sz w:val="28"/>
          <w:szCs w:val="28"/>
          <w:lang w:val="en-US"/>
        </w:rPr>
        <w:t>Japan is known for its political stability and strong rule of law. It has fostered a long-term planning and investment culture, making it an attractive business destination.</w:t>
      </w:r>
    </w:p>
    <w:p w14:paraId="2B8D45D7"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Kazakhstan</w:t>
      </w:r>
      <w:r w:rsidRPr="00244343">
        <w:rPr>
          <w:rFonts w:ascii="Times New Roman" w:eastAsia="Times New Roman" w:hAnsi="Times New Roman" w:cs="Times New Roman"/>
          <w:b/>
          <w:bCs/>
          <w:sz w:val="28"/>
          <w:szCs w:val="28"/>
          <w:lang w:val="en-US"/>
        </w:rPr>
        <w:t>:</w:t>
      </w:r>
      <w:r w:rsidRPr="00244343">
        <w:rPr>
          <w:rFonts w:ascii="Times New Roman" w:eastAsia="Times New Roman" w:hAnsi="Times New Roman" w:cs="Times New Roman"/>
          <w:i/>
          <w:iCs/>
          <w:sz w:val="28"/>
          <w:szCs w:val="28"/>
          <w:lang w:val="en-US"/>
        </w:rPr>
        <w:t xml:space="preserve"> </w:t>
      </w:r>
      <w:r w:rsidRPr="00244343">
        <w:rPr>
          <w:rFonts w:ascii="Times New Roman" w:eastAsia="Times New Roman" w:hAnsi="Times New Roman" w:cs="Times New Roman"/>
          <w:sz w:val="28"/>
          <w:szCs w:val="28"/>
          <w:lang w:val="en-US"/>
        </w:rPr>
        <w:t>Kazakhstan has made significant strides in political and economic reforms since independence. However, it still faces ongoing challenges such as political risks, corruption, and bureaucratic hurdles, which can hinder business activity.</w:t>
      </w:r>
    </w:p>
    <w:p w14:paraId="65BD044C"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 preceding research findings underline the following main conclusions and suggestions for Kazakhstan:</w:t>
      </w:r>
    </w:p>
    <w:p w14:paraId="1F5AC47C"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Giving political stability first priority shows that it is not just a background but an active element for a vibrant economic environment. For Kazakhstan, this entails addressing ongoing issues with political risk, corruption, and bureaucratic obstacles. Building trust and boosting corporate confidence depend on more open government and regularly followed policies. Attracting investment and fostering young start-up ecosystems depends critically on a predictable regulatory environment.</w:t>
      </w:r>
    </w:p>
    <w:p w14:paraId="78307999" w14:textId="32C72B9B" w:rsidR="00600C79" w:rsidRPr="003B5F46" w:rsidRDefault="00600C79" w:rsidP="00600C79">
      <w:pPr>
        <w:pStyle w:val="af"/>
        <w:ind w:firstLine="720"/>
        <w:contextualSpacing/>
        <w:jc w:val="both"/>
        <w:rPr>
          <w:rFonts w:ascii="Times New Roman" w:hAnsi="Times New Roman" w:cs="Times New Roman"/>
          <w:sz w:val="28"/>
          <w:szCs w:val="28"/>
          <w:lang w:val="kk-KZ"/>
        </w:rPr>
      </w:pPr>
      <w:r w:rsidRPr="00244343">
        <w:rPr>
          <w:rFonts w:ascii="Times New Roman" w:hAnsi="Times New Roman" w:cs="Times New Roman"/>
          <w:sz w:val="28"/>
          <w:szCs w:val="28"/>
          <w:lang w:val="en-US"/>
        </w:rPr>
        <w:t xml:space="preserve">Smirnova </w:t>
      </w:r>
      <w:proofErr w:type="spellStart"/>
      <w:proofErr w:type="gramStart"/>
      <w:r w:rsidRPr="00244343">
        <w:rPr>
          <w:rFonts w:ascii="Times New Roman" w:hAnsi="Times New Roman" w:cs="Times New Roman"/>
          <w:sz w:val="28"/>
          <w:szCs w:val="28"/>
          <w:lang w:val="en-US"/>
        </w:rPr>
        <w:t>Yu.V</w:t>
      </w:r>
      <w:proofErr w:type="spellEnd"/>
      <w:proofErr w:type="gramEnd"/>
      <w:r w:rsidR="00F60A2D">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 xml:space="preserve">the difficulties and barriers that hinder the establishment of effective cooperation between </w:t>
      </w:r>
      <w:r>
        <w:rPr>
          <w:rFonts w:ascii="Times New Roman" w:hAnsi="Times New Roman" w:cs="Times New Roman"/>
          <w:sz w:val="28"/>
          <w:szCs w:val="28"/>
          <w:lang w:val="en-US"/>
        </w:rPr>
        <w:t>U-B-G</w:t>
      </w:r>
      <w:r w:rsidR="00F60A2D">
        <w:rPr>
          <w:rFonts w:ascii="Times New Roman" w:hAnsi="Times New Roman" w:cs="Times New Roman"/>
          <w:sz w:val="28"/>
          <w:szCs w:val="28"/>
          <w:lang w:val="kk-KZ"/>
        </w:rPr>
        <w:t xml:space="preserve"> </w:t>
      </w:r>
      <w:r w:rsidR="00F60A2D">
        <w:rPr>
          <w:rFonts w:ascii="Times New Roman" w:hAnsi="Times New Roman" w:cs="Times New Roman"/>
          <w:sz w:val="28"/>
          <w:szCs w:val="28"/>
          <w:lang w:val="en-US"/>
        </w:rPr>
        <w:t>[185]</w:t>
      </w:r>
      <w:r w:rsidRPr="00244343">
        <w:rPr>
          <w:rFonts w:ascii="Times New Roman" w:hAnsi="Times New Roman" w:cs="Times New Roman"/>
          <w:sz w:val="28"/>
          <w:szCs w:val="28"/>
          <w:lang w:val="en-US"/>
        </w:rPr>
        <w:t xml:space="preserve">. </w:t>
      </w:r>
      <w:r>
        <w:rPr>
          <w:rFonts w:ascii="Times New Roman" w:hAnsi="Times New Roman" w:cs="Times New Roman"/>
          <w:sz w:val="28"/>
          <w:szCs w:val="28"/>
          <w:lang w:val="en-US"/>
        </w:rPr>
        <w:t>Concurrently</w:t>
      </w:r>
      <w:r w:rsidRPr="00244343">
        <w:rPr>
          <w:rFonts w:ascii="Times New Roman" w:hAnsi="Times New Roman" w:cs="Times New Roman"/>
          <w:sz w:val="28"/>
          <w:szCs w:val="28"/>
          <w:lang w:val="en-US"/>
        </w:rPr>
        <w:t>, it is the state that cannot offer businesses adequate measures to stimulate cooperation with universities. Despite the fact that the state offers tax incentives to businesses, it sets conditions under which the activities of firms are limited within the territory of Kazakhstan and they must make mandatory efforts to protect intellectual property in the country. In this regard, it is easier for businesses to refuse to develop cooperation in the innovation sphere.</w:t>
      </w:r>
      <w:r w:rsidR="003B5F46">
        <w:rPr>
          <w:rFonts w:ascii="Times New Roman" w:hAnsi="Times New Roman" w:cs="Times New Roman"/>
          <w:sz w:val="28"/>
          <w:szCs w:val="28"/>
          <w:lang w:val="kk-KZ"/>
        </w:rPr>
        <w:t xml:space="preserve"> </w:t>
      </w:r>
    </w:p>
    <w:p w14:paraId="76B5D764" w14:textId="29582173"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Research by </w:t>
      </w:r>
      <w:proofErr w:type="spellStart"/>
      <w:r w:rsidRPr="00244343">
        <w:rPr>
          <w:rFonts w:ascii="Times New Roman" w:hAnsi="Times New Roman" w:cs="Times New Roman"/>
          <w:sz w:val="28"/>
          <w:szCs w:val="28"/>
          <w:lang w:val="en-US"/>
        </w:rPr>
        <w:t>Jonbekova</w:t>
      </w:r>
      <w:proofErr w:type="spellEnd"/>
      <w:r w:rsidRPr="00244343">
        <w:rPr>
          <w:rFonts w:ascii="Times New Roman" w:hAnsi="Times New Roman" w:cs="Times New Roman"/>
          <w:sz w:val="28"/>
          <w:szCs w:val="28"/>
          <w:lang w:val="en-US"/>
        </w:rPr>
        <w:t xml:space="preserve"> et al. (2020) [1</w:t>
      </w:r>
      <w:r w:rsidR="003B5F46">
        <w:rPr>
          <w:rFonts w:ascii="Times New Roman" w:hAnsi="Times New Roman" w:cs="Times New Roman"/>
          <w:sz w:val="28"/>
          <w:szCs w:val="28"/>
          <w:lang w:val="kk-KZ"/>
        </w:rPr>
        <w:t>86</w:t>
      </w:r>
      <w:r w:rsidRPr="00244343">
        <w:rPr>
          <w:rFonts w:ascii="Times New Roman" w:hAnsi="Times New Roman" w:cs="Times New Roman"/>
          <w:sz w:val="28"/>
          <w:szCs w:val="28"/>
          <w:lang w:val="en-US"/>
        </w:rPr>
        <w:t xml:space="preserve">] indicates that University-Industry Partnerships (UIP) in Kazakhstan are underdeveloped and primarily restricted to employer participation in education, student internship offerings, and technical consultancy services. They contend that policymakers' objective of cultivating </w:t>
      </w:r>
      <w:r w:rsidRPr="00244343">
        <w:rPr>
          <w:rFonts w:ascii="Times New Roman" w:hAnsi="Times New Roman" w:cs="Times New Roman"/>
          <w:sz w:val="28"/>
          <w:szCs w:val="28"/>
          <w:lang w:val="en-US"/>
        </w:rPr>
        <w:lastRenderedPageBreak/>
        <w:t>strong research partnerships that foster innovation and economic growth is impeded by substantial faculty teaching responsibilities, inadequate institutional support for research, ongoing reforms in the higher education system, and a lack of consistency in the priorities of the rapidly changing Ministers of Education.</w:t>
      </w:r>
    </w:p>
    <w:p w14:paraId="39151E6D" w14:textId="62D8BCAC"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research survey conducted by </w:t>
      </w:r>
      <w:proofErr w:type="spellStart"/>
      <w:r w:rsidRPr="00244343">
        <w:rPr>
          <w:rFonts w:ascii="Times New Roman" w:hAnsi="Times New Roman" w:cs="Times New Roman"/>
          <w:sz w:val="28"/>
          <w:szCs w:val="28"/>
          <w:lang w:val="en-US"/>
        </w:rPr>
        <w:t>Dabylova</w:t>
      </w:r>
      <w:proofErr w:type="spellEnd"/>
      <w:r w:rsidRPr="00244343">
        <w:rPr>
          <w:rFonts w:ascii="Times New Roman" w:hAnsi="Times New Roman" w:cs="Times New Roman"/>
          <w:sz w:val="28"/>
          <w:szCs w:val="28"/>
          <w:lang w:val="en-US"/>
        </w:rPr>
        <w:t xml:space="preserve"> M.I et al.</w:t>
      </w:r>
      <w:r w:rsidR="00E77697">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[1</w:t>
      </w:r>
      <w:r w:rsidR="001670AF">
        <w:rPr>
          <w:rFonts w:ascii="Times New Roman" w:hAnsi="Times New Roman" w:cs="Times New Roman"/>
          <w:sz w:val="28"/>
          <w:szCs w:val="28"/>
          <w:lang w:val="kk-KZ"/>
        </w:rPr>
        <w:t>87</w:t>
      </w:r>
      <w:r w:rsidRPr="00244343">
        <w:rPr>
          <w:rFonts w:ascii="Times New Roman" w:hAnsi="Times New Roman" w:cs="Times New Roman"/>
          <w:sz w:val="28"/>
          <w:szCs w:val="28"/>
          <w:lang w:val="en-US"/>
        </w:rPr>
        <w:t>] identifies the barriers to cooperation in Kazakhstan as follows: 94% – personal barriers (diverse communication methods and language discrepancies between universities and businesses, differing time horizons, and varying motivations and values); 66% – bureaucracy (internal or external bureaucratic obstacles and confidentiality concerns regarding results); 42% – resource-related barriers (challenges in locating suitable individuals within universities, restricted capacity for knowledge transfer, and the prevailing financial crisis).</w:t>
      </w:r>
      <w:r w:rsidR="00E77697">
        <w:rPr>
          <w:rFonts w:ascii="Times New Roman" w:hAnsi="Times New Roman" w:cs="Times New Roman"/>
          <w:sz w:val="28"/>
          <w:szCs w:val="28"/>
          <w:lang w:val="en-US"/>
        </w:rPr>
        <w:t xml:space="preserve"> </w:t>
      </w:r>
      <w:r w:rsidR="002E485E">
        <w:rPr>
          <w:rFonts w:ascii="Times New Roman" w:hAnsi="Times New Roman" w:cs="Times New Roman"/>
          <w:sz w:val="28"/>
          <w:szCs w:val="28"/>
          <w:lang w:val="en-US"/>
        </w:rPr>
        <w:t xml:space="preserve"> </w:t>
      </w:r>
    </w:p>
    <w:p w14:paraId="7A3D0240" w14:textId="70FE3233"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Among these hurdles, over 56% of managers regard personal barriers as significant. University personnel suggest a significant level of obstruction.</w:t>
      </w:r>
      <w:r w:rsidR="002E485E">
        <w:rPr>
          <w:rFonts w:ascii="Times New Roman" w:hAnsi="Times New Roman" w:cs="Times New Roman"/>
          <w:sz w:val="28"/>
          <w:szCs w:val="28"/>
          <w:lang w:val="en-US"/>
        </w:rPr>
        <w:t xml:space="preserve"> </w:t>
      </w:r>
    </w:p>
    <w:p w14:paraId="118C5C78"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Developing Stronger University-Industry Relationships: The good association of UI research cooperation with cluster development highlights the need to close the gap between academia and business. Kazakhstan should give projects that encourage these important links as top priority. One can reach this by numerous specific actions: Through focused funding and resources, incentivizing joint research projects, empowering Technology Transfer Offices (TTOs) to commercialize university research efficiently and actively supporting industry-sponsored research aligned with business needs, and developing talent mobility programs that enable the flow of expertise between universities and companies. For new start-ups and UI collaborative projects, combining tax credits may significantly increase these initiatives.</w:t>
      </w:r>
    </w:p>
    <w:p w14:paraId="50C42DF3"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Our results confirm that effective cluster development requires a deliberate, planned approach. Using resources and regional assets, Kazakhstan should concentrate on spotting and supporting clusters in industries with a competitive edge. Well-crafted financial incentives should help draw companies to these clusters and promote university cooperation to support this. For instance, integrate tax credit as in Japan, Italy and the U.S. Crucially, a supporting ecology for cluster activities depends on funding common infrastructure including research parks and incubators.</w:t>
      </w:r>
    </w:p>
    <w:p w14:paraId="1123B2A0"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Beyond policy, developing a culture that welcomes innovation is critical. It implies firmly safeguarding intellectual property rights, streamlining the sometimes-tricky business registration procedures, and encouraging entrepreneurial education at all levels. These steps will enable people to seek fresh ideas, take chances, and help to build a vibrant and creative economy.</w:t>
      </w:r>
    </w:p>
    <w:p w14:paraId="666B996A" w14:textId="65374AB8" w:rsidR="004730AE" w:rsidRDefault="00600C79" w:rsidP="00C35C5C">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In conclusion, this chapter subsection demonstrates that by implementing these interconnected recommendations, Kazakhstan can create a more robust and dynamic innovation ecosystem, ultimately driving economic growth and enhancing its competitiveness. Political stability, UI cooperation, and regional development interact complexly and call for a comprehensive and sophisticated response. Continuous evaluation and adaptation of these policies, informed by ongoing </w:t>
      </w:r>
      <w:r w:rsidRPr="00244343">
        <w:rPr>
          <w:rFonts w:ascii="Times New Roman" w:eastAsia="Times New Roman" w:hAnsi="Times New Roman" w:cs="Times New Roman"/>
          <w:sz w:val="28"/>
          <w:szCs w:val="28"/>
          <w:lang w:val="en-US"/>
        </w:rPr>
        <w:lastRenderedPageBreak/>
        <w:t>research, will be essential to ensure their effectiveness and relevance in Kazakhstan's evolving context.</w:t>
      </w:r>
    </w:p>
    <w:p w14:paraId="153A54E8" w14:textId="77777777" w:rsidR="0026746B" w:rsidRPr="00244343" w:rsidRDefault="0026746B" w:rsidP="00C35C5C">
      <w:pPr>
        <w:spacing w:after="0" w:line="240" w:lineRule="auto"/>
        <w:ind w:firstLine="720"/>
        <w:contextualSpacing/>
        <w:jc w:val="both"/>
        <w:rPr>
          <w:rFonts w:ascii="Times New Roman" w:eastAsia="Times New Roman" w:hAnsi="Times New Roman" w:cs="Times New Roman"/>
          <w:sz w:val="28"/>
          <w:szCs w:val="28"/>
          <w:lang w:val="en-US"/>
        </w:rPr>
      </w:pPr>
    </w:p>
    <w:p w14:paraId="18E6A762" w14:textId="1DF27C65" w:rsidR="00600C79" w:rsidRPr="00244343" w:rsidRDefault="0026746B" w:rsidP="004730AE">
      <w:pPr>
        <w:pStyle w:val="af"/>
        <w:rPr>
          <w:lang w:val="en-US"/>
        </w:rPr>
      </w:pPr>
      <w:r w:rsidRPr="00D35380">
        <w:rPr>
          <w:noProof/>
          <w:lang w:val="en-US"/>
        </w:rPr>
        <w:drawing>
          <wp:inline distT="0" distB="0" distL="0" distR="0" wp14:anchorId="7A9AEF80" wp14:editId="198F2675">
            <wp:extent cx="5936914" cy="2683824"/>
            <wp:effectExtent l="0" t="0" r="6985"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77633" cy="2702231"/>
                    </a:xfrm>
                    <a:prstGeom prst="rect">
                      <a:avLst/>
                    </a:prstGeom>
                  </pic:spPr>
                </pic:pic>
              </a:graphicData>
            </a:graphic>
          </wp:inline>
        </w:drawing>
      </w:r>
    </w:p>
    <w:p w14:paraId="63B01917" w14:textId="152B6C8C" w:rsidR="00600C79" w:rsidRPr="0026746B" w:rsidRDefault="00600C79" w:rsidP="00600C79">
      <w:pPr>
        <w:spacing w:after="0" w:line="240" w:lineRule="auto"/>
        <w:ind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34 –</w:t>
      </w:r>
      <w:r w:rsidR="00477AA9">
        <w:rPr>
          <w:rFonts w:ascii="Times New Roman" w:hAnsi="Times New Roman" w:cs="Times New Roman"/>
          <w:sz w:val="28"/>
          <w:szCs w:val="28"/>
          <w:lang w:val="en-US"/>
        </w:rPr>
        <w:t xml:space="preserve"> R</w:t>
      </w:r>
      <w:r w:rsidR="0026746B" w:rsidRPr="0026746B">
        <w:rPr>
          <w:rFonts w:ascii="Times New Roman" w:hAnsi="Times New Roman" w:cs="Times New Roman"/>
          <w:sz w:val="28"/>
          <w:szCs w:val="28"/>
          <w:lang w:val="en-US"/>
        </w:rPr>
        <w:t>egional STC development via university–business collaboration</w:t>
      </w:r>
    </w:p>
    <w:p w14:paraId="75BF73EC" w14:textId="77777777"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p>
    <w:p w14:paraId="4CCF2C81" w14:textId="021E61B0" w:rsidR="00600C79" w:rsidRDefault="00600C79" w:rsidP="00F64A64">
      <w:pPr>
        <w:spacing w:after="0" w:line="240" w:lineRule="auto"/>
        <w:ind w:firstLine="720"/>
        <w:contextualSpacing/>
        <w:rPr>
          <w:rFonts w:ascii="Times New Roman" w:hAnsi="Times New Roman" w:cs="Times New Roman"/>
          <w:sz w:val="24"/>
          <w:szCs w:val="24"/>
          <w:lang w:val="en-US"/>
        </w:rPr>
      </w:pPr>
      <w:r w:rsidRPr="008A698C">
        <w:rPr>
          <w:rFonts w:ascii="Times New Roman" w:hAnsi="Times New Roman" w:cs="Times New Roman"/>
          <w:sz w:val="24"/>
          <w:szCs w:val="24"/>
          <w:lang w:val="en-US"/>
        </w:rPr>
        <w:t>Note – Compiled by author</w:t>
      </w:r>
    </w:p>
    <w:p w14:paraId="62964FAA" w14:textId="77777777" w:rsidR="0026746B" w:rsidRPr="008A698C" w:rsidRDefault="0026746B" w:rsidP="00F64A64">
      <w:pPr>
        <w:spacing w:after="0" w:line="240" w:lineRule="auto"/>
        <w:ind w:firstLine="720"/>
        <w:contextualSpacing/>
        <w:rPr>
          <w:rFonts w:ascii="Times New Roman" w:hAnsi="Times New Roman" w:cs="Times New Roman"/>
          <w:sz w:val="24"/>
          <w:szCs w:val="24"/>
          <w:lang w:val="en-US"/>
        </w:rPr>
      </w:pPr>
    </w:p>
    <w:p w14:paraId="53958444"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eastAsia="Times New Roman" w:hAnsi="Times New Roman" w:cs="Times New Roman"/>
          <w:sz w:val="28"/>
          <w:szCs w:val="28"/>
          <w:lang w:val="en-US"/>
        </w:rPr>
        <w:t>The author states the mechanism that could enhance the effectiveness of TH-</w:t>
      </w:r>
      <w:r w:rsidRPr="00244343">
        <w:rPr>
          <w:rFonts w:ascii="Times New Roman" w:hAnsi="Times New Roman" w:cs="Times New Roman"/>
          <w:sz w:val="28"/>
          <w:szCs w:val="28"/>
          <w:lang w:val="en-US"/>
        </w:rPr>
        <w:t>UIC-Cluster development. Since each element of innovation can contribute to each other.</w:t>
      </w:r>
    </w:p>
    <w:p w14:paraId="3A2E1901" w14:textId="77777777" w:rsidR="00961802" w:rsidRDefault="00600C79" w:rsidP="00961802">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Based on the subsections 1.</w:t>
      </w:r>
      <w:r>
        <w:rPr>
          <w:rFonts w:ascii="Times New Roman" w:hAnsi="Times New Roman" w:cs="Times New Roman"/>
          <w:sz w:val="28"/>
          <w:szCs w:val="28"/>
          <w:lang w:val="en-US"/>
        </w:rPr>
        <w:t>4</w:t>
      </w:r>
      <w:r w:rsidRPr="00244343">
        <w:rPr>
          <w:rFonts w:ascii="Times New Roman" w:hAnsi="Times New Roman" w:cs="Times New Roman"/>
          <w:sz w:val="28"/>
          <w:szCs w:val="28"/>
          <w:lang w:val="en-US"/>
        </w:rPr>
        <w:t>.,2.1 results the following factors affecting the innovation within the THM implementation are demonstrated:</w:t>
      </w:r>
      <w:bookmarkStart w:id="15" w:name="_Hlk189921334"/>
    </w:p>
    <w:p w14:paraId="60C2FEE7" w14:textId="289368F4" w:rsidR="00600C79" w:rsidRPr="00961802" w:rsidRDefault="00600C79" w:rsidP="00961802">
      <w:pPr>
        <w:pStyle w:val="ad"/>
        <w:numPr>
          <w:ilvl w:val="0"/>
          <w:numId w:val="32"/>
        </w:numPr>
        <w:spacing w:after="0" w:line="240" w:lineRule="auto"/>
        <w:jc w:val="both"/>
        <w:rPr>
          <w:rFonts w:ascii="Times New Roman" w:hAnsi="Times New Roman" w:cs="Times New Roman"/>
          <w:sz w:val="28"/>
          <w:szCs w:val="28"/>
          <w:lang w:val="en-US"/>
        </w:rPr>
      </w:pPr>
      <w:r w:rsidRPr="00961802">
        <w:rPr>
          <w:rFonts w:ascii="Times New Roman" w:hAnsi="Times New Roman" w:cs="Times New Roman"/>
          <w:sz w:val="28"/>
          <w:szCs w:val="28"/>
          <w:lang w:val="en-US"/>
        </w:rPr>
        <w:t>Strong negative correlation between low political stability and starting a new business</w:t>
      </w:r>
    </w:p>
    <w:p w14:paraId="33B9CCBE" w14:textId="28A41ED6" w:rsidR="00600C79" w:rsidRPr="00244343" w:rsidRDefault="00961802" w:rsidP="00961802">
      <w:pPr>
        <w:pStyle w:val="ad"/>
        <w:numPr>
          <w:ilvl w:val="0"/>
          <w:numId w:val="32"/>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w:t>
      </w:r>
      <w:r w:rsidR="00600C79" w:rsidRPr="00244343">
        <w:rPr>
          <w:rFonts w:ascii="Times New Roman" w:hAnsi="Times New Roman" w:cs="Times New Roman"/>
          <w:sz w:val="28"/>
          <w:szCs w:val="28"/>
          <w:lang w:val="en-US"/>
        </w:rPr>
        <w:t>trong positive correlation between UI research Collaboration and Cluster development of the region</w:t>
      </w:r>
    </w:p>
    <w:bookmarkEnd w:id="15"/>
    <w:p w14:paraId="79F07348" w14:textId="3B3FC572" w:rsidR="00600C79" w:rsidRPr="00244343" w:rsidRDefault="00600C79" w:rsidP="00961802">
      <w:pPr>
        <w:pStyle w:val="ad"/>
        <w:numPr>
          <w:ilvl w:val="0"/>
          <w:numId w:val="32"/>
        </w:numPr>
        <w:spacing w:after="0"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Goal oriented Management negatively correlates with innovation (SLR)</w:t>
      </w:r>
    </w:p>
    <w:p w14:paraId="18837E54" w14:textId="77777777" w:rsidR="00600C79" w:rsidRPr="00244343" w:rsidRDefault="00600C79" w:rsidP="00961802">
      <w:pPr>
        <w:pStyle w:val="ad"/>
        <w:numPr>
          <w:ilvl w:val="0"/>
          <w:numId w:val="32"/>
        </w:numPr>
        <w:spacing w:after="0"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Weak scientific production (for Kazakhstan) (BA)</w:t>
      </w:r>
    </w:p>
    <w:p w14:paraId="07922905" w14:textId="77777777" w:rsidR="00600C79" w:rsidRPr="00244343" w:rsidRDefault="00600C79" w:rsidP="00961802">
      <w:pPr>
        <w:pStyle w:val="ad"/>
        <w:numPr>
          <w:ilvl w:val="0"/>
          <w:numId w:val="32"/>
        </w:numPr>
        <w:spacing w:after="0"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Education, Partnerships and Academic engagement, motivation are trending topics in UI collaboration. </w:t>
      </w:r>
    </w:p>
    <w:p w14:paraId="0D3C69C1"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Strong negative correlation between low political stability and starting a new business and strong positive correlation between UI research collaboration and cluster development innovation pillars are described in the subsection 2.1. The systematic literature review analysis showcases what did not work under three foreign cases. It revealed that goal-oriented management negatively correlates with innovation (mainly Chinese case) and hampers the THM and UIC overall. Two bibliometric analyses have demonstrated the weak scientific production of Kazakhstan in the THM topic research, moreover in a global scale the BA revealed the main trends of THM topic research and the evolution of THM. The latter disclosed the main keywords employed in topics affecting THM research. </w:t>
      </w:r>
    </w:p>
    <w:p w14:paraId="61B1C8C9"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lastRenderedPageBreak/>
        <w:t>Taking into account the factors revealed, and overall BA and SLR analysis about THM and UIC challenges, barriers in Kazakhstan, the author put forward the mechanism that suit the Kazakhstani economy and national context. As depicted in figure 34 the structure encompasses the instruments and forms that create appropriate environment for THM-UIC-Cluster work effectively.</w:t>
      </w:r>
    </w:p>
    <w:p w14:paraId="7C709F48"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analysis of institutional support strength and the establishment of university-run enterprises (UREs) is pivotal in the evolution of innovative institutions and their interactions, as illustrated by case studies from China. This framework can similarly be applied to the context of Kazakhstan. In the previously referenced works by </w:t>
      </w:r>
      <w:proofErr w:type="spellStart"/>
      <w:r w:rsidRPr="00244343">
        <w:rPr>
          <w:rFonts w:ascii="Times New Roman" w:hAnsi="Times New Roman" w:cs="Times New Roman"/>
          <w:sz w:val="28"/>
          <w:szCs w:val="28"/>
          <w:lang w:val="en-US"/>
        </w:rPr>
        <w:t>Jonbekova</w:t>
      </w:r>
      <w:proofErr w:type="spellEnd"/>
      <w:r w:rsidRPr="00244343">
        <w:rPr>
          <w:rFonts w:ascii="Times New Roman" w:hAnsi="Times New Roman" w:cs="Times New Roman"/>
          <w:sz w:val="28"/>
          <w:szCs w:val="28"/>
          <w:lang w:val="en-US"/>
        </w:rPr>
        <w:t xml:space="preserve"> and </w:t>
      </w:r>
      <w:proofErr w:type="spellStart"/>
      <w:r w:rsidRPr="00244343">
        <w:rPr>
          <w:rFonts w:ascii="Times New Roman" w:hAnsi="Times New Roman" w:cs="Times New Roman"/>
          <w:sz w:val="28"/>
          <w:szCs w:val="28"/>
          <w:lang w:val="en-US"/>
        </w:rPr>
        <w:t>Sagintayeva</w:t>
      </w:r>
      <w:proofErr w:type="spellEnd"/>
      <w:r w:rsidRPr="00244343">
        <w:rPr>
          <w:rFonts w:ascii="Times New Roman" w:hAnsi="Times New Roman" w:cs="Times New Roman"/>
          <w:sz w:val="28"/>
          <w:szCs w:val="28"/>
          <w:lang w:val="en-US"/>
        </w:rPr>
        <w:t>, it is evident that the primary barriers to effective university-industry collaborations (UIC) in Kazakhstan include the limited engagement of small and medium-sized enterprises (SMEs) in UIC initiatives and the underlying trust issues that can be institutionalized. Furthermore, a bibliometric analysis of the literature indicates a notable deficiency in the scientific output in this domain within Kazakhstan, underscoring the necessity for enhanced institutional support to facilitate the publication of more substantial, funded, and high-impact research.</w:t>
      </w:r>
    </w:p>
    <w:p w14:paraId="079B8C50"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bookmarkStart w:id="16" w:name="_Hlk190771587"/>
      <w:r w:rsidRPr="00244343">
        <w:rPr>
          <w:rFonts w:ascii="Times New Roman" w:hAnsi="Times New Roman" w:cs="Times New Roman"/>
          <w:sz w:val="28"/>
          <w:szCs w:val="28"/>
          <w:lang w:val="en-US"/>
        </w:rPr>
        <w:t>This chapter analyzes Kazakhstan's challenges and opportunities for innovation, compares its situation with other countries, and proposes a mechanism to strengthen the Triple Helix Model (THM) implementation.</w:t>
      </w:r>
    </w:p>
    <w:p w14:paraId="756295FA"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author highlights Kazakhstan's paradox: significant scientific and technical potential coupled with insufficient application of research outcomes in industry. It attributes this to a lack of understanding of technology commercialization among scientists and inventors. It recommends several measures to address this, drawing inspiration from leading innovative nations:</w:t>
      </w:r>
    </w:p>
    <w:p w14:paraId="62208B82" w14:textId="77777777" w:rsidR="00600C79" w:rsidRPr="00244343" w:rsidRDefault="00600C79" w:rsidP="001B500C">
      <w:pPr>
        <w:numPr>
          <w:ilvl w:val="0"/>
          <w:numId w:val="8"/>
        </w:num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Government-backed innovation funds.</w:t>
      </w:r>
    </w:p>
    <w:p w14:paraId="1594E574" w14:textId="77777777" w:rsidR="00600C79" w:rsidRPr="00244343" w:rsidRDefault="00600C79" w:rsidP="001B500C">
      <w:pPr>
        <w:numPr>
          <w:ilvl w:val="0"/>
          <w:numId w:val="8"/>
        </w:num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Enhanced R&amp;D tax benefits.</w:t>
      </w:r>
    </w:p>
    <w:p w14:paraId="0C3343D9" w14:textId="77777777" w:rsidR="00600C79" w:rsidRPr="00244343" w:rsidRDefault="00600C79" w:rsidP="001B500C">
      <w:pPr>
        <w:numPr>
          <w:ilvl w:val="0"/>
          <w:numId w:val="8"/>
        </w:num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Improved funding programs for startups, universities, and SMEs.</w:t>
      </w:r>
    </w:p>
    <w:p w14:paraId="25BE91DB" w14:textId="77777777" w:rsidR="00600C79" w:rsidRPr="00244343" w:rsidRDefault="00600C79" w:rsidP="001B500C">
      <w:pPr>
        <w:numPr>
          <w:ilvl w:val="0"/>
          <w:numId w:val="8"/>
        </w:num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Innovation zones with financial incentives.</w:t>
      </w:r>
    </w:p>
    <w:p w14:paraId="1AEE56FA" w14:textId="77777777" w:rsidR="00600C79" w:rsidRPr="00244343" w:rsidRDefault="00600C79" w:rsidP="001B500C">
      <w:pPr>
        <w:numPr>
          <w:ilvl w:val="0"/>
          <w:numId w:val="8"/>
        </w:num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R&amp;D talent cultivation programs in collaboration with international institutions.</w:t>
      </w:r>
    </w:p>
    <w:p w14:paraId="448B752F"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 chapter compares Kazakhstan with China, Italy, and Japan using data from the Global Innovation Index (GII) reports (2010-2023). It focuses on four pillars: starting a business, university-industry collaboration (UIC), cluster presence, and political stability.</w:t>
      </w:r>
    </w:p>
    <w:p w14:paraId="351B670A"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Correlation analysis reveals a negative correlation between political stability rank and ease of starting a business. China and Italy show a strong negative correlation, Japan a weaker one, and Kazakhstan an insignificant negative correlation. The chapter suggests that while Kazakhstan's political stability may not be high, it does not significantly affect starting a business, possibly due to less government intervention or underdevelopment of business. It also cites research indicating the complex influence of political stability and other factors on starting a business.</w:t>
      </w:r>
    </w:p>
    <w:p w14:paraId="774CB1BD"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lastRenderedPageBreak/>
        <w:t>Research demonstrates a strong positive correlation between UIC and cluster development in China and Japan, while a moderate correlation exists in Italy and Kazakhstan. Universities are essential to industrial clusters in certain nations, promoting innovation and economic advancement.</w:t>
      </w:r>
    </w:p>
    <w:p w14:paraId="544B87F6"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Based on previous chapters and the current analysis, the chapter identifies several factors affecting innovation within the THM:</w:t>
      </w:r>
    </w:p>
    <w:p w14:paraId="70ABBC36" w14:textId="77777777" w:rsidR="00600C79" w:rsidRPr="00244343" w:rsidRDefault="00600C79" w:rsidP="002B6829">
      <w:pPr>
        <w:numPr>
          <w:ilvl w:val="1"/>
          <w:numId w:val="9"/>
        </w:num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A strong negative correlation exists between low political stability and starting a new business.</w:t>
      </w:r>
    </w:p>
    <w:p w14:paraId="07604747" w14:textId="77777777" w:rsidR="00600C79" w:rsidRPr="00244343" w:rsidRDefault="00600C79" w:rsidP="002B6829">
      <w:pPr>
        <w:numPr>
          <w:ilvl w:val="1"/>
          <w:numId w:val="9"/>
        </w:num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Strong positive correlation between UI research collaboration and regional cluster development.</w:t>
      </w:r>
    </w:p>
    <w:p w14:paraId="139B1263" w14:textId="77777777" w:rsidR="00600C79" w:rsidRPr="00244343" w:rsidRDefault="00600C79" w:rsidP="002B6829">
      <w:pPr>
        <w:numPr>
          <w:ilvl w:val="1"/>
          <w:numId w:val="9"/>
        </w:num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Negative correlation between goal-oriented management and innovation.</w:t>
      </w:r>
    </w:p>
    <w:p w14:paraId="3F1D1E28" w14:textId="77777777" w:rsidR="00600C79" w:rsidRPr="00244343" w:rsidRDefault="00600C79" w:rsidP="002B6829">
      <w:pPr>
        <w:numPr>
          <w:ilvl w:val="1"/>
          <w:numId w:val="9"/>
        </w:num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Weak scientific production in Kazakhstan (bibliometric analysis).</w:t>
      </w:r>
    </w:p>
    <w:p w14:paraId="5B1AB53A" w14:textId="1DE0BA37" w:rsidR="00600C79" w:rsidRPr="00244343" w:rsidRDefault="00600C79" w:rsidP="002B6829">
      <w:pPr>
        <w:numPr>
          <w:ilvl w:val="1"/>
          <w:numId w:val="9"/>
        </w:num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Trending topics in UI collaboration: education, partnerships, academic engagement, and motivation.</w:t>
      </w:r>
      <w:r w:rsidR="002B6829">
        <w:rPr>
          <w:rFonts w:ascii="Times New Roman" w:eastAsia="Times New Roman" w:hAnsi="Times New Roman" w:cs="Times New Roman"/>
          <w:sz w:val="28"/>
          <w:szCs w:val="28"/>
          <w:lang w:val="en-US"/>
        </w:rPr>
        <w:t xml:space="preserve"> </w:t>
      </w:r>
    </w:p>
    <w:p w14:paraId="2AA763F7"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In light of these findings, the chapter advocates for a mechanism to strengthen THM implementation in Kazakhstan (Figure 34). This mechanism aims to create an appropriate environment for effective THM-UIC-Cluster interaction.</w:t>
      </w:r>
    </w:p>
    <w:p w14:paraId="72B2B1CD"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Using examples from China, the author highlights the importance of institutional support and undergraduate research experiences. The work also addresses the challenges facing university-industry collaboration (UIC) in Kazakhstan, including limited involvement from small and medium-sized enterprises (SMEs), a lack of trust, and the need for increased research output.</w:t>
      </w:r>
    </w:p>
    <w:p w14:paraId="4C5BF2B8" w14:textId="101FF9E1" w:rsidR="00600C79"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This study put an emphasis on relationship between political stability, the ease of entrepreneurial activities, and the crucial link connecting academic institutions, industrial sectors, and the evolution of regional clusters. Ultimately, a context-specific framework is proposed, designed for the sustained implementation of technology and higher-order manufacturing (THM) within Kazakhstan while simultaneously mitigating current impediments to innovative progress.</w:t>
      </w:r>
    </w:p>
    <w:p w14:paraId="4A2FE113" w14:textId="77777777" w:rsidR="00F60A2D" w:rsidRPr="00F60A2D" w:rsidRDefault="00F60A2D" w:rsidP="00F60A2D">
      <w:pPr>
        <w:spacing w:after="0" w:line="240" w:lineRule="auto"/>
        <w:ind w:firstLine="720"/>
        <w:contextualSpacing/>
        <w:jc w:val="both"/>
        <w:rPr>
          <w:rFonts w:ascii="Times New Roman" w:eastAsia="Times New Roman" w:hAnsi="Times New Roman" w:cs="Times New Roman"/>
          <w:sz w:val="28"/>
          <w:szCs w:val="28"/>
          <w:lang w:val="en-US"/>
        </w:rPr>
      </w:pPr>
      <w:r w:rsidRPr="00F60A2D">
        <w:rPr>
          <w:rFonts w:ascii="Times New Roman" w:eastAsia="Times New Roman" w:hAnsi="Times New Roman" w:cs="Times New Roman"/>
          <w:sz w:val="28"/>
          <w:szCs w:val="28"/>
          <w:lang w:val="en-US"/>
        </w:rPr>
        <w:t>Drawing upon international comparative insights and the empirical findings of this dissertation, the current legislative and strategic framework in Kazakhstan may benefit from targeted enhancements that support innovation, student entrepreneurship, and graduate employment. Specifically, the following areas of regulation and policy are proposed for adaptation or amendment:</w:t>
      </w:r>
    </w:p>
    <w:p w14:paraId="35C1E5E9" w14:textId="35BB45E3" w:rsidR="00F60A2D" w:rsidRDefault="00F60A2D" w:rsidP="00600C79">
      <w:pPr>
        <w:spacing w:after="0" w:line="240" w:lineRule="auto"/>
        <w:ind w:firstLine="720"/>
        <w:contextualSpacing/>
        <w:jc w:val="both"/>
        <w:rPr>
          <w:rFonts w:ascii="Times New Roman" w:eastAsia="Times New Roman" w:hAnsi="Times New Roman" w:cs="Times New Roman"/>
          <w:sz w:val="28"/>
          <w:szCs w:val="28"/>
          <w:lang w:val="en-US"/>
        </w:rPr>
      </w:pPr>
    </w:p>
    <w:p w14:paraId="4DEBD855" w14:textId="1100F2A5" w:rsidR="00F60A2D" w:rsidRDefault="00F60A2D" w:rsidP="00F60A2D">
      <w:pPr>
        <w:spacing w:after="0" w:line="240" w:lineRule="auto"/>
        <w:ind w:firstLine="720"/>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Table 7 – </w:t>
      </w:r>
      <w:r w:rsidRPr="00F60A2D">
        <w:rPr>
          <w:rFonts w:ascii="Times New Roman" w:eastAsia="Times New Roman" w:hAnsi="Times New Roman" w:cs="Times New Roman"/>
          <w:sz w:val="28"/>
          <w:szCs w:val="28"/>
          <w:lang w:val="en-US"/>
        </w:rPr>
        <w:t>Policy Recommendations for Innovation Management in Kazakhstan</w:t>
      </w:r>
    </w:p>
    <w:p w14:paraId="6C696D38" w14:textId="77777777" w:rsidR="00F60A2D" w:rsidRDefault="00F60A2D" w:rsidP="00F60A2D">
      <w:pPr>
        <w:spacing w:after="0" w:line="240" w:lineRule="auto"/>
        <w:ind w:firstLine="720"/>
        <w:contextualSpacing/>
        <w:jc w:val="both"/>
        <w:rPr>
          <w:rFonts w:ascii="Times New Roman" w:eastAsia="Times New Roman" w:hAnsi="Times New Roman" w:cs="Times New Roman"/>
          <w:sz w:val="28"/>
          <w:szCs w:val="28"/>
          <w:lang w:val="en-US"/>
        </w:rPr>
      </w:pPr>
    </w:p>
    <w:tbl>
      <w:tblPr>
        <w:tblStyle w:val="a8"/>
        <w:tblW w:w="9457" w:type="dxa"/>
        <w:jc w:val="center"/>
        <w:tblLook w:val="04A0" w:firstRow="1" w:lastRow="0" w:firstColumn="1" w:lastColumn="0" w:noHBand="0" w:noVBand="1"/>
      </w:tblPr>
      <w:tblGrid>
        <w:gridCol w:w="3078"/>
        <w:gridCol w:w="3863"/>
        <w:gridCol w:w="2516"/>
      </w:tblGrid>
      <w:tr w:rsidR="00F60A2D" w:rsidRPr="00F9580B" w14:paraId="3B484682" w14:textId="77777777" w:rsidTr="00596098">
        <w:trPr>
          <w:jc w:val="center"/>
        </w:trPr>
        <w:tc>
          <w:tcPr>
            <w:tcW w:w="3078" w:type="dxa"/>
          </w:tcPr>
          <w:p w14:paraId="2BBD6F4F" w14:textId="77777777" w:rsidR="00F60A2D" w:rsidRPr="00F9580B" w:rsidRDefault="00F60A2D" w:rsidP="00297606">
            <w:pPr>
              <w:rPr>
                <w:rFonts w:ascii="Times New Roman" w:hAnsi="Times New Roman" w:cs="Times New Roman"/>
                <w:sz w:val="28"/>
                <w:szCs w:val="28"/>
              </w:rPr>
            </w:pPr>
            <w:proofErr w:type="spellStart"/>
            <w:r w:rsidRPr="00F9580B">
              <w:rPr>
                <w:rFonts w:ascii="Times New Roman" w:hAnsi="Times New Roman" w:cs="Times New Roman"/>
                <w:sz w:val="28"/>
                <w:szCs w:val="28"/>
              </w:rPr>
              <w:t>Recommendation</w:t>
            </w:r>
            <w:proofErr w:type="spellEnd"/>
            <w:r w:rsidRPr="00F9580B">
              <w:rPr>
                <w:rFonts w:ascii="Times New Roman" w:hAnsi="Times New Roman" w:cs="Times New Roman"/>
                <w:sz w:val="28"/>
                <w:szCs w:val="28"/>
              </w:rPr>
              <w:t xml:space="preserve"> Area</w:t>
            </w:r>
          </w:p>
        </w:tc>
        <w:tc>
          <w:tcPr>
            <w:tcW w:w="3863" w:type="dxa"/>
          </w:tcPr>
          <w:p w14:paraId="1D640617" w14:textId="77777777" w:rsidR="00F60A2D" w:rsidRPr="00F9580B" w:rsidRDefault="00F60A2D" w:rsidP="00297606">
            <w:pPr>
              <w:rPr>
                <w:rFonts w:ascii="Times New Roman" w:hAnsi="Times New Roman" w:cs="Times New Roman"/>
                <w:sz w:val="28"/>
                <w:szCs w:val="28"/>
              </w:rPr>
            </w:pPr>
            <w:proofErr w:type="spellStart"/>
            <w:r w:rsidRPr="00F9580B">
              <w:rPr>
                <w:rFonts w:ascii="Times New Roman" w:hAnsi="Times New Roman" w:cs="Times New Roman"/>
                <w:sz w:val="28"/>
                <w:szCs w:val="28"/>
              </w:rPr>
              <w:t>Suggested</w:t>
            </w:r>
            <w:proofErr w:type="spellEnd"/>
            <w:r w:rsidRPr="00F9580B">
              <w:rPr>
                <w:rFonts w:ascii="Times New Roman" w:hAnsi="Times New Roman" w:cs="Times New Roman"/>
                <w:sz w:val="28"/>
                <w:szCs w:val="28"/>
              </w:rPr>
              <w:t xml:space="preserve"> Change / </w:t>
            </w:r>
            <w:proofErr w:type="spellStart"/>
            <w:r w:rsidRPr="00F9580B">
              <w:rPr>
                <w:rFonts w:ascii="Times New Roman" w:hAnsi="Times New Roman" w:cs="Times New Roman"/>
                <w:sz w:val="28"/>
                <w:szCs w:val="28"/>
              </w:rPr>
              <w:t>Measures</w:t>
            </w:r>
            <w:proofErr w:type="spellEnd"/>
          </w:p>
        </w:tc>
        <w:tc>
          <w:tcPr>
            <w:tcW w:w="2516" w:type="dxa"/>
          </w:tcPr>
          <w:p w14:paraId="214A5269" w14:textId="77777777" w:rsidR="00F60A2D" w:rsidRPr="00F9580B" w:rsidRDefault="00F60A2D" w:rsidP="00297606">
            <w:pPr>
              <w:rPr>
                <w:rFonts w:ascii="Times New Roman" w:hAnsi="Times New Roman" w:cs="Times New Roman"/>
                <w:sz w:val="28"/>
                <w:szCs w:val="28"/>
              </w:rPr>
            </w:pPr>
            <w:r w:rsidRPr="00F9580B">
              <w:rPr>
                <w:rFonts w:ascii="Times New Roman" w:hAnsi="Times New Roman" w:cs="Times New Roman"/>
                <w:sz w:val="28"/>
                <w:szCs w:val="28"/>
              </w:rPr>
              <w:t>Policy/</w:t>
            </w:r>
            <w:proofErr w:type="spellStart"/>
            <w:r w:rsidRPr="00F9580B">
              <w:rPr>
                <w:rFonts w:ascii="Times New Roman" w:hAnsi="Times New Roman" w:cs="Times New Roman"/>
                <w:sz w:val="28"/>
                <w:szCs w:val="28"/>
              </w:rPr>
              <w:t>Regulatory</w:t>
            </w:r>
            <w:proofErr w:type="spellEnd"/>
            <w:r w:rsidRPr="00F9580B">
              <w:rPr>
                <w:rFonts w:ascii="Times New Roman" w:hAnsi="Times New Roman" w:cs="Times New Roman"/>
                <w:sz w:val="28"/>
                <w:szCs w:val="28"/>
              </w:rPr>
              <w:t xml:space="preserve"> Domain</w:t>
            </w:r>
          </w:p>
        </w:tc>
      </w:tr>
      <w:tr w:rsidR="00F60A2D" w:rsidRPr="000E0481" w14:paraId="74EB05F9" w14:textId="77777777" w:rsidTr="00022573">
        <w:trPr>
          <w:jc w:val="center"/>
        </w:trPr>
        <w:tc>
          <w:tcPr>
            <w:tcW w:w="3078" w:type="dxa"/>
            <w:tcBorders>
              <w:bottom w:val="nil"/>
            </w:tcBorders>
          </w:tcPr>
          <w:p w14:paraId="5EC5C430"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Promote Domestic Innovation-Oriented Production</w:t>
            </w:r>
          </w:p>
        </w:tc>
        <w:tc>
          <w:tcPr>
            <w:tcW w:w="3863" w:type="dxa"/>
            <w:tcBorders>
              <w:bottom w:val="nil"/>
            </w:tcBorders>
          </w:tcPr>
          <w:p w14:paraId="640452E8"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Prioritize local goods in procurement; Introduce government guaranteed procurement for innovation SMEs; Apply protective tariffs.</w:t>
            </w:r>
          </w:p>
        </w:tc>
        <w:tc>
          <w:tcPr>
            <w:tcW w:w="2516" w:type="dxa"/>
            <w:tcBorders>
              <w:bottom w:val="nil"/>
            </w:tcBorders>
          </w:tcPr>
          <w:p w14:paraId="14ED7696"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Law on Industrial Policy, Public Procurement Law</w:t>
            </w:r>
          </w:p>
        </w:tc>
      </w:tr>
      <w:tr w:rsidR="00022573" w:rsidRPr="008838AE" w14:paraId="41292FA8" w14:textId="77777777" w:rsidTr="004A2865">
        <w:trPr>
          <w:jc w:val="center"/>
        </w:trPr>
        <w:tc>
          <w:tcPr>
            <w:tcW w:w="9457" w:type="dxa"/>
            <w:gridSpan w:val="3"/>
            <w:tcBorders>
              <w:top w:val="nil"/>
              <w:left w:val="nil"/>
              <w:bottom w:val="single" w:sz="4" w:space="0" w:color="auto"/>
              <w:right w:val="nil"/>
            </w:tcBorders>
          </w:tcPr>
          <w:p w14:paraId="2F5F2F16" w14:textId="77777777" w:rsidR="00022573" w:rsidRDefault="00022573" w:rsidP="00297606">
            <w:pPr>
              <w:rPr>
                <w:rFonts w:ascii="Times New Roman" w:hAnsi="Times New Roman" w:cs="Times New Roman"/>
                <w:sz w:val="28"/>
                <w:szCs w:val="28"/>
                <w:lang w:val="en-US"/>
              </w:rPr>
            </w:pPr>
            <w:r>
              <w:rPr>
                <w:rFonts w:ascii="Times New Roman" w:hAnsi="Times New Roman" w:cs="Times New Roman"/>
                <w:sz w:val="28"/>
                <w:szCs w:val="28"/>
                <w:lang w:val="en-US"/>
              </w:rPr>
              <w:lastRenderedPageBreak/>
              <w:t>Continuation of the table 7</w:t>
            </w:r>
          </w:p>
          <w:p w14:paraId="7BA34208" w14:textId="05B94380" w:rsidR="004A2865" w:rsidRPr="00F60A2D" w:rsidRDefault="004A2865" w:rsidP="00297606">
            <w:pPr>
              <w:rPr>
                <w:rFonts w:ascii="Times New Roman" w:hAnsi="Times New Roman" w:cs="Times New Roman"/>
                <w:sz w:val="28"/>
                <w:szCs w:val="28"/>
                <w:lang w:val="en-US"/>
              </w:rPr>
            </w:pPr>
          </w:p>
        </w:tc>
      </w:tr>
      <w:tr w:rsidR="00F60A2D" w:rsidRPr="000E0481" w14:paraId="2B564260" w14:textId="77777777" w:rsidTr="00022573">
        <w:trPr>
          <w:jc w:val="center"/>
        </w:trPr>
        <w:tc>
          <w:tcPr>
            <w:tcW w:w="3078" w:type="dxa"/>
            <w:tcBorders>
              <w:top w:val="single" w:sz="4" w:space="0" w:color="auto"/>
            </w:tcBorders>
          </w:tcPr>
          <w:p w14:paraId="7751051C" w14:textId="77777777" w:rsidR="00F60A2D" w:rsidRPr="00F9580B" w:rsidRDefault="00F60A2D" w:rsidP="00297606">
            <w:pPr>
              <w:rPr>
                <w:rFonts w:ascii="Times New Roman" w:hAnsi="Times New Roman" w:cs="Times New Roman"/>
                <w:sz w:val="28"/>
                <w:szCs w:val="28"/>
              </w:rPr>
            </w:pPr>
            <w:proofErr w:type="spellStart"/>
            <w:r w:rsidRPr="00F9580B">
              <w:rPr>
                <w:rFonts w:ascii="Times New Roman" w:hAnsi="Times New Roman" w:cs="Times New Roman"/>
                <w:sz w:val="28"/>
                <w:szCs w:val="28"/>
              </w:rPr>
              <w:t>Institutionalize</w:t>
            </w:r>
            <w:proofErr w:type="spellEnd"/>
            <w:r w:rsidRPr="00F9580B">
              <w:rPr>
                <w:rFonts w:ascii="Times New Roman" w:hAnsi="Times New Roman" w:cs="Times New Roman"/>
                <w:sz w:val="28"/>
                <w:szCs w:val="28"/>
              </w:rPr>
              <w:t xml:space="preserve"> Regional Innovation </w:t>
            </w:r>
            <w:proofErr w:type="spellStart"/>
            <w:r w:rsidRPr="00F9580B">
              <w:rPr>
                <w:rFonts w:ascii="Times New Roman" w:hAnsi="Times New Roman" w:cs="Times New Roman"/>
                <w:sz w:val="28"/>
                <w:szCs w:val="28"/>
              </w:rPr>
              <w:t>Platforms</w:t>
            </w:r>
            <w:proofErr w:type="spellEnd"/>
          </w:p>
        </w:tc>
        <w:tc>
          <w:tcPr>
            <w:tcW w:w="3863" w:type="dxa"/>
            <w:tcBorders>
              <w:top w:val="single" w:sz="4" w:space="0" w:color="auto"/>
            </w:tcBorders>
          </w:tcPr>
          <w:p w14:paraId="7A3DF37C"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Establish inter-institutional platforms linked to regional development and cluster goals.</w:t>
            </w:r>
          </w:p>
        </w:tc>
        <w:tc>
          <w:tcPr>
            <w:tcW w:w="2516" w:type="dxa"/>
            <w:tcBorders>
              <w:top w:val="single" w:sz="4" w:space="0" w:color="auto"/>
            </w:tcBorders>
          </w:tcPr>
          <w:p w14:paraId="35B2E70A"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Regional Development Strategy, Science &amp; Tech Concept (2023–2029)</w:t>
            </w:r>
          </w:p>
        </w:tc>
      </w:tr>
      <w:tr w:rsidR="00F60A2D" w:rsidRPr="000E0481" w14:paraId="21575627" w14:textId="77777777" w:rsidTr="00596098">
        <w:trPr>
          <w:jc w:val="center"/>
        </w:trPr>
        <w:tc>
          <w:tcPr>
            <w:tcW w:w="3078" w:type="dxa"/>
          </w:tcPr>
          <w:p w14:paraId="273D2B40"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Reform Fiscal and Financial Innovation Incentives</w:t>
            </w:r>
          </w:p>
        </w:tc>
        <w:tc>
          <w:tcPr>
            <w:tcW w:w="3863" w:type="dxa"/>
          </w:tcPr>
          <w:p w14:paraId="3FC68D09" w14:textId="77777777" w:rsidR="00596098"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 xml:space="preserve">Offer tax exemptions, subsidized loans, and innovation grants; </w:t>
            </w:r>
          </w:p>
          <w:p w14:paraId="70B10FF0" w14:textId="7337D3D5"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Amend Tax Code accordingly.</w:t>
            </w:r>
          </w:p>
        </w:tc>
        <w:tc>
          <w:tcPr>
            <w:tcW w:w="2516" w:type="dxa"/>
          </w:tcPr>
          <w:p w14:paraId="53BD5449"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Tax Code, Law on Entrepreneurship, Investment Policy</w:t>
            </w:r>
          </w:p>
        </w:tc>
      </w:tr>
      <w:tr w:rsidR="00F60A2D" w:rsidRPr="00824B4E" w14:paraId="43F9CA2F" w14:textId="77777777" w:rsidTr="00596098">
        <w:trPr>
          <w:jc w:val="center"/>
        </w:trPr>
        <w:tc>
          <w:tcPr>
            <w:tcW w:w="3078" w:type="dxa"/>
            <w:tcBorders>
              <w:bottom w:val="single" w:sz="4" w:space="0" w:color="auto"/>
            </w:tcBorders>
          </w:tcPr>
          <w:p w14:paraId="2E90E3A5"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Align Public Procurement with Innovation Objectives</w:t>
            </w:r>
          </w:p>
        </w:tc>
        <w:tc>
          <w:tcPr>
            <w:tcW w:w="3863" w:type="dxa"/>
            <w:tcBorders>
              <w:bottom w:val="single" w:sz="4" w:space="0" w:color="auto"/>
            </w:tcBorders>
          </w:tcPr>
          <w:p w14:paraId="077A03BE"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Integrate innovation-based selection in tenders; Require domestic R&amp;D and local value-added.</w:t>
            </w:r>
          </w:p>
        </w:tc>
        <w:tc>
          <w:tcPr>
            <w:tcW w:w="2516" w:type="dxa"/>
            <w:tcBorders>
              <w:bottom w:val="single" w:sz="4" w:space="0" w:color="auto"/>
            </w:tcBorders>
          </w:tcPr>
          <w:p w14:paraId="6EEE387B"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 xml:space="preserve">Public Procurement Law, Law </w:t>
            </w:r>
            <w:r w:rsidRPr="00341689">
              <w:rPr>
                <w:rFonts w:ascii="Times New Roman" w:hAnsi="Times New Roman" w:cs="Times New Roman"/>
                <w:sz w:val="28"/>
                <w:szCs w:val="28"/>
                <w:lang w:val="en-US"/>
              </w:rPr>
              <w:t xml:space="preserve">On state </w:t>
            </w:r>
            <w:proofErr w:type="gramStart"/>
            <w:r w:rsidRPr="00341689">
              <w:rPr>
                <w:rFonts w:ascii="Times New Roman" w:hAnsi="Times New Roman" w:cs="Times New Roman"/>
                <w:sz w:val="28"/>
                <w:szCs w:val="28"/>
                <w:lang w:val="en-US"/>
              </w:rPr>
              <w:t>support  of</w:t>
            </w:r>
            <w:proofErr w:type="gramEnd"/>
            <w:r w:rsidRPr="00341689">
              <w:rPr>
                <w:rFonts w:ascii="Times New Roman" w:hAnsi="Times New Roman" w:cs="Times New Roman"/>
                <w:sz w:val="28"/>
                <w:szCs w:val="28"/>
                <w:lang w:val="en-US"/>
              </w:rPr>
              <w:t xml:space="preserve"> industrial and innovative  activity</w:t>
            </w:r>
          </w:p>
        </w:tc>
      </w:tr>
      <w:tr w:rsidR="00F60A2D" w:rsidRPr="00C80297" w14:paraId="5B165776" w14:textId="77777777" w:rsidTr="00596098">
        <w:trPr>
          <w:jc w:val="center"/>
        </w:trPr>
        <w:tc>
          <w:tcPr>
            <w:tcW w:w="3078" w:type="dxa"/>
            <w:tcBorders>
              <w:bottom w:val="nil"/>
            </w:tcBorders>
          </w:tcPr>
          <w:p w14:paraId="60CE3E85"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Activate Youth and University Potential in Production Ecosystems</w:t>
            </w:r>
          </w:p>
        </w:tc>
        <w:tc>
          <w:tcPr>
            <w:tcW w:w="3863" w:type="dxa"/>
            <w:tcBorders>
              <w:bottom w:val="nil"/>
            </w:tcBorders>
          </w:tcPr>
          <w:p w14:paraId="68C8E8D2" w14:textId="77777777" w:rsidR="00596098"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 xml:space="preserve">Support industrial placements; Promote student-industry innovation projects; </w:t>
            </w:r>
          </w:p>
          <w:p w14:paraId="63415F2A" w14:textId="30D2FBCD" w:rsidR="00A54393"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Encourage dual education.</w:t>
            </w:r>
          </w:p>
        </w:tc>
        <w:tc>
          <w:tcPr>
            <w:tcW w:w="2516" w:type="dxa"/>
            <w:tcBorders>
              <w:bottom w:val="nil"/>
            </w:tcBorders>
          </w:tcPr>
          <w:p w14:paraId="4459FC3D" w14:textId="247BB705" w:rsidR="00596098"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 xml:space="preserve">Law on Education, Youth Policy, </w:t>
            </w:r>
          </w:p>
          <w:p w14:paraId="5DECA8D8" w14:textId="44AA014C" w:rsidR="00596098"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Education Reform Roadmaps</w:t>
            </w:r>
          </w:p>
        </w:tc>
      </w:tr>
      <w:tr w:rsidR="00F60A2D" w:rsidRPr="000E0481" w14:paraId="0AE2A438" w14:textId="77777777" w:rsidTr="00596098">
        <w:trPr>
          <w:trHeight w:val="1387"/>
          <w:jc w:val="center"/>
        </w:trPr>
        <w:tc>
          <w:tcPr>
            <w:tcW w:w="3078" w:type="dxa"/>
            <w:tcBorders>
              <w:top w:val="single" w:sz="4" w:space="0" w:color="auto"/>
            </w:tcBorders>
          </w:tcPr>
          <w:p w14:paraId="0326206A"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Ensure Strategic Continuity in Innovation Programs</w:t>
            </w:r>
          </w:p>
        </w:tc>
        <w:tc>
          <w:tcPr>
            <w:tcW w:w="3863" w:type="dxa"/>
            <w:tcBorders>
              <w:top w:val="single" w:sz="4" w:space="0" w:color="auto"/>
            </w:tcBorders>
          </w:tcPr>
          <w:p w14:paraId="68B62E1D"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Implement multi-year innovation plans; Legally commit to clusters; Set evaluation mechanisms.</w:t>
            </w:r>
          </w:p>
        </w:tc>
        <w:tc>
          <w:tcPr>
            <w:tcW w:w="2516" w:type="dxa"/>
            <w:tcBorders>
              <w:top w:val="single" w:sz="4" w:space="0" w:color="auto"/>
            </w:tcBorders>
          </w:tcPr>
          <w:p w14:paraId="301403CD"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Strategic Planning Law, National Innovation Strategy</w:t>
            </w:r>
          </w:p>
        </w:tc>
      </w:tr>
      <w:tr w:rsidR="00F60A2D" w:rsidRPr="00F9580B" w14:paraId="44C683EB" w14:textId="77777777" w:rsidTr="00596098">
        <w:trPr>
          <w:trHeight w:val="1420"/>
          <w:jc w:val="center"/>
        </w:trPr>
        <w:tc>
          <w:tcPr>
            <w:tcW w:w="3078" w:type="dxa"/>
          </w:tcPr>
          <w:p w14:paraId="33C2BC88"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Tax Code of the Republic of Kazakhstan</w:t>
            </w:r>
          </w:p>
        </w:tc>
        <w:tc>
          <w:tcPr>
            <w:tcW w:w="3863" w:type="dxa"/>
          </w:tcPr>
          <w:p w14:paraId="50C76C1F"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Introduce tax deductions for firms partnering with universities on R&amp;D/student projects.</w:t>
            </w:r>
          </w:p>
        </w:tc>
        <w:tc>
          <w:tcPr>
            <w:tcW w:w="2516" w:type="dxa"/>
          </w:tcPr>
          <w:p w14:paraId="0D8BBC61" w14:textId="77777777" w:rsidR="00F60A2D" w:rsidRPr="00F9580B" w:rsidRDefault="00F60A2D" w:rsidP="00297606">
            <w:pPr>
              <w:rPr>
                <w:rFonts w:ascii="Times New Roman" w:hAnsi="Times New Roman" w:cs="Times New Roman"/>
                <w:sz w:val="28"/>
                <w:szCs w:val="28"/>
              </w:rPr>
            </w:pPr>
            <w:proofErr w:type="spellStart"/>
            <w:r w:rsidRPr="00F9580B">
              <w:rPr>
                <w:rFonts w:ascii="Times New Roman" w:hAnsi="Times New Roman" w:cs="Times New Roman"/>
                <w:sz w:val="28"/>
                <w:szCs w:val="28"/>
              </w:rPr>
              <w:t>Tax</w:t>
            </w:r>
            <w:proofErr w:type="spellEnd"/>
            <w:r w:rsidRPr="00F9580B">
              <w:rPr>
                <w:rFonts w:ascii="Times New Roman" w:hAnsi="Times New Roman" w:cs="Times New Roman"/>
                <w:sz w:val="28"/>
                <w:szCs w:val="28"/>
              </w:rPr>
              <w:t xml:space="preserve"> Code</w:t>
            </w:r>
          </w:p>
        </w:tc>
      </w:tr>
      <w:tr w:rsidR="00F60A2D" w:rsidRPr="000E0481" w14:paraId="1995B57D" w14:textId="77777777" w:rsidTr="00596098">
        <w:trPr>
          <w:jc w:val="center"/>
        </w:trPr>
        <w:tc>
          <w:tcPr>
            <w:tcW w:w="3078" w:type="dxa"/>
          </w:tcPr>
          <w:p w14:paraId="0EBFAE6F"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Law on Science and Commercialization of R&amp;D (2015)</w:t>
            </w:r>
          </w:p>
        </w:tc>
        <w:tc>
          <w:tcPr>
            <w:tcW w:w="3863" w:type="dxa"/>
          </w:tcPr>
          <w:p w14:paraId="6A93868D"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Include student-led innovation in commercialization; Support entrepreneurial education.</w:t>
            </w:r>
          </w:p>
        </w:tc>
        <w:tc>
          <w:tcPr>
            <w:tcW w:w="2516" w:type="dxa"/>
          </w:tcPr>
          <w:p w14:paraId="389DD233"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Law on Science, Law on Commercialization of R&amp;D</w:t>
            </w:r>
          </w:p>
        </w:tc>
      </w:tr>
      <w:tr w:rsidR="00F60A2D" w:rsidRPr="00F9580B" w14:paraId="4BA6B474" w14:textId="77777777" w:rsidTr="00596098">
        <w:trPr>
          <w:jc w:val="center"/>
        </w:trPr>
        <w:tc>
          <w:tcPr>
            <w:tcW w:w="3078" w:type="dxa"/>
          </w:tcPr>
          <w:p w14:paraId="1F60306A" w14:textId="77777777" w:rsidR="00F60A2D" w:rsidRPr="00F9580B" w:rsidRDefault="00F60A2D" w:rsidP="00297606">
            <w:pPr>
              <w:rPr>
                <w:rFonts w:ascii="Times New Roman" w:hAnsi="Times New Roman" w:cs="Times New Roman"/>
                <w:sz w:val="28"/>
                <w:szCs w:val="28"/>
              </w:rPr>
            </w:pPr>
            <w:r w:rsidRPr="00F9580B">
              <w:rPr>
                <w:rFonts w:ascii="Times New Roman" w:hAnsi="Times New Roman" w:cs="Times New Roman"/>
                <w:sz w:val="28"/>
                <w:szCs w:val="28"/>
              </w:rPr>
              <w:t>State Program 'Digital Kazakhstan' (2018–2025)</w:t>
            </w:r>
          </w:p>
        </w:tc>
        <w:tc>
          <w:tcPr>
            <w:tcW w:w="3863" w:type="dxa"/>
          </w:tcPr>
          <w:p w14:paraId="482E083B"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Enable AI-based career services and job-matching platforms as digitalization initiatives.</w:t>
            </w:r>
          </w:p>
        </w:tc>
        <w:tc>
          <w:tcPr>
            <w:tcW w:w="2516" w:type="dxa"/>
          </w:tcPr>
          <w:p w14:paraId="28FEA257" w14:textId="77777777" w:rsidR="00F60A2D" w:rsidRPr="00F9580B" w:rsidRDefault="00F60A2D" w:rsidP="00297606">
            <w:pPr>
              <w:rPr>
                <w:rFonts w:ascii="Times New Roman" w:hAnsi="Times New Roman" w:cs="Times New Roman"/>
                <w:sz w:val="28"/>
                <w:szCs w:val="28"/>
              </w:rPr>
            </w:pPr>
            <w:r w:rsidRPr="00F9580B">
              <w:rPr>
                <w:rFonts w:ascii="Times New Roman" w:hAnsi="Times New Roman" w:cs="Times New Roman"/>
                <w:sz w:val="28"/>
                <w:szCs w:val="28"/>
              </w:rPr>
              <w:t>'Digital Kazakhstan' Program</w:t>
            </w:r>
          </w:p>
        </w:tc>
      </w:tr>
      <w:tr w:rsidR="00F60A2D" w:rsidRPr="000E0481" w14:paraId="7588E27C" w14:textId="77777777" w:rsidTr="00596098">
        <w:trPr>
          <w:trHeight w:val="1402"/>
          <w:jc w:val="center"/>
        </w:trPr>
        <w:tc>
          <w:tcPr>
            <w:tcW w:w="3078" w:type="dxa"/>
          </w:tcPr>
          <w:p w14:paraId="55659F9B"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Law on Education and Higher Education Concept (2023–2029)</w:t>
            </w:r>
          </w:p>
        </w:tc>
        <w:tc>
          <w:tcPr>
            <w:tcW w:w="3863" w:type="dxa"/>
          </w:tcPr>
          <w:p w14:paraId="36A8D281"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Mandate internal innovation management units in universities; Use Triple Helix KPIs.</w:t>
            </w:r>
          </w:p>
        </w:tc>
        <w:tc>
          <w:tcPr>
            <w:tcW w:w="2516" w:type="dxa"/>
          </w:tcPr>
          <w:p w14:paraId="05A06680"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Law on Education, Higher Education &amp; Science Concept (2023–2029)</w:t>
            </w:r>
          </w:p>
        </w:tc>
      </w:tr>
      <w:tr w:rsidR="00F60A2D" w:rsidRPr="00F9580B" w14:paraId="4D633529" w14:textId="77777777" w:rsidTr="00596098">
        <w:trPr>
          <w:jc w:val="center"/>
        </w:trPr>
        <w:tc>
          <w:tcPr>
            <w:tcW w:w="3078" w:type="dxa"/>
          </w:tcPr>
          <w:p w14:paraId="1F65B2C6" w14:textId="77777777" w:rsidR="00F60A2D" w:rsidRPr="00F9580B" w:rsidRDefault="00F60A2D" w:rsidP="00297606">
            <w:pPr>
              <w:rPr>
                <w:rFonts w:ascii="Times New Roman" w:hAnsi="Times New Roman" w:cs="Times New Roman"/>
                <w:sz w:val="28"/>
                <w:szCs w:val="28"/>
              </w:rPr>
            </w:pPr>
            <w:r w:rsidRPr="00F9580B">
              <w:rPr>
                <w:rFonts w:ascii="Times New Roman" w:hAnsi="Times New Roman" w:cs="Times New Roman"/>
                <w:sz w:val="28"/>
                <w:szCs w:val="28"/>
              </w:rPr>
              <w:t xml:space="preserve">Public </w:t>
            </w:r>
            <w:proofErr w:type="spellStart"/>
            <w:r w:rsidRPr="00F9580B">
              <w:rPr>
                <w:rFonts w:ascii="Times New Roman" w:hAnsi="Times New Roman" w:cs="Times New Roman"/>
                <w:sz w:val="28"/>
                <w:szCs w:val="28"/>
              </w:rPr>
              <w:t>Procurement</w:t>
            </w:r>
            <w:proofErr w:type="spellEnd"/>
            <w:r w:rsidRPr="00F9580B">
              <w:rPr>
                <w:rFonts w:ascii="Times New Roman" w:hAnsi="Times New Roman" w:cs="Times New Roman"/>
                <w:sz w:val="28"/>
                <w:szCs w:val="28"/>
              </w:rPr>
              <w:t xml:space="preserve"> </w:t>
            </w:r>
            <w:proofErr w:type="spellStart"/>
            <w:r w:rsidRPr="00F9580B">
              <w:rPr>
                <w:rFonts w:ascii="Times New Roman" w:hAnsi="Times New Roman" w:cs="Times New Roman"/>
                <w:sz w:val="28"/>
                <w:szCs w:val="28"/>
              </w:rPr>
              <w:t>Regulations</w:t>
            </w:r>
            <w:proofErr w:type="spellEnd"/>
          </w:p>
        </w:tc>
        <w:tc>
          <w:tcPr>
            <w:tcW w:w="3863" w:type="dxa"/>
          </w:tcPr>
          <w:p w14:paraId="1B8815FF" w14:textId="77777777" w:rsidR="00F60A2D" w:rsidRPr="00F60A2D" w:rsidRDefault="00F60A2D" w:rsidP="00297606">
            <w:pPr>
              <w:rPr>
                <w:rFonts w:ascii="Times New Roman" w:hAnsi="Times New Roman" w:cs="Times New Roman"/>
                <w:sz w:val="28"/>
                <w:szCs w:val="28"/>
                <w:lang w:val="en-US"/>
              </w:rPr>
            </w:pPr>
            <w:r w:rsidRPr="00F60A2D">
              <w:rPr>
                <w:rFonts w:ascii="Times New Roman" w:hAnsi="Times New Roman" w:cs="Times New Roman"/>
                <w:sz w:val="28"/>
                <w:szCs w:val="28"/>
                <w:lang w:val="en-US"/>
              </w:rPr>
              <w:t>Add innovation-focused procurement clauses prioritizing universities and spin-offs.</w:t>
            </w:r>
          </w:p>
        </w:tc>
        <w:tc>
          <w:tcPr>
            <w:tcW w:w="2516" w:type="dxa"/>
          </w:tcPr>
          <w:p w14:paraId="4EC096BA" w14:textId="77777777" w:rsidR="00F60A2D" w:rsidRPr="00F9580B" w:rsidRDefault="00F60A2D" w:rsidP="00297606">
            <w:pPr>
              <w:rPr>
                <w:rFonts w:ascii="Times New Roman" w:hAnsi="Times New Roman" w:cs="Times New Roman"/>
                <w:sz w:val="28"/>
                <w:szCs w:val="28"/>
              </w:rPr>
            </w:pPr>
            <w:r w:rsidRPr="00F9580B">
              <w:rPr>
                <w:rFonts w:ascii="Times New Roman" w:hAnsi="Times New Roman" w:cs="Times New Roman"/>
                <w:sz w:val="28"/>
                <w:szCs w:val="28"/>
              </w:rPr>
              <w:t xml:space="preserve">Public </w:t>
            </w:r>
            <w:proofErr w:type="spellStart"/>
            <w:r w:rsidRPr="00F9580B">
              <w:rPr>
                <w:rFonts w:ascii="Times New Roman" w:hAnsi="Times New Roman" w:cs="Times New Roman"/>
                <w:sz w:val="28"/>
                <w:szCs w:val="28"/>
              </w:rPr>
              <w:t>Procurement</w:t>
            </w:r>
            <w:proofErr w:type="spellEnd"/>
            <w:r w:rsidRPr="00F9580B">
              <w:rPr>
                <w:rFonts w:ascii="Times New Roman" w:hAnsi="Times New Roman" w:cs="Times New Roman"/>
                <w:sz w:val="28"/>
                <w:szCs w:val="28"/>
              </w:rPr>
              <w:t xml:space="preserve"> </w:t>
            </w:r>
            <w:proofErr w:type="spellStart"/>
            <w:r w:rsidRPr="00F9580B">
              <w:rPr>
                <w:rFonts w:ascii="Times New Roman" w:hAnsi="Times New Roman" w:cs="Times New Roman"/>
                <w:sz w:val="28"/>
                <w:szCs w:val="28"/>
              </w:rPr>
              <w:t>Law</w:t>
            </w:r>
            <w:proofErr w:type="spellEnd"/>
          </w:p>
        </w:tc>
      </w:tr>
      <w:tr w:rsidR="00596098" w:rsidRPr="00F9580B" w14:paraId="62D6F354" w14:textId="77777777" w:rsidTr="00596098">
        <w:trPr>
          <w:trHeight w:val="353"/>
          <w:jc w:val="center"/>
        </w:trPr>
        <w:tc>
          <w:tcPr>
            <w:tcW w:w="9457" w:type="dxa"/>
            <w:gridSpan w:val="3"/>
          </w:tcPr>
          <w:p w14:paraId="0A5E6860" w14:textId="39ED5166" w:rsidR="00596098" w:rsidRPr="00F9580B" w:rsidRDefault="00596098" w:rsidP="00297606">
            <w:pPr>
              <w:rPr>
                <w:rFonts w:ascii="Times New Roman" w:hAnsi="Times New Roman" w:cs="Times New Roman"/>
                <w:sz w:val="28"/>
                <w:szCs w:val="28"/>
              </w:rPr>
            </w:pPr>
            <w:r>
              <w:rPr>
                <w:rFonts w:ascii="Times New Roman" w:hAnsi="Times New Roman" w:cs="Times New Roman"/>
                <w:sz w:val="24"/>
                <w:szCs w:val="24"/>
                <w:lang w:val="en-US"/>
              </w:rPr>
              <w:t xml:space="preserve">           </w:t>
            </w:r>
            <w:r w:rsidRPr="006B3BA4">
              <w:rPr>
                <w:rFonts w:ascii="Times New Roman" w:hAnsi="Times New Roman" w:cs="Times New Roman"/>
                <w:sz w:val="24"/>
                <w:szCs w:val="24"/>
                <w:lang w:val="en-US"/>
              </w:rPr>
              <w:t>Note – Compiled by author</w:t>
            </w:r>
          </w:p>
        </w:tc>
      </w:tr>
    </w:tbl>
    <w:p w14:paraId="6CBD135B" w14:textId="39290D50" w:rsidR="00A54393" w:rsidRDefault="00A54393" w:rsidP="00A54393">
      <w:pPr>
        <w:pStyle w:val="a4"/>
        <w:spacing w:before="0" w:beforeAutospacing="0" w:after="0" w:afterAutospacing="0"/>
        <w:ind w:firstLine="720"/>
        <w:jc w:val="both"/>
        <w:rPr>
          <w:color w:val="0E101A"/>
          <w:sz w:val="28"/>
          <w:szCs w:val="28"/>
          <w:lang w:val="en-US"/>
        </w:rPr>
      </w:pPr>
      <w:r w:rsidRPr="00A54393">
        <w:rPr>
          <w:color w:val="0E101A"/>
          <w:sz w:val="28"/>
          <w:szCs w:val="28"/>
          <w:lang w:val="en-US"/>
        </w:rPr>
        <w:lastRenderedPageBreak/>
        <w:t>International Experience and Policy Transfer Rationale</w:t>
      </w:r>
      <w:r>
        <w:rPr>
          <w:color w:val="0E101A"/>
          <w:sz w:val="28"/>
          <w:szCs w:val="28"/>
          <w:lang w:val="en-US"/>
        </w:rPr>
        <w:t xml:space="preserve">. </w:t>
      </w:r>
    </w:p>
    <w:p w14:paraId="237F2CF9" w14:textId="7C53994F" w:rsidR="00A54393" w:rsidRDefault="00A54393" w:rsidP="00A54393">
      <w:pPr>
        <w:pStyle w:val="a4"/>
        <w:spacing w:before="0" w:beforeAutospacing="0" w:after="0" w:afterAutospacing="0"/>
        <w:ind w:firstLine="720"/>
        <w:jc w:val="both"/>
        <w:rPr>
          <w:color w:val="0E101A"/>
          <w:sz w:val="28"/>
          <w:szCs w:val="28"/>
          <w:lang w:val="en-US"/>
        </w:rPr>
      </w:pPr>
      <w:r w:rsidRPr="00A54393">
        <w:rPr>
          <w:color w:val="0E101A"/>
          <w:sz w:val="28"/>
          <w:szCs w:val="28"/>
          <w:lang w:val="en-US"/>
        </w:rPr>
        <w:t>The proposed legislative and institutional recommendations for Kazakhstan's innovation system are grounded in comparative benchmarking insights presented in Section 2.1 of this dissertation. The goal is to strengthen university-</w:t>
      </w:r>
      <w:proofErr w:type="spellStart"/>
      <w:r w:rsidRPr="00A54393">
        <w:rPr>
          <w:color w:val="0E101A"/>
          <w:sz w:val="28"/>
          <w:szCs w:val="28"/>
          <w:lang w:val="en-US"/>
        </w:rPr>
        <w:t>centred</w:t>
      </w:r>
      <w:proofErr w:type="spellEnd"/>
      <w:r w:rsidRPr="00A54393">
        <w:rPr>
          <w:color w:val="0E101A"/>
          <w:sz w:val="28"/>
          <w:szCs w:val="28"/>
          <w:lang w:val="en-US"/>
        </w:rPr>
        <w:t xml:space="preserve"> innovation management through reforms in tax incentives, public procurement, regional cluster platforms, and student engagement mechanisms. Developed by the efficient policies of China, Japan, and Italy, the suggestions seek to convert successful forms of innovative governance into Kazakhstan's legal setting.</w:t>
      </w:r>
    </w:p>
    <w:p w14:paraId="2E2D6FA6" w14:textId="77777777" w:rsidR="00A54393" w:rsidRPr="00A54393" w:rsidRDefault="00A54393" w:rsidP="00A54393">
      <w:pPr>
        <w:pStyle w:val="a4"/>
        <w:spacing w:before="0" w:beforeAutospacing="0" w:after="0" w:afterAutospacing="0"/>
        <w:ind w:firstLine="720"/>
        <w:jc w:val="both"/>
        <w:rPr>
          <w:color w:val="0E101A"/>
          <w:sz w:val="28"/>
          <w:szCs w:val="28"/>
          <w:lang w:val="en-US"/>
        </w:rPr>
      </w:pPr>
    </w:p>
    <w:p w14:paraId="3E9AE22B" w14:textId="7C3FEB2D" w:rsidR="00A54393" w:rsidRDefault="00A54393" w:rsidP="009E451C">
      <w:pPr>
        <w:pStyle w:val="a4"/>
        <w:spacing w:before="0" w:beforeAutospacing="0" w:after="0" w:afterAutospacing="0"/>
        <w:ind w:firstLine="720"/>
        <w:jc w:val="both"/>
        <w:rPr>
          <w:color w:val="0E101A"/>
          <w:sz w:val="28"/>
          <w:szCs w:val="28"/>
          <w:lang w:val="en-US"/>
        </w:rPr>
      </w:pPr>
      <w:r w:rsidRPr="00A54393">
        <w:rPr>
          <w:color w:val="0E101A"/>
          <w:sz w:val="28"/>
          <w:szCs w:val="28"/>
          <w:lang w:val="en-US"/>
        </w:rPr>
        <w:t>Table</w:t>
      </w:r>
      <w:r>
        <w:rPr>
          <w:color w:val="0E101A"/>
          <w:sz w:val="28"/>
          <w:szCs w:val="28"/>
          <w:lang w:val="en-US"/>
        </w:rPr>
        <w:t xml:space="preserve"> 8 –</w:t>
      </w:r>
      <w:r w:rsidRPr="00A54393">
        <w:rPr>
          <w:color w:val="0E101A"/>
          <w:sz w:val="28"/>
          <w:szCs w:val="28"/>
          <w:lang w:val="en-US"/>
        </w:rPr>
        <w:t xml:space="preserve"> International Practices Informing the Recommendations</w:t>
      </w:r>
    </w:p>
    <w:p w14:paraId="3B2E0F64" w14:textId="77777777" w:rsidR="009E451C" w:rsidRPr="009E451C" w:rsidRDefault="009E451C" w:rsidP="009E451C">
      <w:pPr>
        <w:pStyle w:val="a4"/>
        <w:spacing w:before="0" w:beforeAutospacing="0" w:after="0" w:afterAutospacing="0"/>
        <w:ind w:firstLine="720"/>
        <w:jc w:val="both"/>
        <w:rPr>
          <w:color w:val="0E101A"/>
          <w:sz w:val="28"/>
          <w:szCs w:val="28"/>
          <w:lang w:val="en-US"/>
        </w:rPr>
      </w:pPr>
    </w:p>
    <w:tbl>
      <w:tblPr>
        <w:tblStyle w:val="a8"/>
        <w:tblW w:w="9209" w:type="dxa"/>
        <w:jc w:val="center"/>
        <w:tblLook w:val="04A0" w:firstRow="1" w:lastRow="0" w:firstColumn="1" w:lastColumn="0" w:noHBand="0" w:noVBand="1"/>
      </w:tblPr>
      <w:tblGrid>
        <w:gridCol w:w="2263"/>
        <w:gridCol w:w="3544"/>
        <w:gridCol w:w="3402"/>
      </w:tblGrid>
      <w:tr w:rsidR="00A54393" w:rsidRPr="00F9580B" w14:paraId="4EDA160C" w14:textId="77777777" w:rsidTr="004A2865">
        <w:trPr>
          <w:trHeight w:val="514"/>
          <w:jc w:val="center"/>
        </w:trPr>
        <w:tc>
          <w:tcPr>
            <w:tcW w:w="2263" w:type="dxa"/>
            <w:tcBorders>
              <w:bottom w:val="single" w:sz="4" w:space="0" w:color="auto"/>
            </w:tcBorders>
          </w:tcPr>
          <w:p w14:paraId="039E31E6" w14:textId="77777777" w:rsidR="00A54393" w:rsidRPr="00F9580B" w:rsidRDefault="00A54393" w:rsidP="00297606">
            <w:pPr>
              <w:rPr>
                <w:rFonts w:ascii="Times New Roman" w:hAnsi="Times New Roman" w:cs="Times New Roman"/>
                <w:sz w:val="28"/>
                <w:szCs w:val="28"/>
              </w:rPr>
            </w:pPr>
            <w:r w:rsidRPr="00F9580B">
              <w:rPr>
                <w:rFonts w:ascii="Times New Roman" w:hAnsi="Times New Roman" w:cs="Times New Roman"/>
                <w:sz w:val="28"/>
                <w:szCs w:val="28"/>
              </w:rPr>
              <w:t>Country</w:t>
            </w:r>
          </w:p>
        </w:tc>
        <w:tc>
          <w:tcPr>
            <w:tcW w:w="3544" w:type="dxa"/>
            <w:tcBorders>
              <w:bottom w:val="single" w:sz="4" w:space="0" w:color="auto"/>
            </w:tcBorders>
          </w:tcPr>
          <w:p w14:paraId="66ECFCE6" w14:textId="77777777" w:rsidR="00A54393" w:rsidRPr="00F9580B" w:rsidRDefault="00A54393" w:rsidP="00297606">
            <w:pPr>
              <w:rPr>
                <w:rFonts w:ascii="Times New Roman" w:hAnsi="Times New Roman" w:cs="Times New Roman"/>
                <w:sz w:val="28"/>
                <w:szCs w:val="28"/>
              </w:rPr>
            </w:pPr>
            <w:r w:rsidRPr="00F9580B">
              <w:rPr>
                <w:rFonts w:ascii="Times New Roman" w:hAnsi="Times New Roman" w:cs="Times New Roman"/>
                <w:sz w:val="28"/>
                <w:szCs w:val="28"/>
              </w:rPr>
              <w:t xml:space="preserve">What </w:t>
            </w:r>
            <w:proofErr w:type="spellStart"/>
            <w:r w:rsidRPr="00F9580B">
              <w:rPr>
                <w:rFonts w:ascii="Times New Roman" w:hAnsi="Times New Roman" w:cs="Times New Roman"/>
                <w:sz w:val="28"/>
                <w:szCs w:val="28"/>
              </w:rPr>
              <w:t>is</w:t>
            </w:r>
            <w:proofErr w:type="spellEnd"/>
            <w:r w:rsidRPr="00F9580B">
              <w:rPr>
                <w:rFonts w:ascii="Times New Roman" w:hAnsi="Times New Roman" w:cs="Times New Roman"/>
                <w:sz w:val="28"/>
                <w:szCs w:val="28"/>
              </w:rPr>
              <w:t xml:space="preserve"> </w:t>
            </w:r>
            <w:proofErr w:type="spellStart"/>
            <w:r w:rsidRPr="00F9580B">
              <w:rPr>
                <w:rFonts w:ascii="Times New Roman" w:hAnsi="Times New Roman" w:cs="Times New Roman"/>
                <w:sz w:val="28"/>
                <w:szCs w:val="28"/>
              </w:rPr>
              <w:t>Adapted</w:t>
            </w:r>
            <w:proofErr w:type="spellEnd"/>
          </w:p>
        </w:tc>
        <w:tc>
          <w:tcPr>
            <w:tcW w:w="3402" w:type="dxa"/>
            <w:tcBorders>
              <w:bottom w:val="single" w:sz="4" w:space="0" w:color="auto"/>
            </w:tcBorders>
          </w:tcPr>
          <w:p w14:paraId="2CAEF42C" w14:textId="77777777" w:rsidR="00A54393" w:rsidRPr="00F9580B" w:rsidRDefault="00A54393" w:rsidP="00297606">
            <w:pPr>
              <w:rPr>
                <w:rFonts w:ascii="Times New Roman" w:hAnsi="Times New Roman" w:cs="Times New Roman"/>
                <w:sz w:val="28"/>
                <w:szCs w:val="28"/>
              </w:rPr>
            </w:pPr>
            <w:proofErr w:type="spellStart"/>
            <w:r w:rsidRPr="00F9580B">
              <w:rPr>
                <w:rFonts w:ascii="Times New Roman" w:hAnsi="Times New Roman" w:cs="Times New Roman"/>
                <w:sz w:val="28"/>
                <w:szCs w:val="28"/>
              </w:rPr>
              <w:t>Examples</w:t>
            </w:r>
            <w:proofErr w:type="spellEnd"/>
            <w:r w:rsidRPr="00F9580B">
              <w:rPr>
                <w:rFonts w:ascii="Times New Roman" w:hAnsi="Times New Roman" w:cs="Times New Roman"/>
                <w:sz w:val="28"/>
                <w:szCs w:val="28"/>
              </w:rPr>
              <w:t xml:space="preserve"> </w:t>
            </w:r>
            <w:proofErr w:type="spellStart"/>
            <w:r w:rsidRPr="00F9580B">
              <w:rPr>
                <w:rFonts w:ascii="Times New Roman" w:hAnsi="Times New Roman" w:cs="Times New Roman"/>
                <w:sz w:val="28"/>
                <w:szCs w:val="28"/>
              </w:rPr>
              <w:t>of</w:t>
            </w:r>
            <w:proofErr w:type="spellEnd"/>
            <w:r w:rsidRPr="00F9580B">
              <w:rPr>
                <w:rFonts w:ascii="Times New Roman" w:hAnsi="Times New Roman" w:cs="Times New Roman"/>
                <w:sz w:val="28"/>
                <w:szCs w:val="28"/>
              </w:rPr>
              <w:t xml:space="preserve"> </w:t>
            </w:r>
            <w:proofErr w:type="spellStart"/>
            <w:r w:rsidRPr="00F9580B">
              <w:rPr>
                <w:rFonts w:ascii="Times New Roman" w:hAnsi="Times New Roman" w:cs="Times New Roman"/>
                <w:sz w:val="28"/>
                <w:szCs w:val="28"/>
              </w:rPr>
              <w:t>Implementation</w:t>
            </w:r>
            <w:proofErr w:type="spellEnd"/>
          </w:p>
        </w:tc>
      </w:tr>
      <w:tr w:rsidR="00A54393" w:rsidRPr="000E0481" w14:paraId="3EEA8B24" w14:textId="77777777" w:rsidTr="004A2865">
        <w:trPr>
          <w:jc w:val="center"/>
        </w:trPr>
        <w:tc>
          <w:tcPr>
            <w:tcW w:w="2263" w:type="dxa"/>
            <w:tcBorders>
              <w:bottom w:val="nil"/>
            </w:tcBorders>
          </w:tcPr>
          <w:p w14:paraId="1F8CB0F0" w14:textId="77777777" w:rsidR="00A54393" w:rsidRPr="00F9580B" w:rsidRDefault="00A54393" w:rsidP="00297606">
            <w:pPr>
              <w:rPr>
                <w:rFonts w:ascii="Times New Roman" w:hAnsi="Times New Roman" w:cs="Times New Roman"/>
                <w:sz w:val="28"/>
                <w:szCs w:val="28"/>
              </w:rPr>
            </w:pPr>
            <w:r w:rsidRPr="00F9580B">
              <w:rPr>
                <w:rFonts w:ascii="Times New Roman" w:hAnsi="Times New Roman" w:cs="Times New Roman"/>
                <w:sz w:val="28"/>
                <w:szCs w:val="28"/>
              </w:rPr>
              <w:t>China</w:t>
            </w:r>
          </w:p>
        </w:tc>
        <w:tc>
          <w:tcPr>
            <w:tcW w:w="3544" w:type="dxa"/>
            <w:tcBorders>
              <w:bottom w:val="nil"/>
            </w:tcBorders>
          </w:tcPr>
          <w:p w14:paraId="736CB436" w14:textId="77777777" w:rsidR="00A54393" w:rsidRPr="00A54393" w:rsidRDefault="00A54393" w:rsidP="00297606">
            <w:pPr>
              <w:rPr>
                <w:rFonts w:ascii="Times New Roman" w:hAnsi="Times New Roman" w:cs="Times New Roman"/>
                <w:sz w:val="28"/>
                <w:szCs w:val="28"/>
                <w:lang w:val="en-US"/>
              </w:rPr>
            </w:pPr>
            <w:r w:rsidRPr="00A54393">
              <w:rPr>
                <w:rFonts w:ascii="Times New Roman" w:hAnsi="Times New Roman" w:cs="Times New Roman"/>
                <w:sz w:val="28"/>
                <w:szCs w:val="28"/>
                <w:lang w:val="en-US"/>
              </w:rPr>
              <w:t>• Strategic use of clusters</w:t>
            </w:r>
            <w:r w:rsidRPr="00A54393">
              <w:rPr>
                <w:rFonts w:ascii="Times New Roman" w:hAnsi="Times New Roman" w:cs="Times New Roman"/>
                <w:sz w:val="28"/>
                <w:szCs w:val="28"/>
                <w:lang w:val="en-US"/>
              </w:rPr>
              <w:br/>
              <w:t>• Government procurement for domestic innovators</w:t>
            </w:r>
            <w:r w:rsidRPr="00A54393">
              <w:rPr>
                <w:rFonts w:ascii="Times New Roman" w:hAnsi="Times New Roman" w:cs="Times New Roman"/>
                <w:sz w:val="28"/>
                <w:szCs w:val="28"/>
                <w:lang w:val="en-US"/>
              </w:rPr>
              <w:br/>
              <w:t>• State-funded university R&amp;D</w:t>
            </w:r>
          </w:p>
        </w:tc>
        <w:tc>
          <w:tcPr>
            <w:tcW w:w="3402" w:type="dxa"/>
            <w:tcBorders>
              <w:bottom w:val="nil"/>
            </w:tcBorders>
          </w:tcPr>
          <w:p w14:paraId="2C4A7155" w14:textId="77777777" w:rsidR="00A54393" w:rsidRPr="00A54393" w:rsidRDefault="00A54393" w:rsidP="00297606">
            <w:pPr>
              <w:rPr>
                <w:rFonts w:ascii="Times New Roman" w:hAnsi="Times New Roman" w:cs="Times New Roman"/>
                <w:sz w:val="28"/>
                <w:szCs w:val="28"/>
                <w:lang w:val="en-US"/>
              </w:rPr>
            </w:pPr>
            <w:r w:rsidRPr="00A54393">
              <w:rPr>
                <w:rFonts w:ascii="Times New Roman" w:hAnsi="Times New Roman" w:cs="Times New Roman"/>
                <w:sz w:val="28"/>
                <w:szCs w:val="28"/>
                <w:lang w:val="en-US"/>
              </w:rPr>
              <w:t>High-tech zones, demand-driven innovation programs, tax relief for certified innovation enterprises</w:t>
            </w:r>
          </w:p>
        </w:tc>
      </w:tr>
      <w:tr w:rsidR="00A54393" w:rsidRPr="000E0481" w14:paraId="7AAF0EE2" w14:textId="77777777" w:rsidTr="004A2865">
        <w:trPr>
          <w:jc w:val="center"/>
        </w:trPr>
        <w:tc>
          <w:tcPr>
            <w:tcW w:w="2263" w:type="dxa"/>
            <w:tcBorders>
              <w:top w:val="single" w:sz="4" w:space="0" w:color="auto"/>
            </w:tcBorders>
          </w:tcPr>
          <w:p w14:paraId="46E8C5EF" w14:textId="77777777" w:rsidR="00A54393" w:rsidRPr="00F9580B" w:rsidRDefault="00A54393" w:rsidP="00297606">
            <w:pPr>
              <w:rPr>
                <w:rFonts w:ascii="Times New Roman" w:hAnsi="Times New Roman" w:cs="Times New Roman"/>
                <w:sz w:val="28"/>
                <w:szCs w:val="28"/>
              </w:rPr>
            </w:pPr>
            <w:r w:rsidRPr="00F9580B">
              <w:rPr>
                <w:rFonts w:ascii="Times New Roman" w:hAnsi="Times New Roman" w:cs="Times New Roman"/>
                <w:sz w:val="28"/>
                <w:szCs w:val="28"/>
              </w:rPr>
              <w:t>Japan</w:t>
            </w:r>
          </w:p>
        </w:tc>
        <w:tc>
          <w:tcPr>
            <w:tcW w:w="3544" w:type="dxa"/>
            <w:tcBorders>
              <w:top w:val="single" w:sz="4" w:space="0" w:color="auto"/>
            </w:tcBorders>
          </w:tcPr>
          <w:p w14:paraId="6AFE4434" w14:textId="77777777" w:rsidR="00A54393" w:rsidRPr="00A54393" w:rsidRDefault="00A54393" w:rsidP="00297606">
            <w:pPr>
              <w:rPr>
                <w:rFonts w:ascii="Times New Roman" w:hAnsi="Times New Roman" w:cs="Times New Roman"/>
                <w:sz w:val="28"/>
                <w:szCs w:val="28"/>
                <w:lang w:val="en-US"/>
              </w:rPr>
            </w:pPr>
            <w:r w:rsidRPr="00A54393">
              <w:rPr>
                <w:rFonts w:ascii="Times New Roman" w:hAnsi="Times New Roman" w:cs="Times New Roman"/>
                <w:sz w:val="28"/>
                <w:szCs w:val="28"/>
                <w:lang w:val="en-US"/>
              </w:rPr>
              <w:t>• University-industry R&amp;D cooperation</w:t>
            </w:r>
            <w:r w:rsidRPr="00A54393">
              <w:rPr>
                <w:rFonts w:ascii="Times New Roman" w:hAnsi="Times New Roman" w:cs="Times New Roman"/>
                <w:sz w:val="28"/>
                <w:szCs w:val="28"/>
                <w:lang w:val="en-US"/>
              </w:rPr>
              <w:br/>
              <w:t>• Tax deductions for collaborative R&amp;D</w:t>
            </w:r>
            <w:r w:rsidRPr="00A54393">
              <w:rPr>
                <w:rFonts w:ascii="Times New Roman" w:hAnsi="Times New Roman" w:cs="Times New Roman"/>
                <w:sz w:val="28"/>
                <w:szCs w:val="28"/>
                <w:lang w:val="en-US"/>
              </w:rPr>
              <w:br/>
              <w:t>• Student-centered startup support</w:t>
            </w:r>
          </w:p>
        </w:tc>
        <w:tc>
          <w:tcPr>
            <w:tcW w:w="3402" w:type="dxa"/>
            <w:tcBorders>
              <w:top w:val="single" w:sz="4" w:space="0" w:color="auto"/>
            </w:tcBorders>
          </w:tcPr>
          <w:p w14:paraId="378B6BB0" w14:textId="77777777" w:rsidR="00A54393" w:rsidRPr="00A54393" w:rsidRDefault="00A54393" w:rsidP="00297606">
            <w:pPr>
              <w:rPr>
                <w:rFonts w:ascii="Times New Roman" w:hAnsi="Times New Roman" w:cs="Times New Roman"/>
                <w:sz w:val="28"/>
                <w:szCs w:val="28"/>
                <w:lang w:val="en-US"/>
              </w:rPr>
            </w:pPr>
            <w:r w:rsidRPr="00A54393">
              <w:rPr>
                <w:rFonts w:ascii="Times New Roman" w:hAnsi="Times New Roman" w:cs="Times New Roman"/>
                <w:sz w:val="28"/>
                <w:szCs w:val="28"/>
                <w:lang w:val="en-US"/>
              </w:rPr>
              <w:t>METI-backed innovation hubs, R&amp;D tax schemes, university incubators</w:t>
            </w:r>
          </w:p>
        </w:tc>
      </w:tr>
      <w:tr w:rsidR="00A54393" w:rsidRPr="000E0481" w14:paraId="523D6163" w14:textId="77777777" w:rsidTr="00DE37B7">
        <w:trPr>
          <w:trHeight w:val="2026"/>
          <w:jc w:val="center"/>
        </w:trPr>
        <w:tc>
          <w:tcPr>
            <w:tcW w:w="2263" w:type="dxa"/>
          </w:tcPr>
          <w:p w14:paraId="28DAED0A" w14:textId="77777777" w:rsidR="00A54393" w:rsidRPr="00F9580B" w:rsidRDefault="00A54393" w:rsidP="00297606">
            <w:pPr>
              <w:rPr>
                <w:rFonts w:ascii="Times New Roman" w:hAnsi="Times New Roman" w:cs="Times New Roman"/>
                <w:sz w:val="28"/>
                <w:szCs w:val="28"/>
              </w:rPr>
            </w:pPr>
            <w:proofErr w:type="spellStart"/>
            <w:r w:rsidRPr="00F9580B">
              <w:rPr>
                <w:rFonts w:ascii="Times New Roman" w:hAnsi="Times New Roman" w:cs="Times New Roman"/>
                <w:sz w:val="28"/>
                <w:szCs w:val="28"/>
              </w:rPr>
              <w:t>Italy</w:t>
            </w:r>
            <w:proofErr w:type="spellEnd"/>
          </w:p>
        </w:tc>
        <w:tc>
          <w:tcPr>
            <w:tcW w:w="3544" w:type="dxa"/>
          </w:tcPr>
          <w:p w14:paraId="71C452B3" w14:textId="77777777" w:rsidR="00A54393" w:rsidRPr="00A54393" w:rsidRDefault="00A54393" w:rsidP="00297606">
            <w:pPr>
              <w:rPr>
                <w:rFonts w:ascii="Times New Roman" w:hAnsi="Times New Roman" w:cs="Times New Roman"/>
                <w:sz w:val="28"/>
                <w:szCs w:val="28"/>
                <w:lang w:val="en-US"/>
              </w:rPr>
            </w:pPr>
            <w:r w:rsidRPr="00A54393">
              <w:rPr>
                <w:rFonts w:ascii="Times New Roman" w:hAnsi="Times New Roman" w:cs="Times New Roman"/>
                <w:sz w:val="28"/>
                <w:szCs w:val="28"/>
                <w:lang w:val="en-US"/>
              </w:rPr>
              <w:t>• Regional innovation platforms</w:t>
            </w:r>
            <w:r w:rsidRPr="00A54393">
              <w:rPr>
                <w:rFonts w:ascii="Times New Roman" w:hAnsi="Times New Roman" w:cs="Times New Roman"/>
                <w:sz w:val="28"/>
                <w:szCs w:val="28"/>
                <w:lang w:val="en-US"/>
              </w:rPr>
              <w:br/>
              <w:t>• Smart public procurement involving universities</w:t>
            </w:r>
            <w:r w:rsidRPr="00A54393">
              <w:rPr>
                <w:rFonts w:ascii="Times New Roman" w:hAnsi="Times New Roman" w:cs="Times New Roman"/>
                <w:sz w:val="28"/>
                <w:szCs w:val="28"/>
                <w:lang w:val="en-US"/>
              </w:rPr>
              <w:br/>
              <w:t>• Startup and SME cluster integration</w:t>
            </w:r>
          </w:p>
        </w:tc>
        <w:tc>
          <w:tcPr>
            <w:tcW w:w="3402" w:type="dxa"/>
          </w:tcPr>
          <w:p w14:paraId="13A59477" w14:textId="77777777" w:rsidR="00A54393" w:rsidRPr="00A54393" w:rsidRDefault="00A54393" w:rsidP="00297606">
            <w:pPr>
              <w:rPr>
                <w:rFonts w:ascii="Times New Roman" w:hAnsi="Times New Roman" w:cs="Times New Roman"/>
                <w:sz w:val="28"/>
                <w:szCs w:val="28"/>
                <w:lang w:val="en-US"/>
              </w:rPr>
            </w:pPr>
            <w:r w:rsidRPr="00A54393">
              <w:rPr>
                <w:rFonts w:ascii="Times New Roman" w:hAnsi="Times New Roman" w:cs="Times New Roman"/>
                <w:sz w:val="28"/>
                <w:szCs w:val="28"/>
                <w:lang w:val="en-US"/>
              </w:rPr>
              <w:t xml:space="preserve">Science and technology parks, </w:t>
            </w:r>
            <w:proofErr w:type="spellStart"/>
            <w:r w:rsidRPr="00A54393">
              <w:rPr>
                <w:rFonts w:ascii="Times New Roman" w:hAnsi="Times New Roman" w:cs="Times New Roman"/>
                <w:sz w:val="28"/>
                <w:szCs w:val="28"/>
                <w:lang w:val="en-US"/>
              </w:rPr>
              <w:t>Industria</w:t>
            </w:r>
            <w:proofErr w:type="spellEnd"/>
            <w:r w:rsidRPr="00A54393">
              <w:rPr>
                <w:rFonts w:ascii="Times New Roman" w:hAnsi="Times New Roman" w:cs="Times New Roman"/>
                <w:sz w:val="28"/>
                <w:szCs w:val="28"/>
                <w:lang w:val="en-US"/>
              </w:rPr>
              <w:t xml:space="preserve"> 4.0 incentives, university-linked innovation ecosystems</w:t>
            </w:r>
          </w:p>
        </w:tc>
      </w:tr>
      <w:tr w:rsidR="00596098" w:rsidRPr="00C80297" w14:paraId="57D5122B" w14:textId="77777777" w:rsidTr="000F3FEB">
        <w:trPr>
          <w:jc w:val="center"/>
        </w:trPr>
        <w:tc>
          <w:tcPr>
            <w:tcW w:w="9209" w:type="dxa"/>
            <w:gridSpan w:val="3"/>
          </w:tcPr>
          <w:p w14:paraId="0DA39699" w14:textId="55311148" w:rsidR="00596098" w:rsidRPr="00A54393" w:rsidRDefault="00596098" w:rsidP="00297606">
            <w:pPr>
              <w:rPr>
                <w:rFonts w:ascii="Times New Roman" w:hAnsi="Times New Roman" w:cs="Times New Roman"/>
                <w:sz w:val="28"/>
                <w:szCs w:val="28"/>
                <w:lang w:val="en-US"/>
              </w:rPr>
            </w:pPr>
            <w:r>
              <w:rPr>
                <w:rFonts w:ascii="Times New Roman" w:hAnsi="Times New Roman" w:cs="Times New Roman"/>
                <w:sz w:val="24"/>
                <w:szCs w:val="24"/>
                <w:lang w:val="en-US"/>
              </w:rPr>
              <w:t xml:space="preserve">         </w:t>
            </w:r>
            <w:r w:rsidRPr="006B3BA4">
              <w:rPr>
                <w:rFonts w:ascii="Times New Roman" w:hAnsi="Times New Roman" w:cs="Times New Roman"/>
                <w:sz w:val="24"/>
                <w:szCs w:val="24"/>
                <w:lang w:val="en-US"/>
              </w:rPr>
              <w:t>Note – Compiled by author</w:t>
            </w:r>
          </w:p>
        </w:tc>
      </w:tr>
    </w:tbl>
    <w:p w14:paraId="58BC7505" w14:textId="77777777" w:rsidR="00A54393" w:rsidRDefault="00A54393" w:rsidP="00A54393">
      <w:pPr>
        <w:pStyle w:val="a4"/>
        <w:spacing w:before="0" w:beforeAutospacing="0" w:after="0" w:afterAutospacing="0"/>
        <w:ind w:firstLine="720"/>
        <w:jc w:val="both"/>
        <w:rPr>
          <w:color w:val="0E101A"/>
          <w:sz w:val="28"/>
          <w:szCs w:val="28"/>
          <w:lang w:val="en-US"/>
        </w:rPr>
      </w:pPr>
    </w:p>
    <w:p w14:paraId="518C91CF" w14:textId="3688B014" w:rsidR="00A54393" w:rsidRPr="009E451C" w:rsidRDefault="00A54393" w:rsidP="00A54393">
      <w:pPr>
        <w:pStyle w:val="a4"/>
        <w:spacing w:before="0" w:beforeAutospacing="0" w:after="0" w:afterAutospacing="0"/>
        <w:ind w:firstLine="720"/>
        <w:jc w:val="both"/>
        <w:rPr>
          <w:sz w:val="28"/>
          <w:szCs w:val="28"/>
          <w:lang w:val="en-US"/>
        </w:rPr>
      </w:pPr>
      <w:r w:rsidRPr="009E451C">
        <w:rPr>
          <w:sz w:val="28"/>
          <w:szCs w:val="28"/>
          <w:lang w:val="en-US"/>
        </w:rPr>
        <w:t>All things taken into account, benchmarking institutional frameworks and innovation strategies in China, Japan, and Italy exposes several practical lessons for Kazakhstan. Consolidated into focused legal and strategic suggestions, these insights solve structural issues in production incentives, innovation governance, and the university-business interface. Though informative, international practices must be carefully positioned to mirror the reality of Kazakhstan's' institutional and economic situation.</w:t>
      </w:r>
      <w:r w:rsidR="009E451C">
        <w:rPr>
          <w:sz w:val="28"/>
          <w:szCs w:val="28"/>
          <w:lang w:val="en-US"/>
        </w:rPr>
        <w:t xml:space="preserve"> </w:t>
      </w:r>
    </w:p>
    <w:p w14:paraId="18C29B1A" w14:textId="34D7BDCB" w:rsidR="00A54393" w:rsidRPr="009E451C" w:rsidRDefault="00A54393" w:rsidP="00A54393">
      <w:pPr>
        <w:pStyle w:val="a4"/>
        <w:spacing w:before="0" w:beforeAutospacing="0" w:after="0" w:afterAutospacing="0"/>
        <w:ind w:firstLine="720"/>
        <w:jc w:val="both"/>
        <w:rPr>
          <w:sz w:val="28"/>
          <w:szCs w:val="28"/>
          <w:lang w:val="en-US"/>
        </w:rPr>
      </w:pPr>
      <w:r w:rsidRPr="009E451C">
        <w:rPr>
          <w:sz w:val="28"/>
          <w:szCs w:val="28"/>
          <w:lang w:val="en-US"/>
        </w:rPr>
        <w:t>Therefore, the following subsection turns to an empirical investigation of Kazakhstan's innovation landscape, examining the internal and external determinants affecting student entrepreneurship, university-driven innovation management, and graduate employability.</w:t>
      </w:r>
      <w:r w:rsidR="009E451C">
        <w:rPr>
          <w:sz w:val="28"/>
          <w:szCs w:val="28"/>
          <w:lang w:val="en-US"/>
        </w:rPr>
        <w:t xml:space="preserve"> </w:t>
      </w:r>
    </w:p>
    <w:bookmarkEnd w:id="16"/>
    <w:p w14:paraId="54F0D229" w14:textId="77777777" w:rsidR="00F60A2D" w:rsidRDefault="00F60A2D" w:rsidP="00A54393">
      <w:pPr>
        <w:spacing w:after="0" w:line="240" w:lineRule="auto"/>
        <w:contextualSpacing/>
        <w:jc w:val="both"/>
        <w:rPr>
          <w:rFonts w:ascii="Times New Roman" w:hAnsi="Times New Roman" w:cs="Times New Roman"/>
          <w:sz w:val="28"/>
          <w:szCs w:val="28"/>
          <w:lang w:val="en-US"/>
        </w:rPr>
      </w:pPr>
    </w:p>
    <w:p w14:paraId="5BC7D41C" w14:textId="77777777" w:rsidR="00600C79" w:rsidRDefault="00600C79" w:rsidP="00600C79">
      <w:pPr>
        <w:spacing w:after="0" w:line="240" w:lineRule="auto"/>
        <w:ind w:firstLine="720"/>
        <w:contextualSpacing/>
        <w:jc w:val="both"/>
        <w:rPr>
          <w:rFonts w:ascii="Times New Roman" w:eastAsia="Times New Roman" w:hAnsi="Times New Roman" w:cs="Times New Roman"/>
          <w:b/>
          <w:bCs/>
          <w:sz w:val="28"/>
          <w:szCs w:val="28"/>
          <w:lang w:val="en-US" w:eastAsia="ru-RU"/>
        </w:rPr>
      </w:pPr>
      <w:r w:rsidRPr="00A0675D">
        <w:rPr>
          <w:rFonts w:ascii="Times New Roman" w:eastAsia="Times New Roman" w:hAnsi="Times New Roman" w:cs="Times New Roman"/>
          <w:b/>
          <w:bCs/>
          <w:sz w:val="28"/>
          <w:szCs w:val="28"/>
          <w:lang w:val="en-US" w:eastAsia="ru-RU"/>
        </w:rPr>
        <w:lastRenderedPageBreak/>
        <w:t>2.2. Analysis of Students’ Entrepreneurial Intentions Survey</w:t>
      </w:r>
    </w:p>
    <w:p w14:paraId="1C21109D" w14:textId="77777777" w:rsidR="00600C79" w:rsidRDefault="00600C79" w:rsidP="00600C79">
      <w:pPr>
        <w:spacing w:after="0" w:line="240" w:lineRule="auto"/>
        <w:ind w:firstLine="720"/>
        <w:contextualSpacing/>
        <w:jc w:val="both"/>
        <w:rPr>
          <w:rFonts w:ascii="Times New Roman" w:eastAsia="Times New Roman" w:hAnsi="Times New Roman" w:cs="Times New Roman"/>
          <w:b/>
          <w:bCs/>
          <w:sz w:val="28"/>
          <w:szCs w:val="28"/>
          <w:lang w:val="en-US" w:eastAsia="ru-RU"/>
        </w:rPr>
      </w:pPr>
    </w:p>
    <w:p w14:paraId="3B8713BA" w14:textId="77777777" w:rsidR="00600C79" w:rsidRPr="00B03450" w:rsidRDefault="00600C79" w:rsidP="001670AF">
      <w:pPr>
        <w:pStyle w:val="a4"/>
        <w:spacing w:before="0" w:beforeAutospacing="0" w:after="0" w:afterAutospacing="0"/>
        <w:ind w:firstLine="720"/>
        <w:jc w:val="both"/>
        <w:rPr>
          <w:color w:val="0E101A"/>
          <w:sz w:val="28"/>
          <w:szCs w:val="28"/>
          <w:lang w:val="en-US"/>
        </w:rPr>
      </w:pPr>
      <w:r w:rsidRPr="00B03450">
        <w:rPr>
          <w:color w:val="0E101A"/>
          <w:sz w:val="28"/>
          <w:szCs w:val="28"/>
          <w:lang w:val="en-US"/>
        </w:rPr>
        <w:t>This subsection analyzes the university environment's and learning programs' impact on students' entrepreneurial aspirations and attitudes while accounting for the moderating effects of entrepreneurial self-efficacy and locus of control.</w:t>
      </w:r>
    </w:p>
    <w:p w14:paraId="480CA55B" w14:textId="77777777" w:rsidR="00600C79" w:rsidRPr="00B03450" w:rsidRDefault="00600C79" w:rsidP="001670AF">
      <w:pPr>
        <w:pStyle w:val="a4"/>
        <w:spacing w:before="0" w:beforeAutospacing="0" w:after="0" w:afterAutospacing="0"/>
        <w:ind w:firstLine="720"/>
        <w:jc w:val="both"/>
        <w:rPr>
          <w:color w:val="0E101A"/>
          <w:sz w:val="28"/>
          <w:szCs w:val="28"/>
          <w:lang w:val="en-US"/>
        </w:rPr>
      </w:pPr>
      <w:r w:rsidRPr="00B03450">
        <w:rPr>
          <w:color w:val="0E101A"/>
          <w:sz w:val="28"/>
          <w:szCs w:val="28"/>
          <w:lang w:val="en-US"/>
        </w:rPr>
        <w:t xml:space="preserve">Metadata from the Global University Entrepreneurial Spirit Students` Survey (GUESSS) was utilized to conduct this investigation. GUESSS is one of the most significant international research initiatives in student entrepreneurship, designed to examine entrepreneurial intentions, </w:t>
      </w:r>
      <w:proofErr w:type="spellStart"/>
      <w:r w:rsidRPr="00B03450">
        <w:rPr>
          <w:color w:val="0E101A"/>
          <w:sz w:val="28"/>
          <w:szCs w:val="28"/>
          <w:lang w:val="en-US"/>
        </w:rPr>
        <w:t>behaviours</w:t>
      </w:r>
      <w:proofErr w:type="spellEnd"/>
      <w:r w:rsidRPr="00B03450">
        <w:rPr>
          <w:color w:val="0E101A"/>
          <w:sz w:val="28"/>
          <w:szCs w:val="28"/>
          <w:lang w:val="en-US"/>
        </w:rPr>
        <w:t>, and influencing factors among university students. Initiated in 2003 by the Swiss Institute for Small Business and Entrepreneurship at the University of St. Gallen, the survey is conducted biennially and has involved student samples from over 50 countries. It gathers rich cross-sectional data on key variables such as entrepreneurial intention (both immediate and long-term), perceived support from the university environment, entrepreneurial self-efficacy, locus of control, family background, and contextual factors shaping entrepreneurial activity.</w:t>
      </w:r>
    </w:p>
    <w:p w14:paraId="28306548" w14:textId="431C2988" w:rsidR="00600C79" w:rsidRPr="00B03450" w:rsidRDefault="00600C79" w:rsidP="00561FBF">
      <w:pPr>
        <w:pStyle w:val="a4"/>
        <w:spacing w:before="0" w:beforeAutospacing="0" w:after="0" w:afterAutospacing="0"/>
        <w:ind w:firstLine="720"/>
        <w:jc w:val="both"/>
        <w:rPr>
          <w:color w:val="0E101A"/>
          <w:sz w:val="28"/>
          <w:szCs w:val="28"/>
          <w:lang w:val="en-US"/>
        </w:rPr>
      </w:pPr>
      <w:r w:rsidRPr="00B03450">
        <w:rPr>
          <w:color w:val="0E101A"/>
          <w:sz w:val="28"/>
          <w:szCs w:val="28"/>
          <w:lang w:val="en-US"/>
        </w:rPr>
        <w:t xml:space="preserve">The GUESSS metadata specific to Kazakhstan was employed for this study, obtained through an official agreement between the GUESSS organization and the University of </w:t>
      </w:r>
      <w:proofErr w:type="spellStart"/>
      <w:r w:rsidRPr="00B03450">
        <w:rPr>
          <w:color w:val="0E101A"/>
          <w:sz w:val="28"/>
          <w:szCs w:val="28"/>
          <w:lang w:val="en-US"/>
        </w:rPr>
        <w:t>Turan</w:t>
      </w:r>
      <w:proofErr w:type="spellEnd"/>
      <w:r w:rsidR="00596098">
        <w:rPr>
          <w:color w:val="0E101A"/>
          <w:sz w:val="28"/>
          <w:szCs w:val="28"/>
          <w:lang w:val="en-US"/>
        </w:rPr>
        <w:t xml:space="preserve"> (Appendix A)</w:t>
      </w:r>
      <w:r w:rsidRPr="00B03450">
        <w:rPr>
          <w:color w:val="0E101A"/>
          <w:sz w:val="28"/>
          <w:szCs w:val="28"/>
          <w:lang w:val="en-US"/>
        </w:rPr>
        <w:t>. The national report on Kazakhstan's survey results was co-authored and published on the official GUESSS website</w:t>
      </w:r>
      <w:r w:rsidR="00596098">
        <w:rPr>
          <w:color w:val="0E101A"/>
          <w:sz w:val="28"/>
          <w:szCs w:val="28"/>
          <w:lang w:val="en-US"/>
        </w:rPr>
        <w:t xml:space="preserve"> </w:t>
      </w:r>
      <w:r w:rsidR="00561FBF">
        <w:rPr>
          <w:color w:val="0E101A"/>
          <w:sz w:val="28"/>
          <w:szCs w:val="28"/>
          <w:lang w:val="en-US"/>
        </w:rPr>
        <w:t>[</w:t>
      </w:r>
      <w:r w:rsidR="00561FBF">
        <w:rPr>
          <w:color w:val="0E101A"/>
          <w:sz w:val="28"/>
          <w:szCs w:val="28"/>
          <w:lang w:val="kk-KZ"/>
        </w:rPr>
        <w:t>188</w:t>
      </w:r>
      <w:r w:rsidR="00561FBF">
        <w:rPr>
          <w:color w:val="0E101A"/>
          <w:sz w:val="28"/>
          <w:szCs w:val="28"/>
          <w:lang w:val="en-US"/>
        </w:rPr>
        <w:t>]</w:t>
      </w:r>
      <w:r w:rsidR="00561FBF">
        <w:rPr>
          <w:color w:val="0E101A"/>
          <w:sz w:val="28"/>
          <w:szCs w:val="28"/>
          <w:lang w:val="kk-KZ"/>
        </w:rPr>
        <w:t xml:space="preserve">. </w:t>
      </w:r>
      <w:r w:rsidRPr="00B03450">
        <w:rPr>
          <w:color w:val="0E101A"/>
          <w:sz w:val="28"/>
          <w:szCs w:val="28"/>
          <w:lang w:val="en-US"/>
        </w:rPr>
        <w:t>Following this agreement and with the organization's explicit permission, the full metadata was provided for the purpose of in-depth analysis. The results of this analysis were subsequently published in a high-quartile peer-reviewed journal indexed in the Scopus scientific database.</w:t>
      </w:r>
    </w:p>
    <w:p w14:paraId="63AA5119" w14:textId="77777777" w:rsidR="00600C79" w:rsidRPr="00B03450" w:rsidRDefault="00600C79" w:rsidP="001670AF">
      <w:pPr>
        <w:pStyle w:val="a4"/>
        <w:spacing w:before="0" w:beforeAutospacing="0" w:after="0" w:afterAutospacing="0"/>
        <w:ind w:firstLine="720"/>
        <w:jc w:val="both"/>
        <w:rPr>
          <w:color w:val="0E101A"/>
          <w:sz w:val="28"/>
          <w:szCs w:val="28"/>
          <w:lang w:val="en-US"/>
        </w:rPr>
      </w:pPr>
      <w:r w:rsidRPr="00B03450">
        <w:rPr>
          <w:color w:val="0E101A"/>
          <w:sz w:val="28"/>
          <w:szCs w:val="28"/>
          <w:lang w:val="en-US"/>
        </w:rPr>
        <w:t>This empirical study thus draws upon a validated, internationally standardized dataset to investigate how university-led educational interventions and institutional environments contribute to the formation of entrepreneurial intentions and how individual-level psychological traits moderate these relationships in the Kazakhstani higher education context.</w:t>
      </w:r>
    </w:p>
    <w:p w14:paraId="17F61309" w14:textId="37B41AEE" w:rsidR="00600C79" w:rsidRDefault="00600C79" w:rsidP="00600C79">
      <w:pPr>
        <w:spacing w:line="240" w:lineRule="auto"/>
        <w:ind w:firstLine="720"/>
        <w:contextualSpacing/>
        <w:jc w:val="both"/>
        <w:rPr>
          <w:rFonts w:ascii="Times New Roman" w:hAnsi="Times New Roman" w:cs="Times New Roman"/>
          <w:sz w:val="28"/>
          <w:szCs w:val="28"/>
          <w:lang w:val="en-US"/>
        </w:rPr>
      </w:pPr>
      <w:r w:rsidRPr="00E149C5">
        <w:rPr>
          <w:rFonts w:ascii="Times New Roman" w:hAnsi="Times New Roman" w:cs="Times New Roman"/>
          <w:sz w:val="28"/>
          <w:szCs w:val="28"/>
          <w:lang w:val="en-US"/>
        </w:rPr>
        <w:t xml:space="preserve">A survey of 2,791 students from over 30 Kazakhstani universities, with a majority of females (67.32%) and unmarried individuals (84.81%) between the ages of 18 and 20 (58.56%), was conducted to investigate the perspectives of students. The respondents were geographically distributed across Kazakhstan, with the Southern (65.7%) and Central (33.93%) regions being the most prevalent. There were represented a variety of academic disciplines, including natural sciences (14.98%), engineering (13.5%), and arts and humanities (13.4%). The most outstanding student participation rates were observed at M. </w:t>
      </w:r>
      <w:proofErr w:type="spellStart"/>
      <w:r w:rsidRPr="00E149C5">
        <w:rPr>
          <w:rFonts w:ascii="Times New Roman" w:hAnsi="Times New Roman" w:cs="Times New Roman"/>
          <w:sz w:val="28"/>
          <w:szCs w:val="28"/>
          <w:lang w:val="en-US"/>
        </w:rPr>
        <w:t>Dulaty</w:t>
      </w:r>
      <w:proofErr w:type="spellEnd"/>
      <w:r w:rsidRPr="00E149C5">
        <w:rPr>
          <w:rFonts w:ascii="Times New Roman" w:hAnsi="Times New Roman" w:cs="Times New Roman"/>
          <w:sz w:val="28"/>
          <w:szCs w:val="28"/>
          <w:lang w:val="en-US"/>
        </w:rPr>
        <w:t xml:space="preserve"> </w:t>
      </w:r>
      <w:proofErr w:type="spellStart"/>
      <w:r w:rsidRPr="00E149C5">
        <w:rPr>
          <w:rFonts w:ascii="Times New Roman" w:hAnsi="Times New Roman" w:cs="Times New Roman"/>
          <w:sz w:val="28"/>
          <w:szCs w:val="28"/>
          <w:lang w:val="en-US"/>
        </w:rPr>
        <w:t>Taraz</w:t>
      </w:r>
      <w:proofErr w:type="spellEnd"/>
      <w:r w:rsidRPr="00E149C5">
        <w:rPr>
          <w:rFonts w:ascii="Times New Roman" w:hAnsi="Times New Roman" w:cs="Times New Roman"/>
          <w:sz w:val="28"/>
          <w:szCs w:val="28"/>
          <w:lang w:val="en-US"/>
        </w:rPr>
        <w:t xml:space="preserve"> State University, L.N. </w:t>
      </w:r>
      <w:proofErr w:type="spellStart"/>
      <w:r w:rsidRPr="00E149C5">
        <w:rPr>
          <w:rFonts w:ascii="Times New Roman" w:hAnsi="Times New Roman" w:cs="Times New Roman"/>
          <w:sz w:val="28"/>
          <w:szCs w:val="28"/>
          <w:lang w:val="en-US"/>
        </w:rPr>
        <w:t>Gumilyov</w:t>
      </w:r>
      <w:proofErr w:type="spellEnd"/>
      <w:r w:rsidRPr="00E149C5">
        <w:rPr>
          <w:rFonts w:ascii="Times New Roman" w:hAnsi="Times New Roman" w:cs="Times New Roman"/>
          <w:sz w:val="28"/>
          <w:szCs w:val="28"/>
          <w:lang w:val="en-US"/>
        </w:rPr>
        <w:t xml:space="preserve"> Eurasian National University, </w:t>
      </w:r>
      <w:proofErr w:type="spellStart"/>
      <w:r w:rsidRPr="00E149C5">
        <w:rPr>
          <w:rFonts w:ascii="Times New Roman" w:hAnsi="Times New Roman" w:cs="Times New Roman"/>
          <w:sz w:val="28"/>
          <w:szCs w:val="28"/>
          <w:lang w:val="en-US"/>
        </w:rPr>
        <w:t>Abai</w:t>
      </w:r>
      <w:proofErr w:type="spellEnd"/>
      <w:r w:rsidRPr="00E149C5">
        <w:rPr>
          <w:rFonts w:ascii="Times New Roman" w:hAnsi="Times New Roman" w:cs="Times New Roman"/>
          <w:sz w:val="28"/>
          <w:szCs w:val="28"/>
          <w:lang w:val="en-US"/>
        </w:rPr>
        <w:t xml:space="preserve"> Kazakh National Pedagogical University, </w:t>
      </w:r>
      <w:proofErr w:type="spellStart"/>
      <w:r w:rsidRPr="00E149C5">
        <w:rPr>
          <w:rFonts w:ascii="Times New Roman" w:hAnsi="Times New Roman" w:cs="Times New Roman"/>
          <w:sz w:val="28"/>
          <w:szCs w:val="28"/>
          <w:lang w:val="en-US"/>
        </w:rPr>
        <w:t>Turan</w:t>
      </w:r>
      <w:proofErr w:type="spellEnd"/>
      <w:r w:rsidRPr="00E149C5">
        <w:rPr>
          <w:rFonts w:ascii="Times New Roman" w:hAnsi="Times New Roman" w:cs="Times New Roman"/>
          <w:sz w:val="28"/>
          <w:szCs w:val="28"/>
          <w:lang w:val="en-US"/>
        </w:rPr>
        <w:t xml:space="preserve"> University, and </w:t>
      </w:r>
      <w:proofErr w:type="spellStart"/>
      <w:r w:rsidRPr="00E149C5">
        <w:rPr>
          <w:rFonts w:ascii="Times New Roman" w:hAnsi="Times New Roman" w:cs="Times New Roman"/>
          <w:sz w:val="28"/>
          <w:szCs w:val="28"/>
          <w:lang w:val="en-US"/>
        </w:rPr>
        <w:t>Taraz</w:t>
      </w:r>
      <w:proofErr w:type="spellEnd"/>
      <w:r w:rsidRPr="00E149C5">
        <w:rPr>
          <w:rFonts w:ascii="Times New Roman" w:hAnsi="Times New Roman" w:cs="Times New Roman"/>
          <w:sz w:val="28"/>
          <w:szCs w:val="28"/>
          <w:lang w:val="en-US"/>
        </w:rPr>
        <w:t xml:space="preserve"> State Pedagogical University.</w:t>
      </w:r>
    </w:p>
    <w:p w14:paraId="564509C6" w14:textId="77777777" w:rsidR="00600C79" w:rsidRPr="00244343" w:rsidRDefault="00600C79" w:rsidP="00600C79">
      <w:pPr>
        <w:spacing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empirical study utilizes a multilevel (hierarchical) linear model, drawing on responses from 713 students across 30 universities in Kazakhstan who participated in the GUESSS 2021 project survey. Our research indicates that entrepreneurial self-efficacy and locus of control directly affect students' entrepreneurial inclinations. The university environment and educational curriculum </w:t>
      </w:r>
      <w:r w:rsidRPr="00244343">
        <w:rPr>
          <w:rFonts w:ascii="Times New Roman" w:hAnsi="Times New Roman" w:cs="Times New Roman"/>
          <w:sz w:val="28"/>
          <w:szCs w:val="28"/>
          <w:lang w:val="en-US"/>
        </w:rPr>
        <w:lastRenderedPageBreak/>
        <w:t>indirectly affect the locus of control. Self-efficacy mediates the effect of the learning program on entrepreneurial goals and attitudes.</w:t>
      </w:r>
    </w:p>
    <w:p w14:paraId="3194D20A"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On the other hand, the locus of control adversely impacts both entrepreneurial attitudes and intentions in program learning. The study's findings highlight those individual characteristics, including self-efficacy, locus of control, and the academic environment, influence student entrepreneurship. The findings suggest interdependencies among these characteristics, further influencing students' entrepreneurial goals and attitudes.</w:t>
      </w:r>
    </w:p>
    <w:p w14:paraId="354A8CB2"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Examining student entrepreneurship has garnered considerable interest recently as institutions increasingly acknowledge the significance of cultivating entrepreneurial competencies among their graduates. This literature study seeks to identify the principal characteristics that influence students' entrepreneurial ambitions and behaviors.</w:t>
      </w:r>
    </w:p>
    <w:p w14:paraId="080451F3"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Numerous causes exist Influencing Students' Entrepreneurial Intentions Based on Comprehensive Literature: </w:t>
      </w:r>
    </w:p>
    <w:p w14:paraId="28C87D1E"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B03450">
        <w:rPr>
          <w:rFonts w:ascii="Times New Roman" w:hAnsi="Times New Roman" w:cs="Times New Roman"/>
          <w:i/>
          <w:iCs/>
          <w:sz w:val="28"/>
          <w:szCs w:val="28"/>
          <w:lang w:val="en-US"/>
        </w:rPr>
        <w:t>Perceived entrepreneurial self-efficacy</w:t>
      </w:r>
      <w:r w:rsidRPr="00244343">
        <w:rPr>
          <w:rFonts w:ascii="Times New Roman" w:hAnsi="Times New Roman" w:cs="Times New Roman"/>
          <w:sz w:val="28"/>
          <w:szCs w:val="28"/>
          <w:lang w:val="en-US"/>
        </w:rPr>
        <w:t>: The conviction of students in their capacity to effectively initiate and oversee a business venture.</w:t>
      </w:r>
    </w:p>
    <w:p w14:paraId="2E74B753"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B03450">
        <w:rPr>
          <w:rFonts w:ascii="Times New Roman" w:hAnsi="Times New Roman" w:cs="Times New Roman"/>
          <w:i/>
          <w:iCs/>
          <w:sz w:val="28"/>
          <w:szCs w:val="28"/>
          <w:lang w:val="en-US"/>
        </w:rPr>
        <w:t>Perceived entrepreneurial opportunities:</w:t>
      </w:r>
      <w:r w:rsidRPr="00244343">
        <w:rPr>
          <w:rFonts w:ascii="Times New Roman" w:hAnsi="Times New Roman" w:cs="Times New Roman"/>
          <w:sz w:val="28"/>
          <w:szCs w:val="28"/>
          <w:lang w:val="en-US"/>
        </w:rPr>
        <w:t xml:space="preserve"> Students' assessment of the accessibility and appeal of entrepreneurial prospects.</w:t>
      </w:r>
    </w:p>
    <w:p w14:paraId="4EA9B34F" w14:textId="5EBE474E"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B03450">
        <w:rPr>
          <w:rFonts w:ascii="Times New Roman" w:hAnsi="Times New Roman" w:cs="Times New Roman"/>
          <w:i/>
          <w:iCs/>
          <w:sz w:val="28"/>
          <w:szCs w:val="28"/>
          <w:lang w:val="en-US"/>
        </w:rPr>
        <w:t>Entrepreneurial self-efficacy (ESE)</w:t>
      </w:r>
      <w:r w:rsidRPr="00244343">
        <w:rPr>
          <w:rFonts w:ascii="Times New Roman" w:hAnsi="Times New Roman" w:cs="Times New Roman"/>
          <w:sz w:val="28"/>
          <w:szCs w:val="28"/>
          <w:lang w:val="en-US"/>
        </w:rPr>
        <w:t xml:space="preserve"> denotes an individual's confidence to execute entrepreneurship-related tasks, profoundly impacting their entrepreneurial aspirations and business sustainability. Multiple elements influence ESE, including education, personality characteristics, and environmental assistance. Research demonstrates that entrepreneurial self-efficacy (ESE) is vital in entrepreneurship education, bolstering students' confidence in doing entrepreneurial activities [</w:t>
      </w:r>
      <w:r w:rsidR="00560673">
        <w:rPr>
          <w:rFonts w:ascii="Times New Roman" w:hAnsi="Times New Roman" w:cs="Times New Roman"/>
          <w:sz w:val="28"/>
          <w:szCs w:val="28"/>
          <w:lang w:val="kk-KZ"/>
        </w:rPr>
        <w:t>189-190</w:t>
      </w:r>
      <w:r w:rsidRPr="00244343">
        <w:rPr>
          <w:rFonts w:ascii="Times New Roman" w:hAnsi="Times New Roman" w:cs="Times New Roman"/>
          <w:sz w:val="28"/>
          <w:szCs w:val="28"/>
          <w:lang w:val="en-US"/>
        </w:rPr>
        <w:t>].</w:t>
      </w:r>
    </w:p>
    <w:p w14:paraId="26DC77C3" w14:textId="77777777" w:rsidR="00A351D9" w:rsidRDefault="00600C79" w:rsidP="00A351D9">
      <w:pPr>
        <w:spacing w:after="0" w:line="240" w:lineRule="auto"/>
        <w:ind w:firstLine="720"/>
        <w:contextualSpacing/>
        <w:jc w:val="both"/>
        <w:rPr>
          <w:rFonts w:ascii="Times New Roman" w:hAnsi="Times New Roman" w:cs="Times New Roman"/>
          <w:i/>
          <w:iCs/>
          <w:sz w:val="28"/>
          <w:szCs w:val="28"/>
          <w:lang w:val="en-US"/>
        </w:rPr>
      </w:pPr>
      <w:r w:rsidRPr="00B03450">
        <w:rPr>
          <w:rFonts w:ascii="Times New Roman" w:hAnsi="Times New Roman" w:cs="Times New Roman"/>
          <w:i/>
          <w:iCs/>
          <w:sz w:val="28"/>
          <w:szCs w:val="28"/>
          <w:lang w:val="en-US"/>
        </w:rPr>
        <w:t>Determinants Affecting ESE:</w:t>
      </w:r>
    </w:p>
    <w:p w14:paraId="4E055BA2" w14:textId="77777777" w:rsidR="00A351D9" w:rsidRPr="00A351D9" w:rsidRDefault="00600C79" w:rsidP="008A698C">
      <w:pPr>
        <w:pStyle w:val="ad"/>
        <w:numPr>
          <w:ilvl w:val="0"/>
          <w:numId w:val="33"/>
        </w:numPr>
        <w:spacing w:after="0" w:line="240" w:lineRule="auto"/>
        <w:ind w:left="0" w:firstLine="709"/>
        <w:jc w:val="both"/>
        <w:rPr>
          <w:rFonts w:ascii="Times New Roman" w:hAnsi="Times New Roman" w:cs="Times New Roman"/>
          <w:i/>
          <w:iCs/>
          <w:sz w:val="28"/>
          <w:szCs w:val="28"/>
          <w:lang w:val="en-US"/>
        </w:rPr>
      </w:pPr>
      <w:r w:rsidRPr="00A351D9">
        <w:rPr>
          <w:rFonts w:ascii="Times New Roman" w:hAnsi="Times New Roman" w:cs="Times New Roman"/>
          <w:sz w:val="28"/>
          <w:szCs w:val="28"/>
          <w:lang w:val="en-US"/>
        </w:rPr>
        <w:t>Formal education: Entrepreneurship courses markedly enhance entrepreneurial self-efficacy among students [1</w:t>
      </w:r>
      <w:r w:rsidR="00560673" w:rsidRPr="00A351D9">
        <w:rPr>
          <w:rFonts w:ascii="Times New Roman" w:hAnsi="Times New Roman" w:cs="Times New Roman"/>
          <w:sz w:val="28"/>
          <w:szCs w:val="28"/>
          <w:lang w:val="kk-KZ"/>
        </w:rPr>
        <w:t>91</w:t>
      </w:r>
      <w:r w:rsidRPr="00A351D9">
        <w:rPr>
          <w:rFonts w:ascii="Times New Roman" w:hAnsi="Times New Roman" w:cs="Times New Roman"/>
          <w:sz w:val="28"/>
          <w:szCs w:val="28"/>
          <w:lang w:val="en-US"/>
        </w:rPr>
        <w:t>-1</w:t>
      </w:r>
      <w:r w:rsidR="00560673" w:rsidRPr="00A351D9">
        <w:rPr>
          <w:rFonts w:ascii="Times New Roman" w:hAnsi="Times New Roman" w:cs="Times New Roman"/>
          <w:sz w:val="28"/>
          <w:szCs w:val="28"/>
          <w:lang w:val="kk-KZ"/>
        </w:rPr>
        <w:t>95</w:t>
      </w:r>
      <w:r w:rsidRPr="00A351D9">
        <w:rPr>
          <w:rFonts w:ascii="Times New Roman" w:hAnsi="Times New Roman" w:cs="Times New Roman"/>
          <w:sz w:val="28"/>
          <w:szCs w:val="28"/>
          <w:lang w:val="en-US"/>
        </w:rPr>
        <w:t>].</w:t>
      </w:r>
    </w:p>
    <w:p w14:paraId="787F7737" w14:textId="77777777" w:rsidR="00A351D9" w:rsidRPr="008A698C" w:rsidRDefault="00600C79" w:rsidP="008A698C">
      <w:pPr>
        <w:pStyle w:val="ad"/>
        <w:numPr>
          <w:ilvl w:val="0"/>
          <w:numId w:val="33"/>
        </w:numPr>
        <w:spacing w:after="0" w:line="240" w:lineRule="auto"/>
        <w:ind w:left="0" w:firstLine="709"/>
        <w:jc w:val="both"/>
        <w:rPr>
          <w:rFonts w:ascii="Times New Roman" w:hAnsi="Times New Roman" w:cs="Times New Roman"/>
          <w:sz w:val="28"/>
          <w:szCs w:val="28"/>
          <w:lang w:val="en-US"/>
        </w:rPr>
      </w:pPr>
      <w:r w:rsidRPr="00A351D9">
        <w:rPr>
          <w:rFonts w:ascii="Times New Roman" w:hAnsi="Times New Roman" w:cs="Times New Roman"/>
          <w:sz w:val="28"/>
          <w:szCs w:val="28"/>
          <w:lang w:val="en-US"/>
        </w:rPr>
        <w:t>The entrepreneurial personality positively correlates with entrepreneurial self-efficacy (ESE). [1</w:t>
      </w:r>
      <w:r w:rsidR="00560673" w:rsidRPr="008A698C">
        <w:rPr>
          <w:rFonts w:ascii="Times New Roman" w:hAnsi="Times New Roman" w:cs="Times New Roman"/>
          <w:sz w:val="28"/>
          <w:szCs w:val="28"/>
          <w:lang w:val="en-US"/>
        </w:rPr>
        <w:t>95</w:t>
      </w:r>
      <w:r w:rsidRPr="00A351D9">
        <w:rPr>
          <w:rFonts w:ascii="Times New Roman" w:hAnsi="Times New Roman" w:cs="Times New Roman"/>
          <w:sz w:val="28"/>
          <w:szCs w:val="28"/>
          <w:lang w:val="en-US"/>
        </w:rPr>
        <w:t>, p.18].</w:t>
      </w:r>
    </w:p>
    <w:p w14:paraId="79A9C8FB" w14:textId="7D386B76" w:rsidR="00600C79" w:rsidRPr="008A698C" w:rsidRDefault="00600C79" w:rsidP="008A698C">
      <w:pPr>
        <w:pStyle w:val="ad"/>
        <w:numPr>
          <w:ilvl w:val="0"/>
          <w:numId w:val="33"/>
        </w:numPr>
        <w:spacing w:after="0" w:line="240" w:lineRule="auto"/>
        <w:ind w:left="0" w:firstLine="709"/>
        <w:jc w:val="both"/>
        <w:rPr>
          <w:rFonts w:ascii="Times New Roman" w:hAnsi="Times New Roman" w:cs="Times New Roman"/>
          <w:sz w:val="28"/>
          <w:szCs w:val="28"/>
          <w:lang w:val="en-US"/>
        </w:rPr>
      </w:pPr>
      <w:r w:rsidRPr="00A351D9">
        <w:rPr>
          <w:rFonts w:ascii="Times New Roman" w:hAnsi="Times New Roman" w:cs="Times New Roman"/>
          <w:sz w:val="28"/>
          <w:szCs w:val="28"/>
          <w:lang w:val="en-US"/>
        </w:rPr>
        <w:t>Support Systems: Familial and environmental assistance augment ESE [1</w:t>
      </w:r>
      <w:r w:rsidR="00560673" w:rsidRPr="008A698C">
        <w:rPr>
          <w:rFonts w:ascii="Times New Roman" w:hAnsi="Times New Roman" w:cs="Times New Roman"/>
          <w:sz w:val="28"/>
          <w:szCs w:val="28"/>
          <w:lang w:val="en-US"/>
        </w:rPr>
        <w:t>96</w:t>
      </w:r>
      <w:r w:rsidRPr="00A351D9">
        <w:rPr>
          <w:rFonts w:ascii="Times New Roman" w:hAnsi="Times New Roman" w:cs="Times New Roman"/>
          <w:sz w:val="28"/>
          <w:szCs w:val="28"/>
          <w:lang w:val="en-US"/>
        </w:rPr>
        <w:t>-1</w:t>
      </w:r>
      <w:r w:rsidR="00560673" w:rsidRPr="008A698C">
        <w:rPr>
          <w:rFonts w:ascii="Times New Roman" w:hAnsi="Times New Roman" w:cs="Times New Roman"/>
          <w:sz w:val="28"/>
          <w:szCs w:val="28"/>
          <w:lang w:val="en-US"/>
        </w:rPr>
        <w:t>98</w:t>
      </w:r>
      <w:r w:rsidRPr="00A351D9">
        <w:rPr>
          <w:rFonts w:ascii="Times New Roman" w:hAnsi="Times New Roman" w:cs="Times New Roman"/>
          <w:sz w:val="28"/>
          <w:szCs w:val="28"/>
          <w:lang w:val="en-US"/>
        </w:rPr>
        <w:t>].</w:t>
      </w:r>
    </w:p>
    <w:p w14:paraId="01902E3D" w14:textId="70074EE5" w:rsidR="00600C79" w:rsidRPr="00244343" w:rsidRDefault="00600C79" w:rsidP="008A698C">
      <w:pPr>
        <w:pStyle w:val="ad"/>
        <w:numPr>
          <w:ilvl w:val="0"/>
          <w:numId w:val="33"/>
        </w:numPr>
        <w:spacing w:after="0" w:line="240" w:lineRule="auto"/>
        <w:ind w:left="0" w:firstLine="709"/>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Social support: The encouragement and assistance students obtain from family, friends, and mentors [</w:t>
      </w:r>
      <w:r w:rsidR="00560673" w:rsidRPr="008A698C">
        <w:rPr>
          <w:rFonts w:ascii="Times New Roman" w:hAnsi="Times New Roman" w:cs="Times New Roman"/>
          <w:sz w:val="28"/>
          <w:szCs w:val="28"/>
          <w:lang w:val="en-US"/>
        </w:rPr>
        <w:t>199-</w:t>
      </w:r>
      <w:r w:rsidR="00DC4638" w:rsidRPr="008A698C">
        <w:rPr>
          <w:rFonts w:ascii="Times New Roman" w:hAnsi="Times New Roman" w:cs="Times New Roman"/>
          <w:sz w:val="28"/>
          <w:szCs w:val="28"/>
          <w:lang w:val="en-US"/>
        </w:rPr>
        <w:t>202</w:t>
      </w:r>
      <w:r w:rsidRPr="00244343">
        <w:rPr>
          <w:rFonts w:ascii="Times New Roman" w:hAnsi="Times New Roman" w:cs="Times New Roman"/>
          <w:sz w:val="28"/>
          <w:szCs w:val="28"/>
          <w:lang w:val="en-US"/>
        </w:rPr>
        <w:t>].</w:t>
      </w:r>
    </w:p>
    <w:p w14:paraId="134A80C0" w14:textId="77777777" w:rsidR="00600C79" w:rsidRPr="00244343" w:rsidRDefault="00600C79" w:rsidP="008A698C">
      <w:pPr>
        <w:pStyle w:val="ad"/>
        <w:numPr>
          <w:ilvl w:val="0"/>
          <w:numId w:val="33"/>
        </w:numPr>
        <w:spacing w:after="0" w:line="240" w:lineRule="auto"/>
        <w:ind w:left="0" w:firstLine="709"/>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Educational experiences: The entrepreneurial education and training students obtain through academic programs.</w:t>
      </w:r>
    </w:p>
    <w:p w14:paraId="785A1101" w14:textId="77777777" w:rsidR="00B904E0" w:rsidRDefault="00600C79" w:rsidP="008A698C">
      <w:pPr>
        <w:pStyle w:val="ad"/>
        <w:numPr>
          <w:ilvl w:val="0"/>
          <w:numId w:val="33"/>
        </w:numPr>
        <w:spacing w:after="0" w:line="240" w:lineRule="auto"/>
        <w:ind w:left="0" w:firstLine="709"/>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Factors Influencing Students' Entrepreneurial Behaviors are delineated as follows, based on a comprehensive literature analysis undertaken by the author:</w:t>
      </w:r>
    </w:p>
    <w:p w14:paraId="07B9800B" w14:textId="77777777" w:rsidR="00B904E0" w:rsidRDefault="00600C79" w:rsidP="00B904E0">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Risk tolerance: Students' propensity to engage in risk-taking and accept uncertainty.</w:t>
      </w:r>
    </w:p>
    <w:p w14:paraId="2115B10F" w14:textId="0842DA33" w:rsidR="00600C79" w:rsidRPr="00244343" w:rsidRDefault="00600C79" w:rsidP="00B904E0">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Need for achievement: The aspiration of students to attain challenging objectives and pursue success.</w:t>
      </w:r>
    </w:p>
    <w:p w14:paraId="5836507C" w14:textId="7C647C6F" w:rsidR="00600C79" w:rsidRPr="00244343" w:rsidRDefault="00600C79" w:rsidP="008A698C">
      <w:pPr>
        <w:pStyle w:val="ad"/>
        <w:numPr>
          <w:ilvl w:val="0"/>
          <w:numId w:val="33"/>
        </w:numPr>
        <w:spacing w:after="0" w:line="240" w:lineRule="auto"/>
        <w:ind w:left="0" w:firstLine="709"/>
        <w:jc w:val="both"/>
        <w:rPr>
          <w:rFonts w:ascii="Times New Roman" w:hAnsi="Times New Roman" w:cs="Times New Roman"/>
          <w:sz w:val="28"/>
          <w:szCs w:val="28"/>
          <w:lang w:val="en-US"/>
        </w:rPr>
      </w:pPr>
      <w:r w:rsidRPr="008A698C">
        <w:rPr>
          <w:rFonts w:ascii="Times New Roman" w:hAnsi="Times New Roman" w:cs="Times New Roman"/>
          <w:sz w:val="28"/>
          <w:szCs w:val="28"/>
          <w:lang w:val="en-US"/>
        </w:rPr>
        <w:lastRenderedPageBreak/>
        <w:t>Locus of control</w:t>
      </w:r>
      <w:r w:rsidRPr="00244343">
        <w:rPr>
          <w:rFonts w:ascii="Times New Roman" w:hAnsi="Times New Roman" w:cs="Times New Roman"/>
          <w:sz w:val="28"/>
          <w:szCs w:val="28"/>
          <w:lang w:val="en-US"/>
        </w:rPr>
        <w:t xml:space="preserve"> [</w:t>
      </w:r>
      <w:r w:rsidR="00DC4638" w:rsidRPr="008A698C">
        <w:rPr>
          <w:rFonts w:ascii="Times New Roman" w:hAnsi="Times New Roman" w:cs="Times New Roman"/>
          <w:sz w:val="28"/>
          <w:szCs w:val="28"/>
          <w:lang w:val="en-US"/>
        </w:rPr>
        <w:t>203-205</w:t>
      </w:r>
      <w:r w:rsidRPr="00244343">
        <w:rPr>
          <w:rFonts w:ascii="Times New Roman" w:hAnsi="Times New Roman" w:cs="Times New Roman"/>
          <w:sz w:val="28"/>
          <w:szCs w:val="28"/>
          <w:lang w:val="en-US"/>
        </w:rPr>
        <w:t>]. The conviction of students regarding their capacity to influence their fate.</w:t>
      </w:r>
    </w:p>
    <w:p w14:paraId="73AE07FD" w14:textId="11DB9991" w:rsidR="00B904E0" w:rsidRDefault="00600C79" w:rsidP="008A698C">
      <w:pPr>
        <w:pStyle w:val="ad"/>
        <w:numPr>
          <w:ilvl w:val="0"/>
          <w:numId w:val="33"/>
        </w:numPr>
        <w:spacing w:after="0" w:line="240" w:lineRule="auto"/>
        <w:ind w:left="0" w:firstLine="709"/>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Cultural determinants: The cultural norms and values that shape students' perceptions of entrepreneurship.</w:t>
      </w:r>
    </w:p>
    <w:p w14:paraId="2B3B20CB" w14:textId="660BF475" w:rsidR="00600C79" w:rsidRPr="00B904E0" w:rsidRDefault="00600C79" w:rsidP="008A698C">
      <w:pPr>
        <w:pStyle w:val="ad"/>
        <w:numPr>
          <w:ilvl w:val="0"/>
          <w:numId w:val="33"/>
        </w:numPr>
        <w:spacing w:after="0" w:line="240" w:lineRule="auto"/>
        <w:ind w:left="0" w:firstLine="709"/>
        <w:jc w:val="both"/>
        <w:rPr>
          <w:rFonts w:ascii="Times New Roman" w:hAnsi="Times New Roman" w:cs="Times New Roman"/>
          <w:sz w:val="28"/>
          <w:szCs w:val="28"/>
          <w:lang w:val="en-US"/>
        </w:rPr>
      </w:pPr>
      <w:r w:rsidRPr="00B904E0">
        <w:rPr>
          <w:rFonts w:ascii="Times New Roman" w:hAnsi="Times New Roman" w:cs="Times New Roman"/>
          <w:sz w:val="28"/>
          <w:szCs w:val="28"/>
          <w:lang w:val="en-US"/>
        </w:rPr>
        <w:t>What is the role of universities in promoting entrepreneurship?</w:t>
      </w:r>
    </w:p>
    <w:p w14:paraId="1665E00B"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Universities can provide specialized courses and initiatives to improve students' entrepreneurial competencies.</w:t>
      </w:r>
    </w:p>
    <w:p w14:paraId="5D50C6BC" w14:textId="5FC5FA70" w:rsidR="00600C79" w:rsidRPr="00244343" w:rsidRDefault="00600C79" w:rsidP="008A698C">
      <w:pPr>
        <w:pStyle w:val="ad"/>
        <w:numPr>
          <w:ilvl w:val="0"/>
          <w:numId w:val="33"/>
        </w:numPr>
        <w:spacing w:after="0" w:line="240" w:lineRule="auto"/>
        <w:ind w:left="0" w:firstLine="709"/>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Incubators and accelerators: Universities can offer resources and assistance to facilitate the establishment and expansion of student enterprises.</w:t>
      </w:r>
    </w:p>
    <w:p w14:paraId="7EE4F1BC" w14:textId="54C2BFFD" w:rsidR="00600C79" w:rsidRPr="00244343" w:rsidRDefault="00600C79" w:rsidP="008A698C">
      <w:pPr>
        <w:pStyle w:val="ad"/>
        <w:numPr>
          <w:ilvl w:val="0"/>
          <w:numId w:val="33"/>
        </w:numPr>
        <w:spacing w:after="0" w:line="240" w:lineRule="auto"/>
        <w:ind w:left="0" w:firstLine="709"/>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Mentorship programs: Universities can link students with seasoned entrepreneurs who can provide counsel and insights.</w:t>
      </w:r>
    </w:p>
    <w:p w14:paraId="301AB887" w14:textId="2888C308" w:rsidR="00600C79" w:rsidRPr="00244343" w:rsidRDefault="00600C79" w:rsidP="008A698C">
      <w:pPr>
        <w:pStyle w:val="ad"/>
        <w:numPr>
          <w:ilvl w:val="0"/>
          <w:numId w:val="33"/>
        </w:numPr>
        <w:spacing w:after="0" w:line="240" w:lineRule="auto"/>
        <w:ind w:left="0" w:firstLine="709"/>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Entrepreneurial competitions: Universities may host contests to motivate students to cultivate entrepreneurial concepts.</w:t>
      </w:r>
    </w:p>
    <w:p w14:paraId="1BDB8501" w14:textId="017FA9E8" w:rsidR="00B904E0" w:rsidRDefault="00600C79" w:rsidP="008A698C">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study stems from the necessity to comprehend the complex interplay between individual factors and contextual influences in shaping entrepreneurial intentions and attitudes among university students. The rapidly evolving global economic landscape requires a continuous influx of innovative and entrepreneurial individuals, making it imperative for academic institutions to foster entrepreneurial mindsets in their students. So, it is essential to explore the determinant factors that influence the development of these entrepreneurial objectives and behaviors.</w:t>
      </w:r>
    </w:p>
    <w:p w14:paraId="19A5D651" w14:textId="77777777" w:rsidR="009E451C" w:rsidRDefault="009E451C" w:rsidP="008A698C">
      <w:pPr>
        <w:spacing w:after="0" w:line="240" w:lineRule="auto"/>
        <w:ind w:firstLine="720"/>
        <w:contextualSpacing/>
        <w:jc w:val="both"/>
        <w:rPr>
          <w:rFonts w:ascii="Times New Roman" w:hAnsi="Times New Roman" w:cs="Times New Roman"/>
          <w:sz w:val="28"/>
          <w:szCs w:val="28"/>
          <w:lang w:val="en-US"/>
        </w:rPr>
      </w:pPr>
    </w:p>
    <w:p w14:paraId="06999DBE" w14:textId="77777777" w:rsidR="00B904E0" w:rsidRPr="00244343" w:rsidRDefault="00B904E0" w:rsidP="00600C79">
      <w:pPr>
        <w:spacing w:after="0" w:line="240" w:lineRule="auto"/>
        <w:ind w:firstLine="720"/>
        <w:contextualSpacing/>
        <w:jc w:val="both"/>
        <w:rPr>
          <w:rFonts w:ascii="Times New Roman" w:hAnsi="Times New Roman" w:cs="Times New Roman"/>
          <w:sz w:val="28"/>
          <w:szCs w:val="28"/>
          <w:lang w:val="en-US"/>
        </w:rPr>
      </w:pPr>
    </w:p>
    <w:p w14:paraId="3DCB9C3F" w14:textId="77777777" w:rsidR="00600C79" w:rsidRPr="00244343" w:rsidRDefault="00600C79" w:rsidP="004730AE">
      <w:pPr>
        <w:pStyle w:val="af"/>
        <w:rPr>
          <w:lang w:val="en-US"/>
        </w:rPr>
      </w:pPr>
      <w:r w:rsidRPr="00244343">
        <w:rPr>
          <w:noProof/>
          <w:lang w:eastAsia="ru-RU"/>
        </w:rPr>
        <w:drawing>
          <wp:inline distT="0" distB="0" distL="0" distR="0" wp14:anchorId="1BA83DC4" wp14:editId="745A6A2F">
            <wp:extent cx="5949537" cy="3835400"/>
            <wp:effectExtent l="0" t="0" r="0" b="0"/>
            <wp:docPr id="40" name="Resim 116752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675217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15724" cy="3942533"/>
                    </a:xfrm>
                    <a:prstGeom prst="rect">
                      <a:avLst/>
                    </a:prstGeom>
                    <a:noFill/>
                    <a:ln>
                      <a:noFill/>
                    </a:ln>
                  </pic:spPr>
                </pic:pic>
              </a:graphicData>
            </a:graphic>
          </wp:inline>
        </w:drawing>
      </w:r>
    </w:p>
    <w:p w14:paraId="19649A9F" w14:textId="77777777" w:rsidR="00B904E0" w:rsidRDefault="00B904E0" w:rsidP="00600C79">
      <w:pPr>
        <w:spacing w:after="0" w:line="240" w:lineRule="auto"/>
        <w:ind w:firstLine="720"/>
        <w:contextualSpacing/>
        <w:jc w:val="center"/>
        <w:rPr>
          <w:rFonts w:ascii="Times New Roman" w:hAnsi="Times New Roman" w:cs="Times New Roman"/>
          <w:sz w:val="28"/>
          <w:szCs w:val="28"/>
          <w:lang w:val="en-US"/>
        </w:rPr>
      </w:pPr>
    </w:p>
    <w:p w14:paraId="7B63F975" w14:textId="3F7C2A03"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35 - Research framework</w:t>
      </w:r>
    </w:p>
    <w:p w14:paraId="4565E98D" w14:textId="77777777"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p>
    <w:p w14:paraId="5AA7F941" w14:textId="114FED3D" w:rsidR="009E451C" w:rsidRDefault="00600C79" w:rsidP="00DA377F">
      <w:pPr>
        <w:spacing w:after="0" w:line="240" w:lineRule="auto"/>
        <w:ind w:firstLine="720"/>
        <w:contextualSpacing/>
        <w:rPr>
          <w:rFonts w:ascii="Times New Roman" w:hAnsi="Times New Roman" w:cs="Times New Roman"/>
          <w:sz w:val="24"/>
          <w:szCs w:val="24"/>
          <w:lang w:val="en-US"/>
        </w:rPr>
      </w:pPr>
      <w:r w:rsidRPr="008A698C">
        <w:rPr>
          <w:rFonts w:ascii="Times New Roman" w:hAnsi="Times New Roman" w:cs="Times New Roman"/>
          <w:sz w:val="24"/>
          <w:szCs w:val="24"/>
          <w:lang w:val="en-US"/>
        </w:rPr>
        <w:t xml:space="preserve">Note – Compiled by author </w:t>
      </w:r>
      <w:r w:rsidR="009E451C">
        <w:rPr>
          <w:rFonts w:ascii="Times New Roman" w:hAnsi="Times New Roman" w:cs="Times New Roman"/>
          <w:sz w:val="24"/>
          <w:szCs w:val="24"/>
          <w:lang w:val="en-US"/>
        </w:rPr>
        <w:t>on the basis of [</w:t>
      </w:r>
      <w:r w:rsidR="00EC52F2">
        <w:rPr>
          <w:rFonts w:ascii="Times New Roman" w:hAnsi="Times New Roman" w:cs="Times New Roman"/>
          <w:sz w:val="24"/>
          <w:szCs w:val="24"/>
          <w:lang w:val="en-US"/>
        </w:rPr>
        <w:t>6</w:t>
      </w:r>
      <w:r w:rsidR="009E451C">
        <w:rPr>
          <w:rFonts w:ascii="Times New Roman" w:hAnsi="Times New Roman" w:cs="Times New Roman"/>
          <w:sz w:val="24"/>
          <w:szCs w:val="24"/>
          <w:lang w:val="en-US"/>
        </w:rPr>
        <w:t>]</w:t>
      </w:r>
    </w:p>
    <w:p w14:paraId="71BD9D5D" w14:textId="1D979125" w:rsidR="00600C79" w:rsidRPr="008A698C" w:rsidRDefault="00DA377F" w:rsidP="00DA377F">
      <w:pPr>
        <w:spacing w:after="0" w:line="240" w:lineRule="auto"/>
        <w:ind w:firstLine="720"/>
        <w:contextualSpacing/>
        <w:rPr>
          <w:rFonts w:ascii="Times New Roman" w:hAnsi="Times New Roman" w:cs="Times New Roman"/>
          <w:sz w:val="24"/>
          <w:szCs w:val="24"/>
          <w:lang w:val="en-US"/>
        </w:rPr>
      </w:pPr>
      <w:r w:rsidRPr="008A698C">
        <w:rPr>
          <w:rFonts w:ascii="Times New Roman" w:hAnsi="Times New Roman" w:cs="Times New Roman"/>
          <w:sz w:val="24"/>
          <w:szCs w:val="24"/>
          <w:lang w:val="en-US"/>
        </w:rPr>
        <w:lastRenderedPageBreak/>
        <w:t xml:space="preserve"> </w:t>
      </w:r>
    </w:p>
    <w:p w14:paraId="5CEC2585"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Figure 35 illustrates the research framework. Within the paradigm, the factors of university environment, program learning, entrepreneurial self-efficacy, and locus of control are considered independent variables. Entrepreneurial intention and mindsets serve as dependent variables. Additionally, entrepreneurial self-efficacy and locus of control serve as moderating variables.</w:t>
      </w:r>
    </w:p>
    <w:p w14:paraId="6A68545A" w14:textId="797E5650"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Based on the thorough review of the literature [</w:t>
      </w:r>
      <w:r w:rsidR="00DC4638">
        <w:rPr>
          <w:rFonts w:ascii="Times New Roman" w:hAnsi="Times New Roman" w:cs="Times New Roman"/>
          <w:sz w:val="28"/>
          <w:szCs w:val="28"/>
          <w:lang w:val="kk-KZ"/>
        </w:rPr>
        <w:t>206</w:t>
      </w:r>
      <w:r w:rsidRPr="00244343">
        <w:rPr>
          <w:rFonts w:ascii="Times New Roman" w:hAnsi="Times New Roman" w:cs="Times New Roman"/>
          <w:sz w:val="28"/>
          <w:szCs w:val="28"/>
          <w:lang w:val="en-US"/>
        </w:rPr>
        <w:t>] and the framework of the research, our hypotheses are as follows:</w:t>
      </w:r>
    </w:p>
    <w:p w14:paraId="3F78F642"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H1: University environment has a positive effect on entrepreneurial self-efficacy.</w:t>
      </w:r>
    </w:p>
    <w:p w14:paraId="1E8C1B98"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H2: University environment has a positive effect on entrepreneurial intention.</w:t>
      </w:r>
    </w:p>
    <w:p w14:paraId="000B52FD"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H3: University environment has a positive effect on entrepreneurial attitudes.</w:t>
      </w:r>
    </w:p>
    <w:p w14:paraId="4D7B734D"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H4: University environment has a positive effect on the locus of control.</w:t>
      </w:r>
    </w:p>
    <w:p w14:paraId="14031E14"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H5: Program learning has a positive effect on entrepreneurial self-efficacy.</w:t>
      </w:r>
    </w:p>
    <w:p w14:paraId="56A5A2DB"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H6: Program learning has a positive effect on entrepreneurial intention.</w:t>
      </w:r>
    </w:p>
    <w:p w14:paraId="2B65913D"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H7: Program learning has a positive effect on entrepreneurial attitudes.</w:t>
      </w:r>
    </w:p>
    <w:p w14:paraId="7281974A"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H8: Program learning has a positive effect on the locus of control.</w:t>
      </w:r>
    </w:p>
    <w:p w14:paraId="7095F2AF"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H9: Entrepreneurial self-efficacy has a positive effect on entrepreneurial intention.</w:t>
      </w:r>
    </w:p>
    <w:p w14:paraId="438C06B4"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H10: Entrepreneurial self-efficacy has a positive effect on Entrepreneurial attitudes.</w:t>
      </w:r>
    </w:p>
    <w:p w14:paraId="6DEA0D37"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H11: Locus of control has a positive effect on entrepreneurial intention.</w:t>
      </w:r>
    </w:p>
    <w:p w14:paraId="4709F16A"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H12: Locus of control has a positive effect on Entrepreneurial attitudes.</w:t>
      </w:r>
    </w:p>
    <w:p w14:paraId="637F41DA"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H13: Entrepreneurial self-efficacy has a moderating role on the university environment and entrepreneurial intention.</w:t>
      </w:r>
    </w:p>
    <w:p w14:paraId="240E39F0"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H14: Entrepreneurial self-efficacy has a moderating role on the university environment and entrepreneurial attitudes.</w:t>
      </w:r>
    </w:p>
    <w:p w14:paraId="50D17BB0"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H15: Locus of control has a moderating role on the university environment and entrepreneurial intention.</w:t>
      </w:r>
    </w:p>
    <w:p w14:paraId="0F82DE11"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H16: Locus of control has a moderating role on the university environment and entrepreneurial attitudes.</w:t>
      </w:r>
    </w:p>
    <w:p w14:paraId="2A8DDE76"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H17: Entrepreneurial self-efficacy has a moderating role on the program learning and entrepreneurial intention.</w:t>
      </w:r>
    </w:p>
    <w:p w14:paraId="1F9C15C2"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H18: Entrepreneurial self-efficacy has a moderating role on the program learning and entrepreneurial attitudes.</w:t>
      </w:r>
    </w:p>
    <w:p w14:paraId="41FB727E"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H19: Locus of control has a moderating role on the program learning and entrepreneurial intention.</w:t>
      </w:r>
    </w:p>
    <w:p w14:paraId="66641C65"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H20: Locus of control has a moderating role on the program learning and entrepreneurial attitudes.</w:t>
      </w:r>
    </w:p>
    <w:p w14:paraId="29A2399E" w14:textId="77777777" w:rsidR="00600C79" w:rsidRPr="00244343" w:rsidRDefault="00600C79" w:rsidP="00600C79">
      <w:pPr>
        <w:spacing w:after="0" w:line="240" w:lineRule="auto"/>
        <w:ind w:firstLine="720"/>
        <w:contextualSpacing/>
        <w:jc w:val="both"/>
        <w:rPr>
          <w:rFonts w:ascii="Times New Roman" w:hAnsi="Times New Roman" w:cs="Times New Roman"/>
          <w:i/>
          <w:iCs/>
          <w:sz w:val="28"/>
          <w:szCs w:val="28"/>
          <w:lang w:val="en-US"/>
        </w:rPr>
      </w:pPr>
      <w:r w:rsidRPr="00244343">
        <w:rPr>
          <w:rFonts w:ascii="Times New Roman" w:hAnsi="Times New Roman" w:cs="Times New Roman"/>
          <w:i/>
          <w:iCs/>
          <w:sz w:val="28"/>
          <w:szCs w:val="28"/>
          <w:lang w:val="en-US"/>
        </w:rPr>
        <w:t>Research Methodology</w:t>
      </w:r>
    </w:p>
    <w:p w14:paraId="4F891D97" w14:textId="70E11415"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study employed a quantitative methodology. Structural equation modelling validated the theoretically created model using the gathered data. Once the estimation method identifies a feasible solution, the model's adequacy must be evaluated [</w:t>
      </w:r>
      <w:r w:rsidR="00DC4638">
        <w:rPr>
          <w:rFonts w:ascii="Times New Roman" w:hAnsi="Times New Roman" w:cs="Times New Roman"/>
          <w:sz w:val="28"/>
          <w:szCs w:val="28"/>
          <w:lang w:val="kk-KZ"/>
        </w:rPr>
        <w:t>207</w:t>
      </w:r>
      <w:r w:rsidRPr="00244343">
        <w:rPr>
          <w:rFonts w:ascii="Times New Roman" w:hAnsi="Times New Roman" w:cs="Times New Roman"/>
          <w:sz w:val="28"/>
          <w:szCs w:val="28"/>
          <w:lang w:val="en-US"/>
        </w:rPr>
        <w:t>].</w:t>
      </w:r>
    </w:p>
    <w:p w14:paraId="0E11B47E" w14:textId="08C30FDE" w:rsidR="00600C79" w:rsidRPr="00586F64" w:rsidRDefault="00600C79" w:rsidP="00586F64">
      <w:pPr>
        <w:spacing w:after="0" w:line="240" w:lineRule="auto"/>
        <w:ind w:firstLine="720"/>
        <w:contextualSpacing/>
        <w:jc w:val="both"/>
        <w:rPr>
          <w:rFonts w:ascii="Times New Roman" w:hAnsi="Times New Roman" w:cs="Times New Roman"/>
          <w:i/>
          <w:iCs/>
          <w:sz w:val="28"/>
          <w:szCs w:val="28"/>
          <w:lang w:val="en-US"/>
        </w:rPr>
      </w:pPr>
      <w:r w:rsidRPr="00244343">
        <w:rPr>
          <w:rFonts w:ascii="Times New Roman" w:hAnsi="Times New Roman" w:cs="Times New Roman"/>
          <w:i/>
          <w:iCs/>
          <w:sz w:val="28"/>
          <w:szCs w:val="28"/>
          <w:lang w:val="en-US"/>
        </w:rPr>
        <w:lastRenderedPageBreak/>
        <w:t>Sample</w:t>
      </w:r>
      <w:r w:rsidR="00586F64" w:rsidRPr="00586F64">
        <w:rPr>
          <w:rFonts w:ascii="Times New Roman" w:hAnsi="Times New Roman" w:cs="Times New Roman"/>
          <w:i/>
          <w:iCs/>
          <w:sz w:val="28"/>
          <w:szCs w:val="28"/>
          <w:lang w:val="en-US"/>
        </w:rPr>
        <w:t xml:space="preserve">. </w:t>
      </w:r>
      <w:r w:rsidRPr="00244343">
        <w:rPr>
          <w:rFonts w:ascii="Times New Roman" w:hAnsi="Times New Roman" w:cs="Times New Roman"/>
          <w:sz w:val="28"/>
          <w:szCs w:val="28"/>
          <w:lang w:val="en-US"/>
        </w:rPr>
        <w:t>Following data cleansing, 713 people persisted in the sample, indicating a high response rate. Of the total, 633 (88.8%) are undergraduate students, while 78 (11%) are pursuing master's degrees or higher. Of the participants, 499 (70%) identified as female, 207 (29%) as male, and 7 individuals identified as other.</w:t>
      </w:r>
    </w:p>
    <w:p w14:paraId="5845EDDC" w14:textId="77777777" w:rsidR="00600C79" w:rsidRPr="00244343" w:rsidRDefault="00600C79" w:rsidP="00600C79">
      <w:pPr>
        <w:spacing w:after="0" w:line="240" w:lineRule="auto"/>
        <w:ind w:firstLine="720"/>
        <w:contextualSpacing/>
        <w:jc w:val="both"/>
        <w:rPr>
          <w:rFonts w:ascii="Times New Roman" w:hAnsi="Times New Roman" w:cs="Times New Roman"/>
          <w:i/>
          <w:iCs/>
          <w:sz w:val="28"/>
          <w:szCs w:val="28"/>
          <w:lang w:val="en-US"/>
        </w:rPr>
      </w:pPr>
      <w:r w:rsidRPr="00244343">
        <w:rPr>
          <w:rFonts w:ascii="Times New Roman" w:hAnsi="Times New Roman" w:cs="Times New Roman"/>
          <w:i/>
          <w:iCs/>
          <w:sz w:val="28"/>
          <w:szCs w:val="28"/>
          <w:lang w:val="en-US"/>
        </w:rPr>
        <w:t>9Instrument for Data Acquisition</w:t>
      </w:r>
    </w:p>
    <w:p w14:paraId="0DC2F195" w14:textId="77777777" w:rsidR="00600C79" w:rsidRPr="00244343" w:rsidRDefault="00600C79" w:rsidP="00600C79">
      <w:pPr>
        <w:spacing w:after="0" w:line="240" w:lineRule="auto"/>
        <w:ind w:firstLine="720"/>
        <w:contextualSpacing/>
        <w:jc w:val="both"/>
        <w:rPr>
          <w:rFonts w:ascii="Times New Roman" w:hAnsi="Times New Roman" w:cs="Times New Roman"/>
          <w:i/>
          <w:iCs/>
          <w:sz w:val="28"/>
          <w:szCs w:val="28"/>
          <w:lang w:val="en-US"/>
        </w:rPr>
      </w:pPr>
      <w:r w:rsidRPr="00244343">
        <w:rPr>
          <w:rFonts w:ascii="Times New Roman" w:hAnsi="Times New Roman" w:cs="Times New Roman"/>
          <w:i/>
          <w:iCs/>
          <w:sz w:val="28"/>
          <w:szCs w:val="28"/>
          <w:lang w:val="en-US"/>
        </w:rPr>
        <w:t>University Environmental Survey</w:t>
      </w:r>
    </w:p>
    <w:p w14:paraId="0ABAA0BF" w14:textId="52ECACC0"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It was employed as a criterion to assess whether the collegiate environment of the participants promotes entrepreneurial pursuits. Franke and </w:t>
      </w:r>
      <w:proofErr w:type="spellStart"/>
      <w:r w:rsidRPr="00244343">
        <w:rPr>
          <w:rFonts w:ascii="Times New Roman" w:hAnsi="Times New Roman" w:cs="Times New Roman"/>
          <w:sz w:val="28"/>
          <w:szCs w:val="28"/>
          <w:lang w:val="en-US"/>
        </w:rPr>
        <w:t>Lüthje's</w:t>
      </w:r>
      <w:proofErr w:type="spellEnd"/>
      <w:r w:rsidRPr="00244343">
        <w:rPr>
          <w:rFonts w:ascii="Times New Roman" w:hAnsi="Times New Roman" w:cs="Times New Roman"/>
          <w:sz w:val="28"/>
          <w:szCs w:val="28"/>
          <w:lang w:val="en-US"/>
        </w:rPr>
        <w:t xml:space="preserve"> [</w:t>
      </w:r>
      <w:r w:rsidR="00DC4638">
        <w:rPr>
          <w:rFonts w:ascii="Times New Roman" w:hAnsi="Times New Roman" w:cs="Times New Roman"/>
          <w:sz w:val="28"/>
          <w:szCs w:val="28"/>
          <w:lang w:val="kk-KZ"/>
        </w:rPr>
        <w:t>208</w:t>
      </w:r>
      <w:r w:rsidRPr="00244343">
        <w:rPr>
          <w:rFonts w:ascii="Times New Roman" w:hAnsi="Times New Roman" w:cs="Times New Roman"/>
          <w:sz w:val="28"/>
          <w:szCs w:val="28"/>
          <w:lang w:val="en-US"/>
        </w:rPr>
        <w:t>] research served as the foundation for the questionnaire. The scale comprises three questions, each offering seven potential responses from "not at all" to "very much." Assessments of the sample's reliability and accuracy were conducted. A confirmatory factor analysis was determined to be conducted on the scale. The confirmatory factor analysis results prove the scale is structurally valid (CFI = 1, TLI = 1.00, SRMR =.01, RMSEA = .01, Cronbach's alpha = .886, composite reliability = .891).</w:t>
      </w:r>
    </w:p>
    <w:p w14:paraId="34B57B08" w14:textId="77777777" w:rsidR="00600C79" w:rsidRPr="00244343" w:rsidRDefault="00600C79" w:rsidP="00600C79">
      <w:pPr>
        <w:spacing w:after="0" w:line="240" w:lineRule="auto"/>
        <w:ind w:firstLine="720"/>
        <w:contextualSpacing/>
        <w:jc w:val="both"/>
        <w:rPr>
          <w:rFonts w:ascii="Times New Roman" w:hAnsi="Times New Roman" w:cs="Times New Roman"/>
          <w:i/>
          <w:iCs/>
          <w:sz w:val="28"/>
          <w:szCs w:val="28"/>
          <w:lang w:val="en-US"/>
        </w:rPr>
      </w:pPr>
      <w:r w:rsidRPr="00244343">
        <w:rPr>
          <w:rFonts w:ascii="Times New Roman" w:hAnsi="Times New Roman" w:cs="Times New Roman"/>
          <w:i/>
          <w:iCs/>
          <w:sz w:val="28"/>
          <w:szCs w:val="28"/>
          <w:lang w:val="en-US"/>
        </w:rPr>
        <w:t>Program Learning Questionnaire</w:t>
      </w:r>
    </w:p>
    <w:p w14:paraId="313DABDD" w14:textId="1CD5D483"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Program Learning Assessment was employed to assess whether the academic programs at the colleges and institutions attended by the participants fostered entrepreneurial initiatives. The renowned researchers </w:t>
      </w:r>
      <w:proofErr w:type="spellStart"/>
      <w:r w:rsidRPr="00244343">
        <w:rPr>
          <w:rFonts w:ascii="Times New Roman" w:hAnsi="Times New Roman" w:cs="Times New Roman"/>
          <w:sz w:val="28"/>
          <w:szCs w:val="28"/>
          <w:lang w:val="en-US"/>
        </w:rPr>
        <w:t>Souitaris</w:t>
      </w:r>
      <w:proofErr w:type="spellEnd"/>
      <w:r w:rsidRPr="00244343">
        <w:rPr>
          <w:rFonts w:ascii="Times New Roman" w:hAnsi="Times New Roman" w:cs="Times New Roman"/>
          <w:sz w:val="28"/>
          <w:szCs w:val="28"/>
          <w:lang w:val="en-US"/>
        </w:rPr>
        <w:t xml:space="preserve"> et al. [</w:t>
      </w:r>
      <w:r w:rsidR="00DC4638">
        <w:rPr>
          <w:rFonts w:ascii="Times New Roman" w:hAnsi="Times New Roman" w:cs="Times New Roman"/>
          <w:sz w:val="28"/>
          <w:szCs w:val="28"/>
          <w:lang w:val="kk-KZ"/>
        </w:rPr>
        <w:t>209</w:t>
      </w:r>
      <w:r w:rsidRPr="00244343">
        <w:rPr>
          <w:rFonts w:ascii="Times New Roman" w:hAnsi="Times New Roman" w:cs="Times New Roman"/>
          <w:sz w:val="28"/>
          <w:szCs w:val="28"/>
          <w:lang w:val="en-US"/>
        </w:rPr>
        <w:t>] used their research as the direct source for the questionnaire items. The scale consists of five unique questions, each of which can be responded to with one of seven possible answers, ranging from "not at all" to "very much." Experts in the field led a study to evaluate the reliability and validity of this sample. The confirmatory factor analysis results (CFI = 1, TLI = 1, SRMR =.00211, RMSEA.001, Cronbach's alpha =.937, and composite reliability =.938) show that the scale is structurally valid.</w:t>
      </w:r>
    </w:p>
    <w:p w14:paraId="25F6FB7A" w14:textId="77777777" w:rsidR="00600C79" w:rsidRPr="00244343" w:rsidRDefault="00600C79" w:rsidP="00600C79">
      <w:pPr>
        <w:spacing w:after="0" w:line="240" w:lineRule="auto"/>
        <w:ind w:firstLine="720"/>
        <w:contextualSpacing/>
        <w:jc w:val="both"/>
        <w:rPr>
          <w:rFonts w:ascii="Times New Roman" w:hAnsi="Times New Roman" w:cs="Times New Roman"/>
          <w:i/>
          <w:iCs/>
          <w:sz w:val="28"/>
          <w:szCs w:val="28"/>
          <w:lang w:val="en-US"/>
        </w:rPr>
      </w:pPr>
      <w:r w:rsidRPr="00244343">
        <w:rPr>
          <w:rFonts w:ascii="Times New Roman" w:hAnsi="Times New Roman" w:cs="Times New Roman"/>
          <w:i/>
          <w:iCs/>
          <w:sz w:val="28"/>
          <w:szCs w:val="28"/>
          <w:lang w:val="en-US"/>
        </w:rPr>
        <w:t>Entrepreneurial Self-Efficacy Assessment</w:t>
      </w:r>
    </w:p>
    <w:p w14:paraId="0F1A4805"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entrepreneurial self-efficacy scale was employed to evaluate the participants' entrepreneurial self-efficacy. Recent survey questions are incorporated. Zhao et al. (2005). The confidence level was established at .78. Each element on the scale offers seven potential responses, ranging from "very low competence" to "very high competence." A validity and reliability analysis </w:t>
      </w:r>
      <w:proofErr w:type="gramStart"/>
      <w:r w:rsidRPr="00244343">
        <w:rPr>
          <w:rFonts w:ascii="Times New Roman" w:hAnsi="Times New Roman" w:cs="Times New Roman"/>
          <w:sz w:val="28"/>
          <w:szCs w:val="28"/>
          <w:lang w:val="en-US"/>
        </w:rPr>
        <w:t>was</w:t>
      </w:r>
      <w:proofErr w:type="gramEnd"/>
      <w:r w:rsidRPr="00244343">
        <w:rPr>
          <w:rFonts w:ascii="Times New Roman" w:hAnsi="Times New Roman" w:cs="Times New Roman"/>
          <w:sz w:val="28"/>
          <w:szCs w:val="28"/>
          <w:lang w:val="en-US"/>
        </w:rPr>
        <w:t xml:space="preserve"> conducted for this sample. Confirmatory factor analysis (CFI =.997, TLI =.992, SRMR =.00814, RMSEA =.0513, Cronbach's alpha =.954, composite reliability =.954) provides evidence that the scale is structurally valid.</w:t>
      </w:r>
    </w:p>
    <w:p w14:paraId="7E49B357" w14:textId="77777777" w:rsidR="00600C79" w:rsidRPr="00244343" w:rsidRDefault="00600C79" w:rsidP="00600C79">
      <w:pPr>
        <w:spacing w:after="0" w:line="240" w:lineRule="auto"/>
        <w:ind w:firstLine="720"/>
        <w:contextualSpacing/>
        <w:jc w:val="both"/>
        <w:rPr>
          <w:rFonts w:ascii="Times New Roman" w:hAnsi="Times New Roman" w:cs="Times New Roman"/>
          <w:i/>
          <w:iCs/>
          <w:sz w:val="28"/>
          <w:szCs w:val="28"/>
          <w:lang w:val="en-US"/>
        </w:rPr>
      </w:pPr>
      <w:r w:rsidRPr="00244343">
        <w:rPr>
          <w:rFonts w:ascii="Times New Roman" w:hAnsi="Times New Roman" w:cs="Times New Roman"/>
          <w:i/>
          <w:iCs/>
          <w:sz w:val="28"/>
          <w:szCs w:val="28"/>
          <w:lang w:val="en-US"/>
        </w:rPr>
        <w:t>Questionnaire on Locus of Control</w:t>
      </w:r>
    </w:p>
    <w:p w14:paraId="6C721467" w14:textId="30E0177A"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Levenson's research in 1973 [</w:t>
      </w:r>
      <w:r w:rsidR="00DC4638">
        <w:rPr>
          <w:rFonts w:ascii="Times New Roman" w:hAnsi="Times New Roman" w:cs="Times New Roman"/>
          <w:sz w:val="28"/>
          <w:szCs w:val="28"/>
          <w:lang w:val="kk-KZ"/>
        </w:rPr>
        <w:t>210</w:t>
      </w:r>
      <w:r w:rsidRPr="00244343">
        <w:rPr>
          <w:rFonts w:ascii="Times New Roman" w:hAnsi="Times New Roman" w:cs="Times New Roman"/>
          <w:sz w:val="28"/>
          <w:szCs w:val="28"/>
          <w:lang w:val="en-US"/>
        </w:rPr>
        <w:t xml:space="preserve">] utilized items to assess the level of internal control among participants. A validity and reliability analysis </w:t>
      </w:r>
      <w:proofErr w:type="gramStart"/>
      <w:r w:rsidRPr="00244343">
        <w:rPr>
          <w:rFonts w:ascii="Times New Roman" w:hAnsi="Times New Roman" w:cs="Times New Roman"/>
          <w:sz w:val="28"/>
          <w:szCs w:val="28"/>
          <w:lang w:val="en-US"/>
        </w:rPr>
        <w:t>was</w:t>
      </w:r>
      <w:proofErr w:type="gramEnd"/>
      <w:r w:rsidRPr="00244343">
        <w:rPr>
          <w:rFonts w:ascii="Times New Roman" w:hAnsi="Times New Roman" w:cs="Times New Roman"/>
          <w:sz w:val="28"/>
          <w:szCs w:val="28"/>
          <w:lang w:val="en-US"/>
        </w:rPr>
        <w:t xml:space="preserve"> conducted for this sample. Each of the three items on the scale has seven potential responses, ranging from "strongly disagree" to "strongly agree." The scale is structurally valid, evidenced by confirmatory factor analysis (CFI = 1, TLI = 1, SRMR = .001, RMSEA = .001, Cronbach's alpha = .847, composite reliability = .859).</w:t>
      </w:r>
    </w:p>
    <w:p w14:paraId="6F85A0BC" w14:textId="77777777" w:rsidR="00600C79" w:rsidRPr="00244343" w:rsidRDefault="00600C79" w:rsidP="00600C79">
      <w:pPr>
        <w:spacing w:after="0" w:line="240" w:lineRule="auto"/>
        <w:ind w:firstLine="720"/>
        <w:contextualSpacing/>
        <w:jc w:val="both"/>
        <w:rPr>
          <w:rFonts w:ascii="Times New Roman" w:hAnsi="Times New Roman" w:cs="Times New Roman"/>
          <w:i/>
          <w:iCs/>
          <w:sz w:val="28"/>
          <w:szCs w:val="28"/>
          <w:lang w:val="en-US"/>
        </w:rPr>
      </w:pPr>
      <w:r w:rsidRPr="00244343">
        <w:rPr>
          <w:rFonts w:ascii="Times New Roman" w:hAnsi="Times New Roman" w:cs="Times New Roman"/>
          <w:i/>
          <w:iCs/>
          <w:sz w:val="28"/>
          <w:szCs w:val="28"/>
          <w:lang w:val="en-US"/>
        </w:rPr>
        <w:t>Questionnaire on Entrepreneurial Intentions and Attitudes</w:t>
      </w:r>
    </w:p>
    <w:p w14:paraId="74744D19" w14:textId="2BFC431C"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assessment, comprehensive in nature, was founded on the participants' goals and perspectives toward entrepreneurship. The scale items were derived from </w:t>
      </w:r>
      <w:r w:rsidRPr="00244343">
        <w:rPr>
          <w:rFonts w:ascii="Times New Roman" w:hAnsi="Times New Roman" w:cs="Times New Roman"/>
          <w:sz w:val="28"/>
          <w:szCs w:val="28"/>
          <w:lang w:val="en-US"/>
        </w:rPr>
        <w:lastRenderedPageBreak/>
        <w:t xml:space="preserve">the research conducted by </w:t>
      </w:r>
      <w:proofErr w:type="spellStart"/>
      <w:r w:rsidRPr="00244343">
        <w:rPr>
          <w:rFonts w:ascii="Times New Roman" w:hAnsi="Times New Roman" w:cs="Times New Roman"/>
          <w:sz w:val="28"/>
          <w:szCs w:val="28"/>
          <w:lang w:val="en-US"/>
        </w:rPr>
        <w:t>Liñán</w:t>
      </w:r>
      <w:proofErr w:type="spellEnd"/>
      <w:r w:rsidRPr="00244343">
        <w:rPr>
          <w:rFonts w:ascii="Times New Roman" w:hAnsi="Times New Roman" w:cs="Times New Roman"/>
          <w:sz w:val="28"/>
          <w:szCs w:val="28"/>
          <w:lang w:val="en-US"/>
        </w:rPr>
        <w:t xml:space="preserve"> and Chen in 2009 [</w:t>
      </w:r>
      <w:r w:rsidR="008748D1" w:rsidRPr="008748D1">
        <w:rPr>
          <w:rFonts w:ascii="Times New Roman" w:hAnsi="Times New Roman" w:cs="Times New Roman"/>
          <w:sz w:val="28"/>
          <w:szCs w:val="28"/>
          <w:lang w:val="en-US"/>
        </w:rPr>
        <w:t>211</w:t>
      </w:r>
      <w:r w:rsidRPr="00244343">
        <w:rPr>
          <w:rFonts w:ascii="Times New Roman" w:hAnsi="Times New Roman" w:cs="Times New Roman"/>
          <w:sz w:val="28"/>
          <w:szCs w:val="28"/>
          <w:lang w:val="en-US"/>
        </w:rPr>
        <w:t>]. A validity and reliability analysis, equally comprehensive, was conducted for this sample. Each of the eleven items on the scale has seven possible responses, ranging from "strongly disagree" to "strongly agree". Confirmatory factor analysis results (CFI =.986, TLI =.977, SRMR =.0218, RMSEA =.961, Cronbach's alpha =.961, and composite reliability =.961) show that the scale has structural utility.</w:t>
      </w:r>
    </w:p>
    <w:p w14:paraId="2CBE9B37" w14:textId="01B571CE"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structural equation model evaluated the model's validity and hypotheses. The analysis was conducted using </w:t>
      </w:r>
      <w:proofErr w:type="spellStart"/>
      <w:r w:rsidRPr="00244343">
        <w:rPr>
          <w:rFonts w:ascii="Times New Roman" w:hAnsi="Times New Roman" w:cs="Times New Roman"/>
          <w:sz w:val="28"/>
          <w:szCs w:val="28"/>
          <w:lang w:val="en-US"/>
        </w:rPr>
        <w:t>Jamovi</w:t>
      </w:r>
      <w:proofErr w:type="spellEnd"/>
      <w:r w:rsidRPr="00244343">
        <w:rPr>
          <w:rFonts w:ascii="Times New Roman" w:hAnsi="Times New Roman" w:cs="Times New Roman"/>
          <w:sz w:val="28"/>
          <w:szCs w:val="28"/>
          <w:lang w:val="en-US"/>
        </w:rPr>
        <w:t xml:space="preserve"> software [</w:t>
      </w:r>
      <w:r w:rsidR="00EC52F2">
        <w:rPr>
          <w:rFonts w:ascii="Times New Roman" w:hAnsi="Times New Roman" w:cs="Times New Roman"/>
          <w:sz w:val="28"/>
          <w:szCs w:val="28"/>
          <w:lang w:val="en-US"/>
        </w:rPr>
        <w:t>6</w:t>
      </w:r>
      <w:r w:rsidRPr="00244343">
        <w:rPr>
          <w:rFonts w:ascii="Times New Roman" w:hAnsi="Times New Roman" w:cs="Times New Roman"/>
          <w:sz w:val="28"/>
          <w:szCs w:val="28"/>
          <w:lang w:val="en-US"/>
        </w:rPr>
        <w:t>]. The model fit indices (χ2/df, CFI, TLI, NFI, IFI, SRMR, and RMSE) were initially examined. χ2 /df must be less than .50. CFI, TLI, NFI, and IFI must exceed 0.90. SRMR must be less than 0.1, and RMSE must be less than 0.08 [</w:t>
      </w:r>
      <w:r w:rsidR="008748D1" w:rsidRPr="008748D1">
        <w:rPr>
          <w:rFonts w:ascii="Times New Roman" w:hAnsi="Times New Roman" w:cs="Times New Roman"/>
          <w:sz w:val="28"/>
          <w:szCs w:val="28"/>
          <w:lang w:val="en-US"/>
        </w:rPr>
        <w:t>212</w:t>
      </w:r>
      <w:r w:rsidRPr="00244343">
        <w:rPr>
          <w:rFonts w:ascii="Times New Roman" w:hAnsi="Times New Roman" w:cs="Times New Roman"/>
          <w:sz w:val="28"/>
          <w:szCs w:val="28"/>
          <w:lang w:val="en-US"/>
        </w:rPr>
        <w:t>]. The software's covariance, deemed inadequate, was re-evaluated following modifications. The model was approved upon attaining the critical threshold. Subsequently, an evaluation was conducted to determine the validity of the hypotheses.</w:t>
      </w:r>
    </w:p>
    <w:p w14:paraId="0E62857D" w14:textId="60B780D6" w:rsidR="00600C79" w:rsidRDefault="00600C79" w:rsidP="00267B0C">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Prior to model testing, the correlation coefficients among variables were analyzed. A link between the variables is expected, but the strength of this relationship should not exceed .90 [</w:t>
      </w:r>
      <w:r w:rsidR="008748D1" w:rsidRPr="008748D1">
        <w:rPr>
          <w:rFonts w:ascii="Times New Roman" w:hAnsi="Times New Roman" w:cs="Times New Roman"/>
          <w:sz w:val="28"/>
          <w:szCs w:val="28"/>
          <w:lang w:val="en-US"/>
        </w:rPr>
        <w:t>213</w:t>
      </w:r>
      <w:r w:rsidRPr="00244343">
        <w:rPr>
          <w:rFonts w:ascii="Times New Roman" w:hAnsi="Times New Roman" w:cs="Times New Roman"/>
          <w:sz w:val="28"/>
          <w:szCs w:val="28"/>
          <w:lang w:val="en-US"/>
        </w:rPr>
        <w:t>]. Table</w:t>
      </w:r>
      <w:r w:rsidR="009E451C">
        <w:rPr>
          <w:rFonts w:ascii="Times New Roman" w:hAnsi="Times New Roman" w:cs="Times New Roman"/>
          <w:sz w:val="28"/>
          <w:szCs w:val="28"/>
          <w:lang w:val="en-US"/>
        </w:rPr>
        <w:t xml:space="preserve"> 9</w:t>
      </w:r>
      <w:r w:rsidRPr="00244343">
        <w:rPr>
          <w:rFonts w:ascii="Times New Roman" w:hAnsi="Times New Roman" w:cs="Times New Roman"/>
          <w:sz w:val="28"/>
          <w:szCs w:val="28"/>
          <w:lang w:val="en-US"/>
        </w:rPr>
        <w:t xml:space="preserve"> illustrates that the correlation coefficients among the variables are significant, ranging from .151 to .803.</w:t>
      </w:r>
    </w:p>
    <w:p w14:paraId="781BA00C" w14:textId="77777777" w:rsidR="000D142C" w:rsidRPr="00244343" w:rsidRDefault="000D142C" w:rsidP="00267B0C">
      <w:pPr>
        <w:spacing w:after="0" w:line="240" w:lineRule="auto"/>
        <w:ind w:firstLine="720"/>
        <w:contextualSpacing/>
        <w:jc w:val="both"/>
        <w:rPr>
          <w:rFonts w:ascii="Times New Roman" w:hAnsi="Times New Roman" w:cs="Times New Roman"/>
          <w:sz w:val="28"/>
          <w:szCs w:val="28"/>
          <w:lang w:val="en-US"/>
        </w:rPr>
      </w:pPr>
    </w:p>
    <w:p w14:paraId="74A7B83E" w14:textId="0FD2DA54" w:rsidR="00600C79" w:rsidRPr="00244343" w:rsidRDefault="00600C79" w:rsidP="00600C79">
      <w:pPr>
        <w:spacing w:after="0" w:line="240" w:lineRule="auto"/>
        <w:ind w:firstLine="720"/>
        <w:contextualSpacing/>
        <w:rPr>
          <w:rFonts w:ascii="Times New Roman" w:hAnsi="Times New Roman" w:cs="Times New Roman"/>
          <w:iCs/>
          <w:sz w:val="28"/>
          <w:szCs w:val="28"/>
          <w:lang w:val="en-US"/>
        </w:rPr>
      </w:pPr>
      <w:r w:rsidRPr="00244343">
        <w:rPr>
          <w:rFonts w:ascii="Times New Roman" w:hAnsi="Times New Roman" w:cs="Times New Roman"/>
          <w:iCs/>
          <w:sz w:val="28"/>
          <w:szCs w:val="28"/>
          <w:lang w:val="en-US"/>
        </w:rPr>
        <w:t xml:space="preserve">Table </w:t>
      </w:r>
      <w:r w:rsidR="009E451C">
        <w:rPr>
          <w:rFonts w:ascii="Times New Roman" w:hAnsi="Times New Roman" w:cs="Times New Roman"/>
          <w:iCs/>
          <w:sz w:val="28"/>
          <w:szCs w:val="28"/>
          <w:lang w:val="en-US"/>
        </w:rPr>
        <w:t>9</w:t>
      </w:r>
      <w:r w:rsidRPr="00244343">
        <w:rPr>
          <w:rFonts w:ascii="Times New Roman" w:hAnsi="Times New Roman" w:cs="Times New Roman"/>
          <w:iCs/>
          <w:sz w:val="28"/>
          <w:szCs w:val="28"/>
          <w:lang w:val="en-US"/>
        </w:rPr>
        <w:t xml:space="preserve"> </w:t>
      </w:r>
      <w:r w:rsidR="00586F64" w:rsidRPr="00DD6EA3">
        <w:rPr>
          <w:rFonts w:ascii="Times New Roman" w:hAnsi="Times New Roman" w:cs="Times New Roman"/>
          <w:iCs/>
          <w:sz w:val="28"/>
          <w:szCs w:val="28"/>
          <w:lang w:val="en-US"/>
        </w:rPr>
        <w:t>–</w:t>
      </w:r>
      <w:r w:rsidRPr="00244343">
        <w:rPr>
          <w:rFonts w:ascii="Times New Roman" w:hAnsi="Times New Roman" w:cs="Times New Roman"/>
          <w:iCs/>
          <w:sz w:val="28"/>
          <w:szCs w:val="28"/>
          <w:lang w:val="en-US"/>
        </w:rPr>
        <w:t xml:space="preserve"> Correlation Among the Variables</w:t>
      </w:r>
    </w:p>
    <w:p w14:paraId="61540654" w14:textId="77777777" w:rsidR="00600C79" w:rsidRPr="00244343" w:rsidRDefault="00600C79" w:rsidP="00600C79">
      <w:pPr>
        <w:spacing w:after="0" w:line="240" w:lineRule="auto"/>
        <w:ind w:firstLine="720"/>
        <w:contextualSpacing/>
        <w:rPr>
          <w:rFonts w:ascii="Times New Roman" w:hAnsi="Times New Roman" w:cs="Times New Roman"/>
          <w:iCs/>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854"/>
        <w:gridCol w:w="706"/>
        <w:gridCol w:w="1126"/>
        <w:gridCol w:w="1126"/>
        <w:gridCol w:w="1126"/>
        <w:gridCol w:w="1126"/>
        <w:gridCol w:w="1126"/>
      </w:tblGrid>
      <w:tr w:rsidR="00600C79" w:rsidRPr="00B904E0" w14:paraId="0953305E" w14:textId="77777777" w:rsidTr="006F2E30">
        <w:trPr>
          <w:trHeight w:val="481"/>
          <w:jc w:val="center"/>
        </w:trPr>
        <w:tc>
          <w:tcPr>
            <w:tcW w:w="2154" w:type="dxa"/>
            <w:shd w:val="clear" w:color="auto" w:fill="auto"/>
          </w:tcPr>
          <w:p w14:paraId="6F839C41"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Descriptive</w:t>
            </w:r>
          </w:p>
        </w:tc>
        <w:tc>
          <w:tcPr>
            <w:tcW w:w="854" w:type="dxa"/>
            <w:shd w:val="clear" w:color="auto" w:fill="auto"/>
          </w:tcPr>
          <w:p w14:paraId="270E5E5A"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Mean</w:t>
            </w:r>
          </w:p>
        </w:tc>
        <w:tc>
          <w:tcPr>
            <w:tcW w:w="0" w:type="auto"/>
            <w:shd w:val="clear" w:color="auto" w:fill="auto"/>
          </w:tcPr>
          <w:p w14:paraId="6D467C88"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SD</w:t>
            </w:r>
          </w:p>
        </w:tc>
        <w:tc>
          <w:tcPr>
            <w:tcW w:w="1126" w:type="dxa"/>
            <w:shd w:val="clear" w:color="auto" w:fill="auto"/>
          </w:tcPr>
          <w:p w14:paraId="44246571"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1</w:t>
            </w:r>
          </w:p>
        </w:tc>
        <w:tc>
          <w:tcPr>
            <w:tcW w:w="1126" w:type="dxa"/>
            <w:shd w:val="clear" w:color="auto" w:fill="auto"/>
          </w:tcPr>
          <w:p w14:paraId="43547997"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2</w:t>
            </w:r>
          </w:p>
        </w:tc>
        <w:tc>
          <w:tcPr>
            <w:tcW w:w="1126" w:type="dxa"/>
            <w:shd w:val="clear" w:color="auto" w:fill="auto"/>
          </w:tcPr>
          <w:p w14:paraId="1AC97205"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3</w:t>
            </w:r>
          </w:p>
        </w:tc>
        <w:tc>
          <w:tcPr>
            <w:tcW w:w="1126" w:type="dxa"/>
            <w:shd w:val="clear" w:color="auto" w:fill="auto"/>
          </w:tcPr>
          <w:p w14:paraId="3D27ED54"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4</w:t>
            </w:r>
          </w:p>
        </w:tc>
        <w:tc>
          <w:tcPr>
            <w:tcW w:w="1126" w:type="dxa"/>
            <w:shd w:val="clear" w:color="auto" w:fill="auto"/>
          </w:tcPr>
          <w:p w14:paraId="3FC87C3E"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5</w:t>
            </w:r>
          </w:p>
        </w:tc>
      </w:tr>
      <w:tr w:rsidR="00600C79" w:rsidRPr="00B904E0" w14:paraId="2F332A16" w14:textId="77777777" w:rsidTr="006F2E30">
        <w:trPr>
          <w:trHeight w:val="428"/>
          <w:jc w:val="center"/>
        </w:trPr>
        <w:tc>
          <w:tcPr>
            <w:tcW w:w="2154" w:type="dxa"/>
            <w:shd w:val="clear" w:color="auto" w:fill="auto"/>
            <w:hideMark/>
          </w:tcPr>
          <w:p w14:paraId="57733175"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1-Intention</w:t>
            </w:r>
          </w:p>
        </w:tc>
        <w:tc>
          <w:tcPr>
            <w:tcW w:w="854" w:type="dxa"/>
            <w:shd w:val="clear" w:color="auto" w:fill="auto"/>
            <w:hideMark/>
          </w:tcPr>
          <w:p w14:paraId="793D2EE4"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4.20</w:t>
            </w:r>
          </w:p>
        </w:tc>
        <w:tc>
          <w:tcPr>
            <w:tcW w:w="0" w:type="auto"/>
            <w:shd w:val="clear" w:color="auto" w:fill="auto"/>
            <w:hideMark/>
          </w:tcPr>
          <w:p w14:paraId="3B3CD56B"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1.77</w:t>
            </w:r>
          </w:p>
        </w:tc>
        <w:tc>
          <w:tcPr>
            <w:tcW w:w="1126" w:type="dxa"/>
            <w:shd w:val="clear" w:color="auto" w:fill="auto"/>
          </w:tcPr>
          <w:p w14:paraId="27D435A0" w14:textId="77777777" w:rsidR="00600C79" w:rsidRPr="00B904E0" w:rsidRDefault="00600C79" w:rsidP="004730AE">
            <w:pPr>
              <w:pStyle w:val="af"/>
              <w:rPr>
                <w:rFonts w:ascii="Times New Roman" w:hAnsi="Times New Roman" w:cs="Times New Roman"/>
                <w:sz w:val="28"/>
                <w:szCs w:val="28"/>
                <w:lang w:val="en-US"/>
              </w:rPr>
            </w:pPr>
          </w:p>
        </w:tc>
        <w:tc>
          <w:tcPr>
            <w:tcW w:w="1126" w:type="dxa"/>
            <w:shd w:val="clear" w:color="auto" w:fill="auto"/>
            <w:hideMark/>
          </w:tcPr>
          <w:p w14:paraId="131A071B" w14:textId="77777777" w:rsidR="00600C79" w:rsidRPr="00B904E0" w:rsidRDefault="00600C79" w:rsidP="004730AE">
            <w:pPr>
              <w:pStyle w:val="af"/>
              <w:rPr>
                <w:rFonts w:ascii="Times New Roman" w:hAnsi="Times New Roman" w:cs="Times New Roman"/>
                <w:sz w:val="28"/>
                <w:szCs w:val="28"/>
                <w:lang w:val="en-US"/>
              </w:rPr>
            </w:pPr>
          </w:p>
        </w:tc>
        <w:tc>
          <w:tcPr>
            <w:tcW w:w="1126" w:type="dxa"/>
            <w:shd w:val="clear" w:color="auto" w:fill="auto"/>
          </w:tcPr>
          <w:p w14:paraId="688F5153" w14:textId="77777777" w:rsidR="00600C79" w:rsidRPr="00B904E0" w:rsidRDefault="00600C79" w:rsidP="004730AE">
            <w:pPr>
              <w:pStyle w:val="af"/>
              <w:rPr>
                <w:rFonts w:ascii="Times New Roman" w:hAnsi="Times New Roman" w:cs="Times New Roman"/>
                <w:sz w:val="28"/>
                <w:szCs w:val="28"/>
                <w:lang w:val="en-US"/>
              </w:rPr>
            </w:pPr>
          </w:p>
        </w:tc>
        <w:tc>
          <w:tcPr>
            <w:tcW w:w="1126" w:type="dxa"/>
            <w:shd w:val="clear" w:color="auto" w:fill="auto"/>
          </w:tcPr>
          <w:p w14:paraId="5D2FD809" w14:textId="77777777" w:rsidR="00600C79" w:rsidRPr="00B904E0" w:rsidRDefault="00600C79" w:rsidP="004730AE">
            <w:pPr>
              <w:pStyle w:val="af"/>
              <w:rPr>
                <w:rFonts w:ascii="Times New Roman" w:hAnsi="Times New Roman" w:cs="Times New Roman"/>
                <w:sz w:val="28"/>
                <w:szCs w:val="28"/>
                <w:lang w:val="en-US"/>
              </w:rPr>
            </w:pPr>
          </w:p>
        </w:tc>
        <w:tc>
          <w:tcPr>
            <w:tcW w:w="1126" w:type="dxa"/>
            <w:shd w:val="clear" w:color="auto" w:fill="auto"/>
          </w:tcPr>
          <w:p w14:paraId="0F7FA6EA" w14:textId="77777777" w:rsidR="00600C79" w:rsidRPr="00B904E0" w:rsidRDefault="00600C79" w:rsidP="004730AE">
            <w:pPr>
              <w:pStyle w:val="af"/>
              <w:rPr>
                <w:rFonts w:ascii="Times New Roman" w:hAnsi="Times New Roman" w:cs="Times New Roman"/>
                <w:sz w:val="28"/>
                <w:szCs w:val="28"/>
                <w:lang w:val="en-US"/>
              </w:rPr>
            </w:pPr>
          </w:p>
        </w:tc>
      </w:tr>
      <w:tr w:rsidR="00600C79" w:rsidRPr="00B904E0" w14:paraId="66F14C6E" w14:textId="77777777" w:rsidTr="006F2E30">
        <w:trPr>
          <w:trHeight w:val="517"/>
          <w:jc w:val="center"/>
        </w:trPr>
        <w:tc>
          <w:tcPr>
            <w:tcW w:w="2154" w:type="dxa"/>
            <w:shd w:val="clear" w:color="auto" w:fill="auto"/>
            <w:hideMark/>
          </w:tcPr>
          <w:p w14:paraId="58E267FB"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2-Attitutes</w:t>
            </w:r>
          </w:p>
        </w:tc>
        <w:tc>
          <w:tcPr>
            <w:tcW w:w="854" w:type="dxa"/>
            <w:shd w:val="clear" w:color="auto" w:fill="auto"/>
            <w:hideMark/>
          </w:tcPr>
          <w:p w14:paraId="00BBE7CC"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4.56</w:t>
            </w:r>
          </w:p>
        </w:tc>
        <w:tc>
          <w:tcPr>
            <w:tcW w:w="0" w:type="auto"/>
            <w:shd w:val="clear" w:color="auto" w:fill="auto"/>
            <w:hideMark/>
          </w:tcPr>
          <w:p w14:paraId="43B827E5"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1.69</w:t>
            </w:r>
          </w:p>
        </w:tc>
        <w:tc>
          <w:tcPr>
            <w:tcW w:w="1126" w:type="dxa"/>
            <w:shd w:val="clear" w:color="auto" w:fill="auto"/>
          </w:tcPr>
          <w:p w14:paraId="0ADF4B2C"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.803***</w:t>
            </w:r>
          </w:p>
        </w:tc>
        <w:tc>
          <w:tcPr>
            <w:tcW w:w="1126" w:type="dxa"/>
            <w:shd w:val="clear" w:color="auto" w:fill="auto"/>
            <w:hideMark/>
          </w:tcPr>
          <w:p w14:paraId="335380CC" w14:textId="77777777" w:rsidR="00600C79" w:rsidRPr="00B904E0" w:rsidRDefault="00600C79" w:rsidP="004730AE">
            <w:pPr>
              <w:pStyle w:val="af"/>
              <w:rPr>
                <w:rFonts w:ascii="Times New Roman" w:hAnsi="Times New Roman" w:cs="Times New Roman"/>
                <w:sz w:val="28"/>
                <w:szCs w:val="28"/>
                <w:lang w:val="en-US"/>
              </w:rPr>
            </w:pPr>
          </w:p>
        </w:tc>
        <w:tc>
          <w:tcPr>
            <w:tcW w:w="1126" w:type="dxa"/>
            <w:shd w:val="clear" w:color="auto" w:fill="auto"/>
          </w:tcPr>
          <w:p w14:paraId="2580D339" w14:textId="77777777" w:rsidR="00600C79" w:rsidRPr="00B904E0" w:rsidRDefault="00600C79" w:rsidP="004730AE">
            <w:pPr>
              <w:pStyle w:val="af"/>
              <w:rPr>
                <w:rFonts w:ascii="Times New Roman" w:hAnsi="Times New Roman" w:cs="Times New Roman"/>
                <w:sz w:val="28"/>
                <w:szCs w:val="28"/>
                <w:lang w:val="en-US"/>
              </w:rPr>
            </w:pPr>
          </w:p>
        </w:tc>
        <w:tc>
          <w:tcPr>
            <w:tcW w:w="1126" w:type="dxa"/>
            <w:shd w:val="clear" w:color="auto" w:fill="auto"/>
          </w:tcPr>
          <w:p w14:paraId="5A3405A0" w14:textId="77777777" w:rsidR="00600C79" w:rsidRPr="00B904E0" w:rsidRDefault="00600C79" w:rsidP="004730AE">
            <w:pPr>
              <w:pStyle w:val="af"/>
              <w:rPr>
                <w:rFonts w:ascii="Times New Roman" w:hAnsi="Times New Roman" w:cs="Times New Roman"/>
                <w:sz w:val="28"/>
                <w:szCs w:val="28"/>
                <w:lang w:val="en-US"/>
              </w:rPr>
            </w:pPr>
          </w:p>
        </w:tc>
        <w:tc>
          <w:tcPr>
            <w:tcW w:w="1126" w:type="dxa"/>
            <w:shd w:val="clear" w:color="auto" w:fill="auto"/>
          </w:tcPr>
          <w:p w14:paraId="18C8B5C0" w14:textId="77777777" w:rsidR="00600C79" w:rsidRPr="00B904E0" w:rsidRDefault="00600C79" w:rsidP="004730AE">
            <w:pPr>
              <w:pStyle w:val="af"/>
              <w:rPr>
                <w:rFonts w:ascii="Times New Roman" w:hAnsi="Times New Roman" w:cs="Times New Roman"/>
                <w:sz w:val="28"/>
                <w:szCs w:val="28"/>
                <w:lang w:val="en-US"/>
              </w:rPr>
            </w:pPr>
          </w:p>
        </w:tc>
      </w:tr>
      <w:tr w:rsidR="00600C79" w:rsidRPr="00B904E0" w14:paraId="073295C5" w14:textId="77777777" w:rsidTr="006F2E30">
        <w:trPr>
          <w:trHeight w:val="411"/>
          <w:jc w:val="center"/>
        </w:trPr>
        <w:tc>
          <w:tcPr>
            <w:tcW w:w="2154" w:type="dxa"/>
            <w:tcBorders>
              <w:bottom w:val="nil"/>
            </w:tcBorders>
            <w:shd w:val="clear" w:color="auto" w:fill="auto"/>
            <w:hideMark/>
          </w:tcPr>
          <w:p w14:paraId="520E1551"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3-Self-efficacy</w:t>
            </w:r>
          </w:p>
        </w:tc>
        <w:tc>
          <w:tcPr>
            <w:tcW w:w="854" w:type="dxa"/>
            <w:tcBorders>
              <w:bottom w:val="nil"/>
            </w:tcBorders>
            <w:shd w:val="clear" w:color="auto" w:fill="auto"/>
            <w:hideMark/>
          </w:tcPr>
          <w:p w14:paraId="015499D9"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4.45</w:t>
            </w:r>
          </w:p>
        </w:tc>
        <w:tc>
          <w:tcPr>
            <w:tcW w:w="0" w:type="auto"/>
            <w:tcBorders>
              <w:bottom w:val="nil"/>
            </w:tcBorders>
            <w:shd w:val="clear" w:color="auto" w:fill="auto"/>
            <w:hideMark/>
          </w:tcPr>
          <w:p w14:paraId="259ED002"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1.62</w:t>
            </w:r>
          </w:p>
        </w:tc>
        <w:tc>
          <w:tcPr>
            <w:tcW w:w="1126" w:type="dxa"/>
            <w:tcBorders>
              <w:bottom w:val="nil"/>
            </w:tcBorders>
            <w:shd w:val="clear" w:color="auto" w:fill="auto"/>
          </w:tcPr>
          <w:p w14:paraId="589E9CB7"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.705***</w:t>
            </w:r>
          </w:p>
        </w:tc>
        <w:tc>
          <w:tcPr>
            <w:tcW w:w="1126" w:type="dxa"/>
            <w:tcBorders>
              <w:bottom w:val="nil"/>
            </w:tcBorders>
            <w:shd w:val="clear" w:color="auto" w:fill="auto"/>
            <w:hideMark/>
          </w:tcPr>
          <w:p w14:paraId="57EF0277"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.694***</w:t>
            </w:r>
          </w:p>
        </w:tc>
        <w:tc>
          <w:tcPr>
            <w:tcW w:w="1126" w:type="dxa"/>
            <w:tcBorders>
              <w:bottom w:val="nil"/>
            </w:tcBorders>
            <w:shd w:val="clear" w:color="auto" w:fill="auto"/>
          </w:tcPr>
          <w:p w14:paraId="073E79A2" w14:textId="77777777" w:rsidR="00600C79" w:rsidRPr="00B904E0" w:rsidRDefault="00600C79" w:rsidP="004730AE">
            <w:pPr>
              <w:pStyle w:val="af"/>
              <w:rPr>
                <w:rFonts w:ascii="Times New Roman" w:hAnsi="Times New Roman" w:cs="Times New Roman"/>
                <w:sz w:val="28"/>
                <w:szCs w:val="28"/>
                <w:lang w:val="en-US"/>
              </w:rPr>
            </w:pPr>
          </w:p>
        </w:tc>
        <w:tc>
          <w:tcPr>
            <w:tcW w:w="1126" w:type="dxa"/>
            <w:tcBorders>
              <w:bottom w:val="nil"/>
            </w:tcBorders>
            <w:shd w:val="clear" w:color="auto" w:fill="auto"/>
          </w:tcPr>
          <w:p w14:paraId="02CCECA2" w14:textId="77777777" w:rsidR="00600C79" w:rsidRPr="00B904E0" w:rsidRDefault="00600C79" w:rsidP="004730AE">
            <w:pPr>
              <w:pStyle w:val="af"/>
              <w:rPr>
                <w:rFonts w:ascii="Times New Roman" w:hAnsi="Times New Roman" w:cs="Times New Roman"/>
                <w:sz w:val="28"/>
                <w:szCs w:val="28"/>
                <w:lang w:val="en-US"/>
              </w:rPr>
            </w:pPr>
          </w:p>
        </w:tc>
        <w:tc>
          <w:tcPr>
            <w:tcW w:w="1126" w:type="dxa"/>
            <w:tcBorders>
              <w:bottom w:val="nil"/>
            </w:tcBorders>
            <w:shd w:val="clear" w:color="auto" w:fill="auto"/>
          </w:tcPr>
          <w:p w14:paraId="0A9EBFD9" w14:textId="77777777" w:rsidR="00600C79" w:rsidRPr="00B904E0" w:rsidRDefault="00600C79" w:rsidP="004730AE">
            <w:pPr>
              <w:pStyle w:val="af"/>
              <w:rPr>
                <w:rFonts w:ascii="Times New Roman" w:hAnsi="Times New Roman" w:cs="Times New Roman"/>
                <w:sz w:val="28"/>
                <w:szCs w:val="28"/>
                <w:lang w:val="en-US"/>
              </w:rPr>
            </w:pPr>
          </w:p>
        </w:tc>
      </w:tr>
      <w:tr w:rsidR="00600C79" w:rsidRPr="00B904E0" w14:paraId="0CF879F5" w14:textId="77777777" w:rsidTr="006F2E30">
        <w:trPr>
          <w:trHeight w:val="733"/>
          <w:jc w:val="center"/>
        </w:trPr>
        <w:tc>
          <w:tcPr>
            <w:tcW w:w="2154" w:type="dxa"/>
            <w:tcBorders>
              <w:top w:val="nil"/>
            </w:tcBorders>
            <w:shd w:val="clear" w:color="auto" w:fill="auto"/>
            <w:hideMark/>
          </w:tcPr>
          <w:p w14:paraId="3AA857EF"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4-Locus of control</w:t>
            </w:r>
          </w:p>
        </w:tc>
        <w:tc>
          <w:tcPr>
            <w:tcW w:w="854" w:type="dxa"/>
            <w:tcBorders>
              <w:top w:val="nil"/>
            </w:tcBorders>
            <w:shd w:val="clear" w:color="auto" w:fill="auto"/>
            <w:hideMark/>
          </w:tcPr>
          <w:p w14:paraId="6742514E"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4.39</w:t>
            </w:r>
          </w:p>
        </w:tc>
        <w:tc>
          <w:tcPr>
            <w:tcW w:w="0" w:type="auto"/>
            <w:tcBorders>
              <w:top w:val="nil"/>
            </w:tcBorders>
            <w:shd w:val="clear" w:color="auto" w:fill="auto"/>
            <w:hideMark/>
          </w:tcPr>
          <w:p w14:paraId="7635FC58"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6.84</w:t>
            </w:r>
          </w:p>
        </w:tc>
        <w:tc>
          <w:tcPr>
            <w:tcW w:w="1126" w:type="dxa"/>
            <w:tcBorders>
              <w:top w:val="nil"/>
            </w:tcBorders>
            <w:shd w:val="clear" w:color="auto" w:fill="auto"/>
          </w:tcPr>
          <w:p w14:paraId="101EA219"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.185***</w:t>
            </w:r>
          </w:p>
        </w:tc>
        <w:tc>
          <w:tcPr>
            <w:tcW w:w="1126" w:type="dxa"/>
            <w:tcBorders>
              <w:top w:val="nil"/>
            </w:tcBorders>
            <w:shd w:val="clear" w:color="auto" w:fill="auto"/>
            <w:hideMark/>
          </w:tcPr>
          <w:p w14:paraId="023D62BE"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.151***</w:t>
            </w:r>
          </w:p>
        </w:tc>
        <w:tc>
          <w:tcPr>
            <w:tcW w:w="1126" w:type="dxa"/>
            <w:tcBorders>
              <w:top w:val="nil"/>
            </w:tcBorders>
            <w:shd w:val="clear" w:color="auto" w:fill="auto"/>
          </w:tcPr>
          <w:p w14:paraId="0801B558"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.220***</w:t>
            </w:r>
          </w:p>
        </w:tc>
        <w:tc>
          <w:tcPr>
            <w:tcW w:w="1126" w:type="dxa"/>
            <w:tcBorders>
              <w:top w:val="nil"/>
            </w:tcBorders>
            <w:shd w:val="clear" w:color="auto" w:fill="auto"/>
          </w:tcPr>
          <w:p w14:paraId="4496ABCA" w14:textId="77777777" w:rsidR="00600C79" w:rsidRPr="00B904E0" w:rsidRDefault="00600C79" w:rsidP="004730AE">
            <w:pPr>
              <w:pStyle w:val="af"/>
              <w:rPr>
                <w:rFonts w:ascii="Times New Roman" w:hAnsi="Times New Roman" w:cs="Times New Roman"/>
                <w:sz w:val="28"/>
                <w:szCs w:val="28"/>
                <w:lang w:val="en-US"/>
              </w:rPr>
            </w:pPr>
          </w:p>
        </w:tc>
        <w:tc>
          <w:tcPr>
            <w:tcW w:w="1126" w:type="dxa"/>
            <w:tcBorders>
              <w:top w:val="nil"/>
            </w:tcBorders>
            <w:shd w:val="clear" w:color="auto" w:fill="auto"/>
          </w:tcPr>
          <w:p w14:paraId="63494567" w14:textId="77777777" w:rsidR="00600C79" w:rsidRPr="00B904E0" w:rsidRDefault="00600C79" w:rsidP="004730AE">
            <w:pPr>
              <w:pStyle w:val="af"/>
              <w:rPr>
                <w:rFonts w:ascii="Times New Roman" w:hAnsi="Times New Roman" w:cs="Times New Roman"/>
                <w:sz w:val="28"/>
                <w:szCs w:val="28"/>
                <w:lang w:val="en-US"/>
              </w:rPr>
            </w:pPr>
          </w:p>
        </w:tc>
      </w:tr>
      <w:tr w:rsidR="00600C79" w:rsidRPr="00B904E0" w14:paraId="7D7E73FF" w14:textId="77777777" w:rsidTr="006F2E30">
        <w:trPr>
          <w:trHeight w:val="559"/>
          <w:jc w:val="center"/>
        </w:trPr>
        <w:tc>
          <w:tcPr>
            <w:tcW w:w="2154" w:type="dxa"/>
            <w:shd w:val="clear" w:color="auto" w:fill="auto"/>
            <w:hideMark/>
          </w:tcPr>
          <w:p w14:paraId="336B50F2"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5-Environment</w:t>
            </w:r>
          </w:p>
        </w:tc>
        <w:tc>
          <w:tcPr>
            <w:tcW w:w="854" w:type="dxa"/>
            <w:shd w:val="clear" w:color="auto" w:fill="auto"/>
            <w:hideMark/>
          </w:tcPr>
          <w:p w14:paraId="370D1C72"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4.06</w:t>
            </w:r>
          </w:p>
        </w:tc>
        <w:tc>
          <w:tcPr>
            <w:tcW w:w="0" w:type="auto"/>
            <w:shd w:val="clear" w:color="auto" w:fill="auto"/>
            <w:hideMark/>
          </w:tcPr>
          <w:p w14:paraId="0D0914AA"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1.78</w:t>
            </w:r>
          </w:p>
        </w:tc>
        <w:tc>
          <w:tcPr>
            <w:tcW w:w="1126" w:type="dxa"/>
            <w:shd w:val="clear" w:color="auto" w:fill="auto"/>
          </w:tcPr>
          <w:p w14:paraId="306A69AB"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.362***</w:t>
            </w:r>
          </w:p>
        </w:tc>
        <w:tc>
          <w:tcPr>
            <w:tcW w:w="1126" w:type="dxa"/>
            <w:shd w:val="clear" w:color="auto" w:fill="auto"/>
            <w:hideMark/>
          </w:tcPr>
          <w:p w14:paraId="7D648987"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.310***</w:t>
            </w:r>
          </w:p>
        </w:tc>
        <w:tc>
          <w:tcPr>
            <w:tcW w:w="1126" w:type="dxa"/>
            <w:shd w:val="clear" w:color="auto" w:fill="auto"/>
          </w:tcPr>
          <w:p w14:paraId="14FCFA07"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.410***</w:t>
            </w:r>
          </w:p>
        </w:tc>
        <w:tc>
          <w:tcPr>
            <w:tcW w:w="1126" w:type="dxa"/>
            <w:shd w:val="clear" w:color="auto" w:fill="auto"/>
          </w:tcPr>
          <w:p w14:paraId="4810AD4B"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.409***</w:t>
            </w:r>
          </w:p>
        </w:tc>
        <w:tc>
          <w:tcPr>
            <w:tcW w:w="1126" w:type="dxa"/>
            <w:shd w:val="clear" w:color="auto" w:fill="auto"/>
          </w:tcPr>
          <w:p w14:paraId="42D4EC6A" w14:textId="77777777" w:rsidR="00600C79" w:rsidRPr="00B904E0" w:rsidRDefault="00600C79" w:rsidP="004730AE">
            <w:pPr>
              <w:pStyle w:val="af"/>
              <w:rPr>
                <w:rFonts w:ascii="Times New Roman" w:hAnsi="Times New Roman" w:cs="Times New Roman"/>
                <w:sz w:val="28"/>
                <w:szCs w:val="28"/>
                <w:lang w:val="en-US"/>
              </w:rPr>
            </w:pPr>
          </w:p>
        </w:tc>
      </w:tr>
      <w:tr w:rsidR="00600C79" w:rsidRPr="00B904E0" w14:paraId="272F5CB7" w14:textId="77777777" w:rsidTr="006F2E30">
        <w:trPr>
          <w:trHeight w:val="507"/>
          <w:jc w:val="center"/>
        </w:trPr>
        <w:tc>
          <w:tcPr>
            <w:tcW w:w="2154" w:type="dxa"/>
            <w:shd w:val="clear" w:color="auto" w:fill="auto"/>
            <w:hideMark/>
          </w:tcPr>
          <w:p w14:paraId="77350780"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6-Programs</w:t>
            </w:r>
          </w:p>
        </w:tc>
        <w:tc>
          <w:tcPr>
            <w:tcW w:w="854" w:type="dxa"/>
            <w:shd w:val="clear" w:color="auto" w:fill="auto"/>
            <w:hideMark/>
          </w:tcPr>
          <w:p w14:paraId="486DC218"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3.97</w:t>
            </w:r>
          </w:p>
        </w:tc>
        <w:tc>
          <w:tcPr>
            <w:tcW w:w="0" w:type="auto"/>
            <w:shd w:val="clear" w:color="auto" w:fill="auto"/>
            <w:hideMark/>
          </w:tcPr>
          <w:p w14:paraId="35BBF1A7"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1.69</w:t>
            </w:r>
          </w:p>
        </w:tc>
        <w:tc>
          <w:tcPr>
            <w:tcW w:w="1126" w:type="dxa"/>
            <w:shd w:val="clear" w:color="auto" w:fill="auto"/>
          </w:tcPr>
          <w:p w14:paraId="063272D5"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.385***</w:t>
            </w:r>
          </w:p>
        </w:tc>
        <w:tc>
          <w:tcPr>
            <w:tcW w:w="1126" w:type="dxa"/>
            <w:shd w:val="clear" w:color="auto" w:fill="auto"/>
            <w:hideMark/>
          </w:tcPr>
          <w:p w14:paraId="586BFCB7"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.361***</w:t>
            </w:r>
          </w:p>
        </w:tc>
        <w:tc>
          <w:tcPr>
            <w:tcW w:w="1126" w:type="dxa"/>
            <w:shd w:val="clear" w:color="auto" w:fill="auto"/>
          </w:tcPr>
          <w:p w14:paraId="41CAE02E"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.445***</w:t>
            </w:r>
          </w:p>
        </w:tc>
        <w:tc>
          <w:tcPr>
            <w:tcW w:w="1126" w:type="dxa"/>
            <w:shd w:val="clear" w:color="auto" w:fill="auto"/>
          </w:tcPr>
          <w:p w14:paraId="1F072D8A"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.295***</w:t>
            </w:r>
          </w:p>
        </w:tc>
        <w:tc>
          <w:tcPr>
            <w:tcW w:w="1126" w:type="dxa"/>
            <w:shd w:val="clear" w:color="auto" w:fill="auto"/>
          </w:tcPr>
          <w:p w14:paraId="716ABF07" w14:textId="77777777" w:rsidR="00600C79" w:rsidRPr="00B904E0"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.729***</w:t>
            </w:r>
          </w:p>
        </w:tc>
      </w:tr>
      <w:tr w:rsidR="00600C79" w:rsidRPr="00211F43" w14:paraId="606378B8" w14:textId="77777777" w:rsidTr="006F2E30">
        <w:trPr>
          <w:trHeight w:val="425"/>
          <w:jc w:val="center"/>
        </w:trPr>
        <w:tc>
          <w:tcPr>
            <w:tcW w:w="9344" w:type="dxa"/>
            <w:gridSpan w:val="8"/>
            <w:shd w:val="clear" w:color="auto" w:fill="auto"/>
          </w:tcPr>
          <w:p w14:paraId="503A1C7B" w14:textId="0D1D86AE" w:rsidR="00600C79" w:rsidRPr="004730AE" w:rsidRDefault="00600C79" w:rsidP="004730AE">
            <w:pPr>
              <w:pStyle w:val="af"/>
              <w:rPr>
                <w:rFonts w:ascii="Times New Roman" w:hAnsi="Times New Roman" w:cs="Times New Roman"/>
                <w:sz w:val="28"/>
                <w:szCs w:val="28"/>
                <w:lang w:val="en-US"/>
              </w:rPr>
            </w:pPr>
            <w:r w:rsidRPr="00B904E0">
              <w:rPr>
                <w:rFonts w:ascii="Times New Roman" w:hAnsi="Times New Roman" w:cs="Times New Roman"/>
                <w:sz w:val="28"/>
                <w:szCs w:val="28"/>
                <w:lang w:val="en-US"/>
              </w:rPr>
              <w:t xml:space="preserve">*** </w:t>
            </w:r>
            <w:r w:rsidRPr="00B904E0">
              <w:rPr>
                <w:rFonts w:ascii="Times New Roman" w:hAnsi="Times New Roman" w:cs="Times New Roman"/>
                <w:i/>
                <w:iCs/>
                <w:sz w:val="28"/>
                <w:szCs w:val="28"/>
                <w:lang w:val="en-US"/>
              </w:rPr>
              <w:t>p</w:t>
            </w:r>
            <w:r w:rsidRPr="00B904E0">
              <w:rPr>
                <w:rFonts w:ascii="Times New Roman" w:hAnsi="Times New Roman" w:cs="Times New Roman"/>
                <w:sz w:val="28"/>
                <w:szCs w:val="28"/>
                <w:lang w:val="en-US"/>
              </w:rPr>
              <w:t xml:space="preserve"> &lt; .001</w:t>
            </w:r>
          </w:p>
        </w:tc>
      </w:tr>
      <w:tr w:rsidR="00E92E27" w:rsidRPr="000E0481" w14:paraId="520C227B" w14:textId="77777777" w:rsidTr="006F2E30">
        <w:trPr>
          <w:trHeight w:val="425"/>
          <w:jc w:val="center"/>
        </w:trPr>
        <w:tc>
          <w:tcPr>
            <w:tcW w:w="9344" w:type="dxa"/>
            <w:gridSpan w:val="8"/>
            <w:shd w:val="clear" w:color="auto" w:fill="auto"/>
          </w:tcPr>
          <w:p w14:paraId="72D43542" w14:textId="1D0AED18" w:rsidR="00E92E27" w:rsidRPr="00586F64" w:rsidRDefault="00F64A64" w:rsidP="004730AE">
            <w:pPr>
              <w:pStyle w:val="af"/>
              <w:rPr>
                <w:rFonts w:ascii="Times New Roman" w:hAnsi="Times New Roman" w:cs="Times New Roman"/>
                <w:sz w:val="24"/>
                <w:szCs w:val="24"/>
                <w:lang w:val="en-US"/>
              </w:rPr>
            </w:pPr>
            <w:r w:rsidRPr="00586F64">
              <w:rPr>
                <w:rFonts w:ascii="Times New Roman" w:hAnsi="Times New Roman" w:cs="Times New Roman"/>
                <w:sz w:val="24"/>
                <w:szCs w:val="24"/>
                <w:lang w:val="en-US"/>
              </w:rPr>
              <w:t xml:space="preserve">         </w:t>
            </w:r>
            <w:r w:rsidR="00586F64" w:rsidRPr="00586F64">
              <w:rPr>
                <w:rFonts w:ascii="Times New Roman" w:hAnsi="Times New Roman" w:cs="Times New Roman"/>
                <w:sz w:val="24"/>
                <w:szCs w:val="24"/>
                <w:lang w:val="en-US"/>
              </w:rPr>
              <w:t xml:space="preserve"> </w:t>
            </w:r>
            <w:r w:rsidR="00E92E27" w:rsidRPr="00586F64">
              <w:rPr>
                <w:rFonts w:ascii="Times New Roman" w:hAnsi="Times New Roman" w:cs="Times New Roman"/>
                <w:sz w:val="24"/>
                <w:szCs w:val="24"/>
                <w:lang w:val="en-US"/>
              </w:rPr>
              <w:t>Note – Compiled by author based on [</w:t>
            </w:r>
            <w:r w:rsidR="00EC52F2">
              <w:rPr>
                <w:rFonts w:ascii="Times New Roman" w:hAnsi="Times New Roman" w:cs="Times New Roman"/>
                <w:sz w:val="24"/>
                <w:szCs w:val="24"/>
                <w:lang w:val="en-US"/>
              </w:rPr>
              <w:t>6</w:t>
            </w:r>
            <w:r w:rsidR="00E92E27" w:rsidRPr="00586F64">
              <w:rPr>
                <w:rFonts w:ascii="Times New Roman" w:hAnsi="Times New Roman" w:cs="Times New Roman"/>
                <w:sz w:val="24"/>
                <w:szCs w:val="24"/>
                <w:lang w:val="en-US"/>
              </w:rPr>
              <w:t>]</w:t>
            </w:r>
          </w:p>
        </w:tc>
      </w:tr>
    </w:tbl>
    <w:p w14:paraId="4E18DC07" w14:textId="77777777" w:rsidR="004730AE" w:rsidRDefault="004730AE" w:rsidP="00600C79">
      <w:pPr>
        <w:spacing w:after="0" w:line="240" w:lineRule="auto"/>
        <w:ind w:firstLine="720"/>
        <w:contextualSpacing/>
        <w:jc w:val="both"/>
        <w:rPr>
          <w:rFonts w:ascii="Times New Roman" w:hAnsi="Times New Roman" w:cs="Times New Roman"/>
          <w:sz w:val="28"/>
          <w:szCs w:val="28"/>
          <w:lang w:val="en-US"/>
        </w:rPr>
      </w:pPr>
    </w:p>
    <w:p w14:paraId="1E5321F7" w14:textId="4499D69A" w:rsidR="00600C79" w:rsidRDefault="00600C79" w:rsidP="00BD1A44">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While conducting structural equation modelling in conducting to evaluate the model, the model fit indices were inadequate in the initial analysis, particularly x²/df &gt; 5, SRMR &gt; .10, and RMSEA &gt; .80. A covariance connection was incorporated between the components in the system based on the model change recommendations. The final model's index values fall within the acceptable range [</w:t>
      </w:r>
      <w:r w:rsidR="008748D1" w:rsidRPr="008748D1">
        <w:rPr>
          <w:rFonts w:ascii="Times New Roman" w:hAnsi="Times New Roman" w:cs="Times New Roman"/>
          <w:sz w:val="28"/>
          <w:szCs w:val="28"/>
          <w:lang w:val="en-US"/>
        </w:rPr>
        <w:t>214</w:t>
      </w:r>
      <w:r w:rsidRPr="00244343">
        <w:rPr>
          <w:rFonts w:ascii="Times New Roman" w:hAnsi="Times New Roman" w:cs="Times New Roman"/>
          <w:sz w:val="28"/>
          <w:szCs w:val="28"/>
          <w:lang w:val="en-US"/>
        </w:rPr>
        <w:t xml:space="preserve">]. Given that the model met an acceptable standard as per the data in Table </w:t>
      </w:r>
      <w:r w:rsidR="00150CE1">
        <w:rPr>
          <w:rFonts w:ascii="Times New Roman" w:hAnsi="Times New Roman" w:cs="Times New Roman"/>
          <w:sz w:val="28"/>
          <w:szCs w:val="28"/>
          <w:lang w:val="en-US"/>
        </w:rPr>
        <w:t>10</w:t>
      </w:r>
      <w:r w:rsidRPr="00244343">
        <w:rPr>
          <w:rFonts w:ascii="Times New Roman" w:hAnsi="Times New Roman" w:cs="Times New Roman"/>
          <w:sz w:val="28"/>
          <w:szCs w:val="28"/>
          <w:lang w:val="en-US"/>
        </w:rPr>
        <w:t>, the hypotheses' outcomes were evaluated.</w:t>
      </w:r>
    </w:p>
    <w:p w14:paraId="5CCABCB7" w14:textId="77777777" w:rsidR="00BD1A44" w:rsidRPr="00244343" w:rsidRDefault="00BD1A44" w:rsidP="00BD1A44">
      <w:pPr>
        <w:spacing w:after="0" w:line="240" w:lineRule="auto"/>
        <w:ind w:firstLine="720"/>
        <w:contextualSpacing/>
        <w:jc w:val="both"/>
        <w:rPr>
          <w:rFonts w:ascii="Times New Roman" w:hAnsi="Times New Roman" w:cs="Times New Roman"/>
          <w:sz w:val="28"/>
          <w:szCs w:val="28"/>
          <w:lang w:val="en-US"/>
        </w:rPr>
      </w:pPr>
    </w:p>
    <w:p w14:paraId="764ABD92" w14:textId="7234F3F1" w:rsidR="00600C79" w:rsidRPr="00301264" w:rsidRDefault="00600C79" w:rsidP="00600C79">
      <w:pPr>
        <w:spacing w:after="120" w:line="240" w:lineRule="auto"/>
        <w:ind w:firstLine="720"/>
        <w:contextualSpacing/>
        <w:rPr>
          <w:rFonts w:ascii="Times New Roman" w:hAnsi="Times New Roman" w:cs="Times New Roman"/>
          <w:iCs/>
          <w:sz w:val="28"/>
          <w:szCs w:val="28"/>
          <w:lang w:val="en-US"/>
        </w:rPr>
      </w:pPr>
      <w:r w:rsidRPr="00301264">
        <w:rPr>
          <w:rFonts w:ascii="Times New Roman" w:hAnsi="Times New Roman" w:cs="Times New Roman"/>
          <w:iCs/>
          <w:sz w:val="28"/>
          <w:szCs w:val="28"/>
          <w:lang w:val="en-US"/>
        </w:rPr>
        <w:lastRenderedPageBreak/>
        <w:t xml:space="preserve">Table </w:t>
      </w:r>
      <w:r w:rsidR="00150CE1">
        <w:rPr>
          <w:rFonts w:ascii="Times New Roman" w:hAnsi="Times New Roman" w:cs="Times New Roman"/>
          <w:iCs/>
          <w:sz w:val="28"/>
          <w:szCs w:val="28"/>
          <w:lang w:val="en-US"/>
        </w:rPr>
        <w:t>10</w:t>
      </w:r>
      <w:r w:rsidRPr="00301264">
        <w:rPr>
          <w:rFonts w:ascii="Times New Roman" w:hAnsi="Times New Roman" w:cs="Times New Roman"/>
          <w:iCs/>
          <w:sz w:val="28"/>
          <w:szCs w:val="28"/>
        </w:rPr>
        <w:t xml:space="preserve"> </w:t>
      </w:r>
      <w:r w:rsidR="00DD6EA3">
        <w:rPr>
          <w:rFonts w:ascii="Times New Roman" w:hAnsi="Times New Roman" w:cs="Times New Roman"/>
          <w:iCs/>
          <w:sz w:val="28"/>
          <w:szCs w:val="28"/>
        </w:rPr>
        <w:t>–</w:t>
      </w:r>
      <w:r w:rsidRPr="00301264">
        <w:rPr>
          <w:rFonts w:ascii="Times New Roman" w:hAnsi="Times New Roman" w:cs="Times New Roman"/>
          <w:iCs/>
          <w:sz w:val="28"/>
          <w:szCs w:val="28"/>
          <w:lang w:val="en-US"/>
        </w:rPr>
        <w:t xml:space="preserve"> Model Fit Indexes</w:t>
      </w:r>
    </w:p>
    <w:p w14:paraId="23E50979" w14:textId="24A92E71" w:rsidR="00E10090" w:rsidRPr="00301264" w:rsidRDefault="00E10090" w:rsidP="00600C79">
      <w:pPr>
        <w:spacing w:after="120" w:line="240" w:lineRule="auto"/>
        <w:ind w:firstLine="720"/>
        <w:contextualSpacing/>
        <w:rPr>
          <w:rFonts w:ascii="Times New Roman" w:hAnsi="Times New Roman" w:cs="Times New Roman"/>
          <w:iCs/>
          <w:sz w:val="28"/>
          <w:szCs w:val="28"/>
          <w:lang w:val="en-US"/>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1284"/>
        <w:gridCol w:w="706"/>
        <w:gridCol w:w="706"/>
        <w:gridCol w:w="706"/>
        <w:gridCol w:w="710"/>
        <w:gridCol w:w="995"/>
        <w:gridCol w:w="1181"/>
        <w:gridCol w:w="1181"/>
        <w:gridCol w:w="968"/>
      </w:tblGrid>
      <w:tr w:rsidR="00CC70D6" w:rsidRPr="00301264" w14:paraId="5AC3D456" w14:textId="77777777" w:rsidTr="00CC70D6">
        <w:trPr>
          <w:trHeight w:val="1314"/>
          <w:jc w:val="center"/>
        </w:trPr>
        <w:tc>
          <w:tcPr>
            <w:tcW w:w="1056" w:type="dxa"/>
            <w:shd w:val="clear" w:color="auto" w:fill="auto"/>
          </w:tcPr>
          <w:p w14:paraId="5E5FB1D5" w14:textId="77777777" w:rsidR="00E10090" w:rsidRPr="00301264" w:rsidRDefault="00E10090" w:rsidP="004524BE">
            <w:pPr>
              <w:spacing w:after="0" w:line="240" w:lineRule="auto"/>
              <w:rPr>
                <w:rFonts w:ascii="Times New Roman" w:hAnsi="Times New Roman" w:cs="Times New Roman"/>
                <w:bCs/>
                <w:sz w:val="28"/>
                <w:szCs w:val="28"/>
                <w:lang w:val="en-US"/>
              </w:rPr>
            </w:pPr>
            <w:r w:rsidRPr="00301264">
              <w:rPr>
                <w:rFonts w:ascii="Times New Roman" w:hAnsi="Times New Roman" w:cs="Times New Roman"/>
                <w:bCs/>
                <w:sz w:val="28"/>
                <w:szCs w:val="28"/>
                <w:lang w:val="en-US"/>
              </w:rPr>
              <w:t>Model</w:t>
            </w:r>
          </w:p>
        </w:tc>
        <w:tc>
          <w:tcPr>
            <w:tcW w:w="1284" w:type="dxa"/>
            <w:shd w:val="clear" w:color="auto" w:fill="auto"/>
          </w:tcPr>
          <w:p w14:paraId="18361DE9" w14:textId="77777777" w:rsidR="00E10090" w:rsidRPr="00301264" w:rsidRDefault="00E10090" w:rsidP="004524BE">
            <w:pPr>
              <w:spacing w:after="0" w:line="240" w:lineRule="auto"/>
              <w:jc w:val="center"/>
              <w:rPr>
                <w:rFonts w:ascii="Times New Roman" w:hAnsi="Times New Roman" w:cs="Times New Roman"/>
                <w:bCs/>
                <w:sz w:val="28"/>
                <w:szCs w:val="28"/>
                <w:lang w:val="en-US"/>
              </w:rPr>
            </w:pPr>
            <w:r w:rsidRPr="00301264">
              <w:rPr>
                <w:rFonts w:ascii="Times New Roman" w:hAnsi="Times New Roman" w:cs="Times New Roman"/>
                <w:bCs/>
                <w:sz w:val="28"/>
                <w:szCs w:val="28"/>
                <w:lang w:val="en-US"/>
              </w:rPr>
              <w:t>X²/df</w:t>
            </w:r>
          </w:p>
        </w:tc>
        <w:tc>
          <w:tcPr>
            <w:tcW w:w="706" w:type="dxa"/>
            <w:shd w:val="clear" w:color="auto" w:fill="auto"/>
          </w:tcPr>
          <w:p w14:paraId="6F262BD7"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bCs/>
                <w:sz w:val="28"/>
                <w:szCs w:val="28"/>
                <w:lang w:val="en-US"/>
              </w:rPr>
              <w:t>TLI</w:t>
            </w:r>
          </w:p>
        </w:tc>
        <w:tc>
          <w:tcPr>
            <w:tcW w:w="706" w:type="dxa"/>
            <w:shd w:val="clear" w:color="auto" w:fill="auto"/>
          </w:tcPr>
          <w:p w14:paraId="266CB9CA" w14:textId="77777777" w:rsidR="00E10090" w:rsidRPr="00301264" w:rsidRDefault="00E10090" w:rsidP="004524BE">
            <w:pPr>
              <w:spacing w:after="0" w:line="240" w:lineRule="auto"/>
              <w:jc w:val="center"/>
              <w:rPr>
                <w:rFonts w:ascii="Times New Roman" w:hAnsi="Times New Roman" w:cs="Times New Roman"/>
                <w:bCs/>
                <w:sz w:val="28"/>
                <w:szCs w:val="28"/>
                <w:lang w:val="en-US"/>
              </w:rPr>
            </w:pPr>
            <w:r w:rsidRPr="00301264">
              <w:rPr>
                <w:rFonts w:ascii="Times New Roman" w:hAnsi="Times New Roman" w:cs="Times New Roman"/>
                <w:bCs/>
                <w:sz w:val="28"/>
                <w:szCs w:val="28"/>
                <w:lang w:val="en-US"/>
              </w:rPr>
              <w:t>CFI</w:t>
            </w:r>
          </w:p>
        </w:tc>
        <w:tc>
          <w:tcPr>
            <w:tcW w:w="706" w:type="dxa"/>
            <w:shd w:val="clear" w:color="auto" w:fill="auto"/>
          </w:tcPr>
          <w:p w14:paraId="34203667" w14:textId="77777777" w:rsidR="00E10090" w:rsidRPr="00301264" w:rsidRDefault="00E10090" w:rsidP="004524BE">
            <w:pPr>
              <w:spacing w:after="0" w:line="240" w:lineRule="auto"/>
              <w:jc w:val="center"/>
              <w:rPr>
                <w:rFonts w:ascii="Times New Roman" w:hAnsi="Times New Roman" w:cs="Times New Roman"/>
                <w:bCs/>
                <w:sz w:val="28"/>
                <w:szCs w:val="28"/>
                <w:lang w:val="en-US"/>
              </w:rPr>
            </w:pPr>
            <w:r w:rsidRPr="00301264">
              <w:rPr>
                <w:rFonts w:ascii="Times New Roman" w:hAnsi="Times New Roman" w:cs="Times New Roman"/>
                <w:bCs/>
                <w:sz w:val="28"/>
                <w:szCs w:val="28"/>
                <w:lang w:val="en-US"/>
              </w:rPr>
              <w:t>NFI</w:t>
            </w:r>
          </w:p>
        </w:tc>
        <w:tc>
          <w:tcPr>
            <w:tcW w:w="710" w:type="dxa"/>
            <w:shd w:val="clear" w:color="auto" w:fill="auto"/>
          </w:tcPr>
          <w:p w14:paraId="52D3D3DA" w14:textId="77777777" w:rsidR="00E10090" w:rsidRPr="00301264" w:rsidRDefault="00E10090" w:rsidP="004524BE">
            <w:pPr>
              <w:spacing w:after="0" w:line="240" w:lineRule="auto"/>
              <w:jc w:val="center"/>
              <w:rPr>
                <w:rFonts w:ascii="Times New Roman" w:hAnsi="Times New Roman" w:cs="Times New Roman"/>
                <w:bCs/>
                <w:sz w:val="28"/>
                <w:szCs w:val="28"/>
                <w:lang w:val="en-US"/>
              </w:rPr>
            </w:pPr>
            <w:r w:rsidRPr="00301264">
              <w:rPr>
                <w:rFonts w:ascii="Times New Roman" w:hAnsi="Times New Roman" w:cs="Times New Roman"/>
                <w:bCs/>
                <w:sz w:val="28"/>
                <w:szCs w:val="28"/>
                <w:lang w:val="en-US"/>
              </w:rPr>
              <w:t>IFI</w:t>
            </w:r>
          </w:p>
        </w:tc>
        <w:tc>
          <w:tcPr>
            <w:tcW w:w="995" w:type="dxa"/>
            <w:shd w:val="clear" w:color="auto" w:fill="auto"/>
          </w:tcPr>
          <w:p w14:paraId="23732225"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bCs/>
                <w:sz w:val="28"/>
                <w:szCs w:val="28"/>
                <w:lang w:val="en-US"/>
              </w:rPr>
              <w:t>SRMR</w:t>
            </w:r>
          </w:p>
        </w:tc>
        <w:tc>
          <w:tcPr>
            <w:tcW w:w="1181" w:type="dxa"/>
            <w:shd w:val="clear" w:color="auto" w:fill="auto"/>
          </w:tcPr>
          <w:p w14:paraId="12F1B804"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bCs/>
                <w:sz w:val="28"/>
                <w:szCs w:val="28"/>
                <w:lang w:val="en-US"/>
              </w:rPr>
              <w:t>RMSEA</w:t>
            </w:r>
          </w:p>
        </w:tc>
        <w:tc>
          <w:tcPr>
            <w:tcW w:w="1181" w:type="dxa"/>
            <w:shd w:val="clear" w:color="auto" w:fill="auto"/>
          </w:tcPr>
          <w:p w14:paraId="5E2D2B5F"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bCs/>
                <w:sz w:val="28"/>
                <w:szCs w:val="28"/>
                <w:lang w:val="en-US"/>
              </w:rPr>
              <w:t>RMSEA 95% CI Lower</w:t>
            </w:r>
          </w:p>
        </w:tc>
        <w:tc>
          <w:tcPr>
            <w:tcW w:w="968" w:type="dxa"/>
            <w:shd w:val="clear" w:color="auto" w:fill="auto"/>
          </w:tcPr>
          <w:p w14:paraId="566036DB" w14:textId="77777777" w:rsidR="00E10090" w:rsidRDefault="00E10090" w:rsidP="004524BE">
            <w:pPr>
              <w:spacing w:after="0" w:line="240" w:lineRule="auto"/>
              <w:jc w:val="center"/>
              <w:rPr>
                <w:rFonts w:ascii="Times New Roman" w:hAnsi="Times New Roman" w:cs="Times New Roman"/>
                <w:bCs/>
                <w:sz w:val="28"/>
                <w:szCs w:val="28"/>
                <w:lang w:val="en-US"/>
              </w:rPr>
            </w:pPr>
            <w:r w:rsidRPr="00301264">
              <w:rPr>
                <w:rFonts w:ascii="Times New Roman" w:hAnsi="Times New Roman" w:cs="Times New Roman"/>
                <w:bCs/>
                <w:sz w:val="28"/>
                <w:szCs w:val="28"/>
                <w:lang w:val="en-US"/>
              </w:rPr>
              <w:t>RMSEA 95% CI Upper</w:t>
            </w:r>
          </w:p>
          <w:p w14:paraId="05E5C504" w14:textId="193D0E74" w:rsidR="006171C2" w:rsidRPr="00301264" w:rsidRDefault="006171C2" w:rsidP="004524BE">
            <w:pPr>
              <w:spacing w:after="0" w:line="240" w:lineRule="auto"/>
              <w:jc w:val="center"/>
              <w:rPr>
                <w:rFonts w:ascii="Times New Roman" w:hAnsi="Times New Roman" w:cs="Times New Roman"/>
                <w:sz w:val="28"/>
                <w:szCs w:val="28"/>
                <w:lang w:val="en-US"/>
              </w:rPr>
            </w:pPr>
          </w:p>
        </w:tc>
      </w:tr>
      <w:tr w:rsidR="00CC70D6" w:rsidRPr="00301264" w14:paraId="1E170824" w14:textId="77777777" w:rsidTr="00022E72">
        <w:trPr>
          <w:trHeight w:val="780"/>
          <w:jc w:val="center"/>
        </w:trPr>
        <w:tc>
          <w:tcPr>
            <w:tcW w:w="1056" w:type="dxa"/>
            <w:shd w:val="clear" w:color="auto" w:fill="auto"/>
          </w:tcPr>
          <w:p w14:paraId="25B5D5B0" w14:textId="77777777" w:rsidR="00E10090" w:rsidRPr="00301264" w:rsidRDefault="00E10090" w:rsidP="004524BE">
            <w:pPr>
              <w:spacing w:after="0" w:line="240" w:lineRule="auto"/>
              <w:rPr>
                <w:rFonts w:ascii="Times New Roman" w:hAnsi="Times New Roman" w:cs="Times New Roman"/>
                <w:sz w:val="28"/>
                <w:szCs w:val="28"/>
                <w:lang w:val="en-US"/>
              </w:rPr>
            </w:pPr>
            <w:r w:rsidRPr="00301264">
              <w:rPr>
                <w:rFonts w:ascii="Times New Roman" w:hAnsi="Times New Roman" w:cs="Times New Roman"/>
                <w:sz w:val="28"/>
                <w:szCs w:val="28"/>
                <w:lang w:val="en-US"/>
              </w:rPr>
              <w:t>Critical</w:t>
            </w:r>
          </w:p>
        </w:tc>
        <w:tc>
          <w:tcPr>
            <w:tcW w:w="1284" w:type="dxa"/>
            <w:shd w:val="clear" w:color="auto" w:fill="auto"/>
          </w:tcPr>
          <w:p w14:paraId="4BD390BC"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&lt;5</w:t>
            </w:r>
          </w:p>
        </w:tc>
        <w:tc>
          <w:tcPr>
            <w:tcW w:w="706" w:type="dxa"/>
            <w:shd w:val="clear" w:color="auto" w:fill="auto"/>
          </w:tcPr>
          <w:p w14:paraId="0E64674C"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&gt; .9</w:t>
            </w:r>
          </w:p>
        </w:tc>
        <w:tc>
          <w:tcPr>
            <w:tcW w:w="706" w:type="dxa"/>
            <w:shd w:val="clear" w:color="auto" w:fill="auto"/>
          </w:tcPr>
          <w:p w14:paraId="3CDB90C6"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&gt; .9</w:t>
            </w:r>
          </w:p>
        </w:tc>
        <w:tc>
          <w:tcPr>
            <w:tcW w:w="706" w:type="dxa"/>
            <w:shd w:val="clear" w:color="auto" w:fill="auto"/>
          </w:tcPr>
          <w:p w14:paraId="4E4DBE51"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&gt; .9</w:t>
            </w:r>
          </w:p>
        </w:tc>
        <w:tc>
          <w:tcPr>
            <w:tcW w:w="710" w:type="dxa"/>
            <w:shd w:val="clear" w:color="auto" w:fill="auto"/>
          </w:tcPr>
          <w:p w14:paraId="178B00B8"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&gt; .9</w:t>
            </w:r>
          </w:p>
        </w:tc>
        <w:tc>
          <w:tcPr>
            <w:tcW w:w="995" w:type="dxa"/>
            <w:shd w:val="clear" w:color="auto" w:fill="auto"/>
          </w:tcPr>
          <w:p w14:paraId="4AA75DC6"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&lt; .1</w:t>
            </w:r>
          </w:p>
        </w:tc>
        <w:tc>
          <w:tcPr>
            <w:tcW w:w="1181" w:type="dxa"/>
            <w:shd w:val="clear" w:color="auto" w:fill="auto"/>
          </w:tcPr>
          <w:p w14:paraId="11C540FC"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&lt; .08</w:t>
            </w:r>
          </w:p>
        </w:tc>
        <w:tc>
          <w:tcPr>
            <w:tcW w:w="1181" w:type="dxa"/>
            <w:shd w:val="clear" w:color="auto" w:fill="auto"/>
          </w:tcPr>
          <w:p w14:paraId="575AC508" w14:textId="77777777" w:rsidR="00E10090" w:rsidRPr="00301264" w:rsidRDefault="00E10090" w:rsidP="004524BE">
            <w:pPr>
              <w:spacing w:after="0" w:line="240" w:lineRule="auto"/>
              <w:jc w:val="center"/>
              <w:rPr>
                <w:rFonts w:ascii="Times New Roman" w:hAnsi="Times New Roman" w:cs="Times New Roman"/>
                <w:sz w:val="28"/>
                <w:szCs w:val="28"/>
                <w:lang w:val="en-US"/>
              </w:rPr>
            </w:pPr>
          </w:p>
        </w:tc>
        <w:tc>
          <w:tcPr>
            <w:tcW w:w="968" w:type="dxa"/>
            <w:shd w:val="clear" w:color="auto" w:fill="auto"/>
          </w:tcPr>
          <w:p w14:paraId="5045BAAB" w14:textId="77777777" w:rsidR="00E10090" w:rsidRPr="00301264" w:rsidRDefault="00E10090" w:rsidP="004524BE">
            <w:pPr>
              <w:spacing w:after="0" w:line="240" w:lineRule="auto"/>
              <w:jc w:val="center"/>
              <w:rPr>
                <w:rFonts w:ascii="Times New Roman" w:hAnsi="Times New Roman" w:cs="Times New Roman"/>
                <w:sz w:val="28"/>
                <w:szCs w:val="28"/>
                <w:lang w:val="en-US"/>
              </w:rPr>
            </w:pPr>
          </w:p>
        </w:tc>
      </w:tr>
      <w:tr w:rsidR="00CC70D6" w:rsidRPr="00301264" w14:paraId="23982831" w14:textId="77777777" w:rsidTr="00CC70D6">
        <w:trPr>
          <w:trHeight w:val="818"/>
          <w:jc w:val="center"/>
        </w:trPr>
        <w:tc>
          <w:tcPr>
            <w:tcW w:w="1056" w:type="dxa"/>
            <w:shd w:val="clear" w:color="auto" w:fill="auto"/>
          </w:tcPr>
          <w:p w14:paraId="74A014A2" w14:textId="77777777" w:rsidR="00E10090" w:rsidRPr="00301264" w:rsidRDefault="00E10090" w:rsidP="004524BE">
            <w:pPr>
              <w:spacing w:after="0" w:line="240" w:lineRule="auto"/>
              <w:rPr>
                <w:rFonts w:ascii="Times New Roman" w:hAnsi="Times New Roman" w:cs="Times New Roman"/>
                <w:sz w:val="28"/>
                <w:szCs w:val="28"/>
                <w:lang w:val="en-US"/>
              </w:rPr>
            </w:pPr>
            <w:r w:rsidRPr="00301264">
              <w:rPr>
                <w:rFonts w:ascii="Times New Roman" w:hAnsi="Times New Roman" w:cs="Times New Roman"/>
                <w:sz w:val="28"/>
                <w:szCs w:val="28"/>
                <w:lang w:val="en-US"/>
              </w:rPr>
              <w:t>Initial Model</w:t>
            </w:r>
          </w:p>
        </w:tc>
        <w:tc>
          <w:tcPr>
            <w:tcW w:w="1284" w:type="dxa"/>
            <w:shd w:val="clear" w:color="auto" w:fill="auto"/>
          </w:tcPr>
          <w:p w14:paraId="40F7635B" w14:textId="77777777" w:rsidR="00CC70D6"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2192/</w:t>
            </w:r>
          </w:p>
          <w:p w14:paraId="1A9A66B1" w14:textId="77777777" w:rsidR="00E10090" w:rsidRDefault="00E10090" w:rsidP="00CC70D6">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364=6.03</w:t>
            </w:r>
          </w:p>
          <w:p w14:paraId="3C447699" w14:textId="44A21F5F" w:rsidR="006171C2" w:rsidRPr="00301264" w:rsidRDefault="006171C2" w:rsidP="00CC70D6">
            <w:pPr>
              <w:spacing w:after="0" w:line="240" w:lineRule="auto"/>
              <w:jc w:val="center"/>
              <w:rPr>
                <w:rFonts w:ascii="Times New Roman" w:hAnsi="Times New Roman" w:cs="Times New Roman"/>
                <w:sz w:val="28"/>
                <w:szCs w:val="28"/>
                <w:lang w:val="en-US"/>
              </w:rPr>
            </w:pPr>
          </w:p>
        </w:tc>
        <w:tc>
          <w:tcPr>
            <w:tcW w:w="706" w:type="dxa"/>
            <w:shd w:val="clear" w:color="auto" w:fill="auto"/>
          </w:tcPr>
          <w:p w14:paraId="2986AD37"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.903</w:t>
            </w:r>
          </w:p>
        </w:tc>
        <w:tc>
          <w:tcPr>
            <w:tcW w:w="706" w:type="dxa"/>
            <w:shd w:val="clear" w:color="auto" w:fill="auto"/>
          </w:tcPr>
          <w:p w14:paraId="2EAFE475"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.903</w:t>
            </w:r>
          </w:p>
        </w:tc>
        <w:tc>
          <w:tcPr>
            <w:tcW w:w="706" w:type="dxa"/>
            <w:shd w:val="clear" w:color="auto" w:fill="auto"/>
          </w:tcPr>
          <w:p w14:paraId="2CDC2F4D"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.886</w:t>
            </w:r>
          </w:p>
        </w:tc>
        <w:tc>
          <w:tcPr>
            <w:tcW w:w="710" w:type="dxa"/>
            <w:shd w:val="clear" w:color="auto" w:fill="auto"/>
          </w:tcPr>
          <w:p w14:paraId="160F6BCD"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.903</w:t>
            </w:r>
          </w:p>
        </w:tc>
        <w:tc>
          <w:tcPr>
            <w:tcW w:w="995" w:type="dxa"/>
            <w:shd w:val="clear" w:color="auto" w:fill="auto"/>
          </w:tcPr>
          <w:p w14:paraId="68A74E3E"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.121</w:t>
            </w:r>
          </w:p>
        </w:tc>
        <w:tc>
          <w:tcPr>
            <w:tcW w:w="1181" w:type="dxa"/>
            <w:shd w:val="clear" w:color="auto" w:fill="auto"/>
          </w:tcPr>
          <w:p w14:paraId="75719842"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.088</w:t>
            </w:r>
          </w:p>
        </w:tc>
        <w:tc>
          <w:tcPr>
            <w:tcW w:w="1181" w:type="dxa"/>
            <w:shd w:val="clear" w:color="auto" w:fill="auto"/>
          </w:tcPr>
          <w:p w14:paraId="21EAFFDC"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.084</w:t>
            </w:r>
          </w:p>
        </w:tc>
        <w:tc>
          <w:tcPr>
            <w:tcW w:w="968" w:type="dxa"/>
            <w:shd w:val="clear" w:color="auto" w:fill="auto"/>
          </w:tcPr>
          <w:p w14:paraId="4F665358"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.092</w:t>
            </w:r>
          </w:p>
        </w:tc>
      </w:tr>
      <w:tr w:rsidR="00CC70D6" w:rsidRPr="00301264" w14:paraId="1F7206C9" w14:textId="77777777" w:rsidTr="00022E72">
        <w:trPr>
          <w:trHeight w:val="874"/>
          <w:jc w:val="center"/>
        </w:trPr>
        <w:tc>
          <w:tcPr>
            <w:tcW w:w="1056" w:type="dxa"/>
            <w:shd w:val="clear" w:color="auto" w:fill="auto"/>
          </w:tcPr>
          <w:p w14:paraId="1F4AB5BF" w14:textId="77777777" w:rsidR="00E10090" w:rsidRPr="00301264" w:rsidRDefault="00E10090" w:rsidP="004524BE">
            <w:pPr>
              <w:spacing w:after="0" w:line="240" w:lineRule="auto"/>
              <w:rPr>
                <w:rFonts w:ascii="Times New Roman" w:hAnsi="Times New Roman" w:cs="Times New Roman"/>
                <w:sz w:val="28"/>
                <w:szCs w:val="28"/>
                <w:lang w:val="en-US"/>
              </w:rPr>
            </w:pPr>
            <w:r w:rsidRPr="00301264">
              <w:rPr>
                <w:rFonts w:ascii="Times New Roman" w:hAnsi="Times New Roman" w:cs="Times New Roman"/>
                <w:sz w:val="28"/>
                <w:szCs w:val="28"/>
                <w:lang w:val="en-US"/>
              </w:rPr>
              <w:t>Final Model</w:t>
            </w:r>
          </w:p>
        </w:tc>
        <w:tc>
          <w:tcPr>
            <w:tcW w:w="1284" w:type="dxa"/>
            <w:shd w:val="clear" w:color="auto" w:fill="auto"/>
          </w:tcPr>
          <w:p w14:paraId="0A892885" w14:textId="77777777" w:rsidR="00CC70D6"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1114/</w:t>
            </w:r>
          </w:p>
          <w:p w14:paraId="4617C713" w14:textId="77777777" w:rsidR="00E10090" w:rsidRDefault="00E10090" w:rsidP="00CC70D6">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342=3.26</w:t>
            </w:r>
          </w:p>
          <w:p w14:paraId="102B20FA" w14:textId="30624C59" w:rsidR="006171C2" w:rsidRPr="00301264" w:rsidRDefault="006171C2" w:rsidP="00CC70D6">
            <w:pPr>
              <w:spacing w:after="0" w:line="240" w:lineRule="auto"/>
              <w:jc w:val="center"/>
              <w:rPr>
                <w:rFonts w:ascii="Times New Roman" w:hAnsi="Times New Roman" w:cs="Times New Roman"/>
                <w:sz w:val="28"/>
                <w:szCs w:val="28"/>
                <w:lang w:val="en-US"/>
              </w:rPr>
            </w:pPr>
          </w:p>
        </w:tc>
        <w:tc>
          <w:tcPr>
            <w:tcW w:w="706" w:type="dxa"/>
            <w:shd w:val="clear" w:color="auto" w:fill="auto"/>
            <w:hideMark/>
          </w:tcPr>
          <w:p w14:paraId="619CE053"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.959</w:t>
            </w:r>
          </w:p>
        </w:tc>
        <w:tc>
          <w:tcPr>
            <w:tcW w:w="706" w:type="dxa"/>
            <w:shd w:val="clear" w:color="auto" w:fill="auto"/>
          </w:tcPr>
          <w:p w14:paraId="5A56B142"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.959</w:t>
            </w:r>
          </w:p>
        </w:tc>
        <w:tc>
          <w:tcPr>
            <w:tcW w:w="706" w:type="dxa"/>
            <w:shd w:val="clear" w:color="auto" w:fill="auto"/>
          </w:tcPr>
          <w:p w14:paraId="4ADB1A66"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.942</w:t>
            </w:r>
          </w:p>
        </w:tc>
        <w:tc>
          <w:tcPr>
            <w:tcW w:w="710" w:type="dxa"/>
            <w:shd w:val="clear" w:color="auto" w:fill="auto"/>
          </w:tcPr>
          <w:p w14:paraId="5290AAB2"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.959</w:t>
            </w:r>
          </w:p>
        </w:tc>
        <w:tc>
          <w:tcPr>
            <w:tcW w:w="995" w:type="dxa"/>
            <w:shd w:val="clear" w:color="auto" w:fill="auto"/>
            <w:hideMark/>
          </w:tcPr>
          <w:p w14:paraId="12F1613C"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.098</w:t>
            </w:r>
          </w:p>
        </w:tc>
        <w:tc>
          <w:tcPr>
            <w:tcW w:w="1181" w:type="dxa"/>
            <w:shd w:val="clear" w:color="auto" w:fill="auto"/>
            <w:hideMark/>
          </w:tcPr>
          <w:p w14:paraId="512BE3DB"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.059</w:t>
            </w:r>
          </w:p>
        </w:tc>
        <w:tc>
          <w:tcPr>
            <w:tcW w:w="1181" w:type="dxa"/>
            <w:shd w:val="clear" w:color="auto" w:fill="auto"/>
            <w:hideMark/>
          </w:tcPr>
          <w:p w14:paraId="1BD13715"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.057</w:t>
            </w:r>
          </w:p>
        </w:tc>
        <w:tc>
          <w:tcPr>
            <w:tcW w:w="968" w:type="dxa"/>
            <w:shd w:val="clear" w:color="auto" w:fill="auto"/>
            <w:hideMark/>
          </w:tcPr>
          <w:p w14:paraId="443AD108" w14:textId="77777777" w:rsidR="00E10090" w:rsidRPr="00301264" w:rsidRDefault="00E10090" w:rsidP="004524BE">
            <w:pPr>
              <w:spacing w:after="0" w:line="240" w:lineRule="auto"/>
              <w:jc w:val="center"/>
              <w:rPr>
                <w:rFonts w:ascii="Times New Roman" w:hAnsi="Times New Roman" w:cs="Times New Roman"/>
                <w:sz w:val="28"/>
                <w:szCs w:val="28"/>
                <w:lang w:val="en-US"/>
              </w:rPr>
            </w:pPr>
            <w:r w:rsidRPr="00301264">
              <w:rPr>
                <w:rFonts w:ascii="Times New Roman" w:hAnsi="Times New Roman" w:cs="Times New Roman"/>
                <w:sz w:val="28"/>
                <w:szCs w:val="28"/>
                <w:lang w:val="en-US"/>
              </w:rPr>
              <w:t>.063</w:t>
            </w:r>
          </w:p>
        </w:tc>
      </w:tr>
      <w:tr w:rsidR="00E10090" w:rsidRPr="000E0481" w14:paraId="30109FD1" w14:textId="77777777" w:rsidTr="00CC70D6">
        <w:trPr>
          <w:trHeight w:val="22"/>
          <w:jc w:val="center"/>
        </w:trPr>
        <w:tc>
          <w:tcPr>
            <w:tcW w:w="9493" w:type="dxa"/>
            <w:gridSpan w:val="10"/>
            <w:shd w:val="clear" w:color="auto" w:fill="auto"/>
          </w:tcPr>
          <w:p w14:paraId="747B0F8E" w14:textId="1D73467C" w:rsidR="00E10090" w:rsidRPr="00DD6EA3" w:rsidRDefault="00DD6EA3" w:rsidP="00DD6EA3">
            <w:pPr>
              <w:spacing w:after="0" w:line="240" w:lineRule="auto"/>
              <w:rPr>
                <w:rFonts w:ascii="Times New Roman" w:hAnsi="Times New Roman" w:cs="Times New Roman"/>
                <w:sz w:val="24"/>
                <w:szCs w:val="24"/>
                <w:lang w:val="en-US"/>
              </w:rPr>
            </w:pPr>
            <w:r w:rsidRPr="00DD6EA3">
              <w:rPr>
                <w:rFonts w:ascii="Times New Roman" w:hAnsi="Times New Roman" w:cs="Times New Roman"/>
                <w:sz w:val="24"/>
                <w:szCs w:val="24"/>
                <w:lang w:val="en-US"/>
              </w:rPr>
              <w:t xml:space="preserve">           </w:t>
            </w:r>
            <w:r w:rsidR="00E10090" w:rsidRPr="00DD6EA3">
              <w:rPr>
                <w:rFonts w:ascii="Times New Roman" w:hAnsi="Times New Roman" w:cs="Times New Roman"/>
                <w:sz w:val="24"/>
                <w:szCs w:val="24"/>
                <w:lang w:val="en-US"/>
              </w:rPr>
              <w:t>Note – Compiled by author based on [</w:t>
            </w:r>
            <w:r w:rsidR="00EC52F2">
              <w:rPr>
                <w:rFonts w:ascii="Times New Roman" w:hAnsi="Times New Roman" w:cs="Times New Roman"/>
                <w:sz w:val="24"/>
                <w:szCs w:val="24"/>
                <w:lang w:val="en-US"/>
              </w:rPr>
              <w:t>6</w:t>
            </w:r>
            <w:r w:rsidR="00E10090" w:rsidRPr="00DD6EA3">
              <w:rPr>
                <w:rFonts w:ascii="Times New Roman" w:hAnsi="Times New Roman" w:cs="Times New Roman"/>
                <w:sz w:val="24"/>
                <w:szCs w:val="24"/>
                <w:lang w:val="en-US"/>
              </w:rPr>
              <w:t>]</w:t>
            </w:r>
          </w:p>
        </w:tc>
      </w:tr>
    </w:tbl>
    <w:p w14:paraId="6312C41D" w14:textId="77777777" w:rsidR="00267B0C" w:rsidRDefault="00267B0C" w:rsidP="00600C79">
      <w:pPr>
        <w:spacing w:after="0" w:line="240" w:lineRule="auto"/>
        <w:ind w:firstLine="720"/>
        <w:contextualSpacing/>
        <w:jc w:val="both"/>
        <w:rPr>
          <w:rFonts w:ascii="Times New Roman" w:hAnsi="Times New Roman" w:cs="Times New Roman"/>
          <w:sz w:val="28"/>
          <w:szCs w:val="28"/>
          <w:lang w:val="en-US"/>
        </w:rPr>
      </w:pPr>
    </w:p>
    <w:p w14:paraId="2BA006CC" w14:textId="681EA84C" w:rsidR="00022E72" w:rsidRDefault="00600C79" w:rsidP="006171C2">
      <w:pPr>
        <w:spacing w:after="0" w:line="240" w:lineRule="auto"/>
        <w:ind w:firstLine="720"/>
        <w:contextualSpacing/>
        <w:jc w:val="both"/>
        <w:rPr>
          <w:rFonts w:ascii="Times New Roman" w:hAnsi="Times New Roman" w:cs="Times New Roman"/>
          <w:sz w:val="28"/>
          <w:szCs w:val="28"/>
          <w:lang w:val="kk-KZ"/>
        </w:rPr>
      </w:pPr>
      <w:r w:rsidRPr="00244343">
        <w:rPr>
          <w:rFonts w:ascii="Times New Roman" w:hAnsi="Times New Roman" w:cs="Times New Roman"/>
          <w:sz w:val="28"/>
          <w:szCs w:val="28"/>
          <w:lang w:val="en-US"/>
        </w:rPr>
        <w:t xml:space="preserve">Each path must exhibit statistical significance to validate theories. β, z and significance values were verified by Table </w:t>
      </w:r>
      <w:r w:rsidR="00150CE1">
        <w:rPr>
          <w:rFonts w:ascii="Times New Roman" w:hAnsi="Times New Roman" w:cs="Times New Roman"/>
          <w:sz w:val="28"/>
          <w:szCs w:val="28"/>
          <w:lang w:val="en-US"/>
        </w:rPr>
        <w:t>1</w:t>
      </w:r>
      <w:r w:rsidR="001571C9">
        <w:rPr>
          <w:rFonts w:ascii="Times New Roman" w:hAnsi="Times New Roman" w:cs="Times New Roman"/>
          <w:sz w:val="28"/>
          <w:szCs w:val="28"/>
          <w:lang w:val="en-US"/>
        </w:rPr>
        <w:t>1</w:t>
      </w:r>
      <w:r w:rsidRPr="00244343">
        <w:rPr>
          <w:rFonts w:ascii="Times New Roman" w:hAnsi="Times New Roman" w:cs="Times New Roman"/>
          <w:sz w:val="28"/>
          <w:szCs w:val="28"/>
          <w:lang w:val="en-US"/>
        </w:rPr>
        <w:t>. The technique articulates the acceptance and rejection of the hypothesis. Of the 20 produced hypotheses, 13 were confirmed.</w:t>
      </w:r>
      <w:r w:rsidR="00267B0C">
        <w:rPr>
          <w:rFonts w:ascii="Times New Roman" w:hAnsi="Times New Roman" w:cs="Times New Roman"/>
          <w:sz w:val="28"/>
          <w:szCs w:val="28"/>
          <w:lang w:val="kk-KZ"/>
        </w:rPr>
        <w:t xml:space="preserve"> </w:t>
      </w:r>
    </w:p>
    <w:p w14:paraId="35B1BC62" w14:textId="77777777" w:rsidR="006171C2" w:rsidRDefault="006171C2" w:rsidP="00EE0A81">
      <w:pPr>
        <w:spacing w:after="0" w:line="240" w:lineRule="auto"/>
        <w:contextualSpacing/>
        <w:jc w:val="both"/>
        <w:rPr>
          <w:rFonts w:ascii="Times New Roman" w:hAnsi="Times New Roman" w:cs="Times New Roman"/>
          <w:i/>
          <w:iCs/>
          <w:sz w:val="28"/>
          <w:szCs w:val="28"/>
          <w:lang w:val="en-US"/>
        </w:rPr>
      </w:pPr>
    </w:p>
    <w:p w14:paraId="76A526D9" w14:textId="6570DBEB" w:rsidR="00022E72" w:rsidRDefault="00600C79" w:rsidP="00022E72">
      <w:pPr>
        <w:spacing w:after="0" w:line="240" w:lineRule="auto"/>
        <w:ind w:firstLine="720"/>
        <w:contextualSpacing/>
        <w:jc w:val="both"/>
        <w:rPr>
          <w:rFonts w:ascii="Times New Roman" w:hAnsi="Times New Roman" w:cs="Times New Roman"/>
          <w:i/>
          <w:iCs/>
          <w:sz w:val="28"/>
          <w:szCs w:val="28"/>
          <w:lang w:val="en-US"/>
        </w:rPr>
      </w:pPr>
      <w:r w:rsidRPr="00022E72">
        <w:rPr>
          <w:rFonts w:ascii="Times New Roman" w:hAnsi="Times New Roman" w:cs="Times New Roman"/>
          <w:i/>
          <w:iCs/>
          <w:sz w:val="28"/>
          <w:szCs w:val="28"/>
          <w:lang w:val="en-US"/>
        </w:rPr>
        <w:t>Path results</w:t>
      </w:r>
    </w:p>
    <w:p w14:paraId="7082EDA9" w14:textId="325E69FC" w:rsidR="00E10090" w:rsidRPr="006171C2" w:rsidRDefault="00E10090" w:rsidP="00022E72">
      <w:pPr>
        <w:spacing w:after="0" w:line="240" w:lineRule="auto"/>
        <w:ind w:firstLine="720"/>
        <w:contextualSpacing/>
        <w:jc w:val="both"/>
        <w:rPr>
          <w:rFonts w:ascii="Times New Roman" w:hAnsi="Times New Roman" w:cs="Times New Roman"/>
          <w:sz w:val="28"/>
          <w:szCs w:val="28"/>
          <w:lang w:val="en-US"/>
        </w:rPr>
      </w:pPr>
      <w:r w:rsidRPr="00022E72">
        <w:rPr>
          <w:rFonts w:ascii="Times New Roman" w:hAnsi="Times New Roman" w:cs="Times New Roman"/>
          <w:sz w:val="28"/>
          <w:szCs w:val="28"/>
          <w:lang w:val="en-US"/>
        </w:rPr>
        <w:t xml:space="preserve">Table </w:t>
      </w:r>
      <w:r w:rsidR="00150CE1">
        <w:rPr>
          <w:rFonts w:ascii="Times New Roman" w:hAnsi="Times New Roman" w:cs="Times New Roman"/>
          <w:sz w:val="28"/>
          <w:szCs w:val="28"/>
          <w:lang w:val="en-US"/>
        </w:rPr>
        <w:t>11</w:t>
      </w:r>
      <w:r w:rsidRPr="00022E72">
        <w:rPr>
          <w:rFonts w:ascii="Times New Roman" w:hAnsi="Times New Roman" w:cs="Times New Roman"/>
          <w:sz w:val="28"/>
          <w:szCs w:val="28"/>
          <w:lang w:val="en-US"/>
        </w:rPr>
        <w:t xml:space="preserve"> </w:t>
      </w:r>
      <w:r w:rsidR="00150CE1">
        <w:rPr>
          <w:rFonts w:ascii="Times New Roman" w:hAnsi="Times New Roman" w:cs="Times New Roman"/>
          <w:sz w:val="28"/>
          <w:szCs w:val="28"/>
          <w:lang w:val="en-US"/>
        </w:rPr>
        <w:t>–</w:t>
      </w:r>
      <w:r w:rsidRPr="00022E72">
        <w:rPr>
          <w:rFonts w:ascii="Times New Roman" w:hAnsi="Times New Roman" w:cs="Times New Roman"/>
          <w:sz w:val="28"/>
          <w:szCs w:val="28"/>
          <w:lang w:val="en-US"/>
        </w:rPr>
        <w:t xml:space="preserve"> Path Analyses Results</w:t>
      </w:r>
      <w:r w:rsidR="00022E72" w:rsidRPr="006171C2">
        <w:rPr>
          <w:rFonts w:ascii="Times New Roman" w:hAnsi="Times New Roman" w:cs="Times New Roman"/>
          <w:sz w:val="28"/>
          <w:szCs w:val="28"/>
          <w:lang w:val="en-US"/>
        </w:rPr>
        <w:t xml:space="preserve"> </w:t>
      </w:r>
    </w:p>
    <w:p w14:paraId="6E920F74" w14:textId="77777777" w:rsidR="006171C2" w:rsidRPr="006171C2" w:rsidRDefault="006171C2" w:rsidP="00022E72">
      <w:pPr>
        <w:spacing w:after="0" w:line="240" w:lineRule="auto"/>
        <w:ind w:firstLine="720"/>
        <w:contextualSpacing/>
        <w:jc w:val="both"/>
        <w:rPr>
          <w:rFonts w:ascii="Times New Roman" w:hAnsi="Times New Roman" w:cs="Times New Roman"/>
          <w:i/>
          <w:iCs/>
          <w:sz w:val="28"/>
          <w:szCs w:val="28"/>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1276"/>
        <w:gridCol w:w="1011"/>
        <w:gridCol w:w="904"/>
        <w:gridCol w:w="920"/>
        <w:gridCol w:w="850"/>
        <w:gridCol w:w="851"/>
        <w:gridCol w:w="19"/>
        <w:gridCol w:w="789"/>
        <w:gridCol w:w="61"/>
        <w:gridCol w:w="699"/>
      </w:tblGrid>
      <w:tr w:rsidR="00E10090" w:rsidRPr="00022E72" w14:paraId="1810541E" w14:textId="77777777" w:rsidTr="00BD1A44">
        <w:trPr>
          <w:trHeight w:val="1116"/>
          <w:jc w:val="center"/>
        </w:trPr>
        <w:tc>
          <w:tcPr>
            <w:tcW w:w="704" w:type="dxa"/>
            <w:shd w:val="clear" w:color="auto" w:fill="auto"/>
          </w:tcPr>
          <w:p w14:paraId="69E470CA" w14:textId="77777777" w:rsidR="00E10090" w:rsidRPr="00022E72" w:rsidRDefault="00E10090" w:rsidP="004524BE">
            <w:pPr>
              <w:spacing w:after="0" w:line="240" w:lineRule="auto"/>
              <w:contextualSpacing/>
              <w:rPr>
                <w:rFonts w:ascii="Times New Roman" w:hAnsi="Times New Roman" w:cs="Times New Roman"/>
                <w:bCs/>
                <w:sz w:val="28"/>
                <w:szCs w:val="28"/>
                <w:lang w:val="en-US"/>
              </w:rPr>
            </w:pPr>
            <w:r w:rsidRPr="00022E72">
              <w:rPr>
                <w:rFonts w:ascii="Times New Roman" w:hAnsi="Times New Roman" w:cs="Times New Roman"/>
                <w:bCs/>
                <w:sz w:val="28"/>
                <w:szCs w:val="28"/>
                <w:lang w:val="en-US"/>
              </w:rPr>
              <w:t>H</w:t>
            </w:r>
          </w:p>
        </w:tc>
        <w:tc>
          <w:tcPr>
            <w:tcW w:w="1276" w:type="dxa"/>
            <w:shd w:val="clear" w:color="auto" w:fill="auto"/>
          </w:tcPr>
          <w:p w14:paraId="7BC7F415" w14:textId="77777777" w:rsidR="00E10090" w:rsidRPr="00022E72" w:rsidRDefault="00E10090" w:rsidP="004524BE">
            <w:pPr>
              <w:spacing w:after="0" w:line="240" w:lineRule="auto"/>
              <w:contextualSpacing/>
              <w:rPr>
                <w:rFonts w:ascii="Times New Roman" w:hAnsi="Times New Roman" w:cs="Times New Roman"/>
                <w:bCs/>
                <w:sz w:val="28"/>
                <w:szCs w:val="28"/>
              </w:rPr>
            </w:pPr>
            <w:r w:rsidRPr="00022E72">
              <w:rPr>
                <w:rFonts w:ascii="Times New Roman" w:hAnsi="Times New Roman" w:cs="Times New Roman"/>
                <w:bCs/>
                <w:sz w:val="28"/>
                <w:szCs w:val="28"/>
                <w:lang w:val="en-US"/>
              </w:rPr>
              <w:t>From</w:t>
            </w:r>
          </w:p>
        </w:tc>
        <w:tc>
          <w:tcPr>
            <w:tcW w:w="1276" w:type="dxa"/>
            <w:shd w:val="clear" w:color="auto" w:fill="auto"/>
          </w:tcPr>
          <w:p w14:paraId="40EBCFC0" w14:textId="77777777" w:rsidR="00E10090" w:rsidRPr="00022E72" w:rsidRDefault="00E10090" w:rsidP="004524BE">
            <w:pPr>
              <w:spacing w:after="0" w:line="240" w:lineRule="auto"/>
              <w:contextualSpacing/>
              <w:rPr>
                <w:rFonts w:ascii="Times New Roman" w:hAnsi="Times New Roman" w:cs="Times New Roman"/>
                <w:bCs/>
                <w:sz w:val="28"/>
                <w:szCs w:val="28"/>
              </w:rPr>
            </w:pPr>
            <w:r w:rsidRPr="00022E72">
              <w:rPr>
                <w:rFonts w:ascii="Times New Roman" w:hAnsi="Times New Roman" w:cs="Times New Roman"/>
                <w:bCs/>
                <w:sz w:val="28"/>
                <w:szCs w:val="28"/>
                <w:lang w:val="en-US"/>
              </w:rPr>
              <w:t>To</w:t>
            </w:r>
          </w:p>
        </w:tc>
        <w:tc>
          <w:tcPr>
            <w:tcW w:w="1011" w:type="dxa"/>
            <w:tcBorders>
              <w:right w:val="nil"/>
            </w:tcBorders>
            <w:shd w:val="clear" w:color="auto" w:fill="auto"/>
          </w:tcPr>
          <w:p w14:paraId="318DD7FC" w14:textId="77777777" w:rsidR="00E10090" w:rsidRPr="00022E72" w:rsidRDefault="00E10090" w:rsidP="004524BE">
            <w:pPr>
              <w:spacing w:after="0" w:line="240" w:lineRule="auto"/>
              <w:contextualSpacing/>
              <w:jc w:val="center"/>
              <w:rPr>
                <w:rFonts w:ascii="Times New Roman" w:hAnsi="Times New Roman" w:cs="Times New Roman"/>
                <w:bCs/>
                <w:sz w:val="28"/>
                <w:szCs w:val="28"/>
              </w:rPr>
            </w:pPr>
          </w:p>
        </w:tc>
        <w:tc>
          <w:tcPr>
            <w:tcW w:w="904" w:type="dxa"/>
            <w:tcBorders>
              <w:left w:val="nil"/>
              <w:right w:val="nil"/>
            </w:tcBorders>
            <w:shd w:val="clear" w:color="auto" w:fill="auto"/>
          </w:tcPr>
          <w:p w14:paraId="29A3B338" w14:textId="77777777" w:rsidR="00E10090" w:rsidRPr="00022E72" w:rsidRDefault="00E10090" w:rsidP="004524BE">
            <w:pPr>
              <w:spacing w:after="0" w:line="240" w:lineRule="auto"/>
              <w:contextualSpacing/>
              <w:jc w:val="center"/>
              <w:rPr>
                <w:rFonts w:ascii="Times New Roman" w:hAnsi="Times New Roman" w:cs="Times New Roman"/>
                <w:bCs/>
                <w:sz w:val="28"/>
                <w:szCs w:val="28"/>
              </w:rPr>
            </w:pPr>
          </w:p>
        </w:tc>
        <w:tc>
          <w:tcPr>
            <w:tcW w:w="1770" w:type="dxa"/>
            <w:gridSpan w:val="2"/>
            <w:tcBorders>
              <w:left w:val="nil"/>
              <w:right w:val="nil"/>
            </w:tcBorders>
            <w:shd w:val="clear" w:color="auto" w:fill="auto"/>
          </w:tcPr>
          <w:p w14:paraId="081F2890" w14:textId="1FA7E32D" w:rsidR="008D5DA4" w:rsidRPr="00022E72" w:rsidRDefault="00E10090" w:rsidP="00BD1A44">
            <w:pPr>
              <w:spacing w:after="0" w:line="240" w:lineRule="auto"/>
              <w:contextualSpacing/>
              <w:jc w:val="center"/>
              <w:rPr>
                <w:rFonts w:ascii="Times New Roman" w:hAnsi="Times New Roman" w:cs="Times New Roman"/>
                <w:bCs/>
                <w:sz w:val="28"/>
                <w:szCs w:val="28"/>
                <w:lang w:val="en-US"/>
              </w:rPr>
            </w:pPr>
            <w:r w:rsidRPr="00022E72">
              <w:rPr>
                <w:rFonts w:ascii="Times New Roman" w:hAnsi="Times New Roman" w:cs="Times New Roman"/>
                <w:bCs/>
                <w:sz w:val="28"/>
                <w:szCs w:val="28"/>
                <w:lang w:val="en-US"/>
              </w:rPr>
              <w:t>95% Confidence Intervals</w:t>
            </w:r>
          </w:p>
        </w:tc>
        <w:tc>
          <w:tcPr>
            <w:tcW w:w="870" w:type="dxa"/>
            <w:gridSpan w:val="2"/>
            <w:tcBorders>
              <w:left w:val="nil"/>
              <w:right w:val="nil"/>
            </w:tcBorders>
            <w:shd w:val="clear" w:color="auto" w:fill="auto"/>
          </w:tcPr>
          <w:p w14:paraId="2E63DF26" w14:textId="77777777" w:rsidR="00E10090" w:rsidRPr="00022E72" w:rsidRDefault="00E10090" w:rsidP="004524BE">
            <w:pPr>
              <w:spacing w:after="0" w:line="240" w:lineRule="auto"/>
              <w:contextualSpacing/>
              <w:jc w:val="center"/>
              <w:rPr>
                <w:rFonts w:ascii="Times New Roman" w:hAnsi="Times New Roman" w:cs="Times New Roman"/>
                <w:bCs/>
                <w:sz w:val="28"/>
                <w:szCs w:val="28"/>
              </w:rPr>
            </w:pPr>
          </w:p>
        </w:tc>
        <w:tc>
          <w:tcPr>
            <w:tcW w:w="789" w:type="dxa"/>
            <w:tcBorders>
              <w:left w:val="nil"/>
              <w:right w:val="nil"/>
            </w:tcBorders>
            <w:shd w:val="clear" w:color="auto" w:fill="auto"/>
          </w:tcPr>
          <w:p w14:paraId="48748F8B" w14:textId="77777777" w:rsidR="00E10090" w:rsidRPr="00022E72" w:rsidRDefault="00E10090" w:rsidP="004524BE">
            <w:pPr>
              <w:spacing w:after="0" w:line="240" w:lineRule="auto"/>
              <w:contextualSpacing/>
              <w:jc w:val="center"/>
              <w:rPr>
                <w:rFonts w:ascii="Times New Roman" w:hAnsi="Times New Roman" w:cs="Times New Roman"/>
                <w:bCs/>
                <w:sz w:val="28"/>
                <w:szCs w:val="28"/>
              </w:rPr>
            </w:pPr>
          </w:p>
        </w:tc>
        <w:tc>
          <w:tcPr>
            <w:tcW w:w="760" w:type="dxa"/>
            <w:gridSpan w:val="2"/>
            <w:tcBorders>
              <w:left w:val="nil"/>
            </w:tcBorders>
            <w:shd w:val="clear" w:color="auto" w:fill="auto"/>
          </w:tcPr>
          <w:p w14:paraId="3AB3A010" w14:textId="77777777" w:rsidR="00E10090" w:rsidRPr="00022E72" w:rsidRDefault="00E10090" w:rsidP="004524BE">
            <w:pPr>
              <w:spacing w:after="0" w:line="240" w:lineRule="auto"/>
              <w:contextualSpacing/>
              <w:jc w:val="center"/>
              <w:rPr>
                <w:rFonts w:ascii="Times New Roman" w:hAnsi="Times New Roman" w:cs="Times New Roman"/>
                <w:bCs/>
                <w:sz w:val="28"/>
                <w:szCs w:val="28"/>
              </w:rPr>
            </w:pPr>
          </w:p>
        </w:tc>
      </w:tr>
      <w:tr w:rsidR="00E10090" w:rsidRPr="00022E72" w14:paraId="59CC30A0" w14:textId="77777777" w:rsidTr="00BD1A44">
        <w:trPr>
          <w:trHeight w:val="706"/>
          <w:jc w:val="center"/>
        </w:trPr>
        <w:tc>
          <w:tcPr>
            <w:tcW w:w="704" w:type="dxa"/>
            <w:shd w:val="clear" w:color="auto" w:fill="auto"/>
          </w:tcPr>
          <w:p w14:paraId="4577AF42" w14:textId="77777777" w:rsidR="00E10090" w:rsidRPr="00022E72" w:rsidRDefault="00E10090" w:rsidP="004524BE">
            <w:pPr>
              <w:spacing w:after="0" w:line="240" w:lineRule="auto"/>
              <w:contextualSpacing/>
              <w:rPr>
                <w:rFonts w:ascii="Times New Roman" w:hAnsi="Times New Roman" w:cs="Times New Roman"/>
                <w:bCs/>
                <w:sz w:val="28"/>
                <w:szCs w:val="28"/>
                <w:lang w:val="en-US"/>
              </w:rPr>
            </w:pPr>
            <w:bookmarkStart w:id="17" w:name="_Hlk115716935"/>
          </w:p>
        </w:tc>
        <w:tc>
          <w:tcPr>
            <w:tcW w:w="1276" w:type="dxa"/>
            <w:shd w:val="clear" w:color="auto" w:fill="auto"/>
          </w:tcPr>
          <w:p w14:paraId="1B8B3ED6" w14:textId="77777777" w:rsidR="00E10090" w:rsidRPr="00022E72" w:rsidRDefault="00E10090" w:rsidP="004524BE">
            <w:pPr>
              <w:spacing w:after="0" w:line="240" w:lineRule="auto"/>
              <w:contextualSpacing/>
              <w:rPr>
                <w:rFonts w:ascii="Times New Roman" w:hAnsi="Times New Roman" w:cs="Times New Roman"/>
                <w:bCs/>
                <w:sz w:val="28"/>
                <w:szCs w:val="28"/>
                <w:lang w:val="en-US"/>
              </w:rPr>
            </w:pPr>
          </w:p>
        </w:tc>
        <w:tc>
          <w:tcPr>
            <w:tcW w:w="1276" w:type="dxa"/>
            <w:shd w:val="clear" w:color="auto" w:fill="auto"/>
          </w:tcPr>
          <w:p w14:paraId="47F652A3" w14:textId="77777777" w:rsidR="00E10090" w:rsidRPr="00022E72" w:rsidRDefault="00E10090" w:rsidP="004524BE">
            <w:pPr>
              <w:spacing w:after="0" w:line="240" w:lineRule="auto"/>
              <w:contextualSpacing/>
              <w:rPr>
                <w:rFonts w:ascii="Times New Roman" w:hAnsi="Times New Roman" w:cs="Times New Roman"/>
                <w:sz w:val="28"/>
                <w:szCs w:val="28"/>
                <w:lang w:val="en-US"/>
              </w:rPr>
            </w:pPr>
          </w:p>
        </w:tc>
        <w:tc>
          <w:tcPr>
            <w:tcW w:w="1011" w:type="dxa"/>
            <w:shd w:val="clear" w:color="auto" w:fill="auto"/>
          </w:tcPr>
          <w:p w14:paraId="4FCD0836"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bCs/>
                <w:sz w:val="28"/>
                <w:szCs w:val="28"/>
                <w:lang w:val="en-US"/>
              </w:rPr>
              <w:t>Estimate</w:t>
            </w:r>
          </w:p>
        </w:tc>
        <w:tc>
          <w:tcPr>
            <w:tcW w:w="904" w:type="dxa"/>
            <w:shd w:val="clear" w:color="auto" w:fill="auto"/>
          </w:tcPr>
          <w:p w14:paraId="07C0E706"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bCs/>
                <w:sz w:val="28"/>
                <w:szCs w:val="28"/>
                <w:lang w:val="en-US"/>
              </w:rPr>
              <w:t>SE</w:t>
            </w:r>
          </w:p>
        </w:tc>
        <w:tc>
          <w:tcPr>
            <w:tcW w:w="920" w:type="dxa"/>
            <w:shd w:val="clear" w:color="auto" w:fill="auto"/>
          </w:tcPr>
          <w:p w14:paraId="0E6B77C5"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bCs/>
                <w:sz w:val="28"/>
                <w:szCs w:val="28"/>
                <w:lang w:val="en-US"/>
              </w:rPr>
              <w:t>Lower</w:t>
            </w:r>
          </w:p>
        </w:tc>
        <w:tc>
          <w:tcPr>
            <w:tcW w:w="850" w:type="dxa"/>
            <w:shd w:val="clear" w:color="auto" w:fill="auto"/>
          </w:tcPr>
          <w:p w14:paraId="4BDE88F2"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bCs/>
                <w:sz w:val="28"/>
                <w:szCs w:val="28"/>
                <w:lang w:val="en-US"/>
              </w:rPr>
              <w:t>Upper</w:t>
            </w:r>
          </w:p>
        </w:tc>
        <w:tc>
          <w:tcPr>
            <w:tcW w:w="851" w:type="dxa"/>
            <w:shd w:val="clear" w:color="auto" w:fill="auto"/>
            <w:vAlign w:val="bottom"/>
          </w:tcPr>
          <w:p w14:paraId="33389796"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bCs/>
                <w:sz w:val="28"/>
                <w:szCs w:val="28"/>
                <w:lang w:val="en-US"/>
              </w:rPr>
              <w:t>β</w:t>
            </w:r>
          </w:p>
        </w:tc>
        <w:tc>
          <w:tcPr>
            <w:tcW w:w="869" w:type="dxa"/>
            <w:gridSpan w:val="3"/>
            <w:shd w:val="clear" w:color="auto" w:fill="auto"/>
            <w:vAlign w:val="bottom"/>
          </w:tcPr>
          <w:p w14:paraId="1D1C3002"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bCs/>
                <w:sz w:val="28"/>
                <w:szCs w:val="28"/>
                <w:lang w:val="en-US"/>
              </w:rPr>
              <w:t>z</w:t>
            </w:r>
          </w:p>
        </w:tc>
        <w:tc>
          <w:tcPr>
            <w:tcW w:w="699" w:type="dxa"/>
            <w:shd w:val="clear" w:color="auto" w:fill="auto"/>
            <w:vAlign w:val="bottom"/>
          </w:tcPr>
          <w:p w14:paraId="5D6A8063"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bCs/>
                <w:sz w:val="28"/>
                <w:szCs w:val="28"/>
                <w:lang w:val="en-US"/>
              </w:rPr>
              <w:t>p</w:t>
            </w:r>
          </w:p>
        </w:tc>
      </w:tr>
      <w:bookmarkEnd w:id="17"/>
      <w:tr w:rsidR="00E10090" w:rsidRPr="00022E72" w14:paraId="2D4E649E" w14:textId="77777777" w:rsidTr="008D5DA4">
        <w:trPr>
          <w:jc w:val="center"/>
        </w:trPr>
        <w:tc>
          <w:tcPr>
            <w:tcW w:w="704" w:type="dxa"/>
            <w:shd w:val="clear" w:color="auto" w:fill="auto"/>
          </w:tcPr>
          <w:p w14:paraId="09726217"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H1</w:t>
            </w:r>
          </w:p>
        </w:tc>
        <w:tc>
          <w:tcPr>
            <w:tcW w:w="1276" w:type="dxa"/>
            <w:shd w:val="clear" w:color="auto" w:fill="auto"/>
          </w:tcPr>
          <w:p w14:paraId="0429B86B"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environment</w:t>
            </w:r>
          </w:p>
        </w:tc>
        <w:tc>
          <w:tcPr>
            <w:tcW w:w="1276" w:type="dxa"/>
            <w:shd w:val="clear" w:color="auto" w:fill="auto"/>
            <w:hideMark/>
          </w:tcPr>
          <w:p w14:paraId="4F948CDA"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Self-efficacy</w:t>
            </w:r>
          </w:p>
        </w:tc>
        <w:tc>
          <w:tcPr>
            <w:tcW w:w="1011" w:type="dxa"/>
            <w:shd w:val="clear" w:color="auto" w:fill="auto"/>
            <w:hideMark/>
          </w:tcPr>
          <w:p w14:paraId="10EC78F1"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.102</w:t>
            </w:r>
          </w:p>
        </w:tc>
        <w:tc>
          <w:tcPr>
            <w:tcW w:w="904" w:type="dxa"/>
            <w:shd w:val="clear" w:color="auto" w:fill="auto"/>
            <w:hideMark/>
          </w:tcPr>
          <w:p w14:paraId="5AE85EAF"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.056</w:t>
            </w:r>
          </w:p>
        </w:tc>
        <w:tc>
          <w:tcPr>
            <w:tcW w:w="920" w:type="dxa"/>
            <w:shd w:val="clear" w:color="auto" w:fill="auto"/>
            <w:hideMark/>
          </w:tcPr>
          <w:p w14:paraId="1F855510"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-.008</w:t>
            </w:r>
          </w:p>
        </w:tc>
        <w:tc>
          <w:tcPr>
            <w:tcW w:w="850" w:type="dxa"/>
            <w:shd w:val="clear" w:color="auto" w:fill="auto"/>
            <w:hideMark/>
          </w:tcPr>
          <w:p w14:paraId="591D1975"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.212</w:t>
            </w:r>
          </w:p>
        </w:tc>
        <w:tc>
          <w:tcPr>
            <w:tcW w:w="851" w:type="dxa"/>
            <w:shd w:val="clear" w:color="auto" w:fill="auto"/>
            <w:vAlign w:val="center"/>
            <w:hideMark/>
          </w:tcPr>
          <w:p w14:paraId="4C6684C1"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.1163</w:t>
            </w:r>
          </w:p>
        </w:tc>
        <w:tc>
          <w:tcPr>
            <w:tcW w:w="869" w:type="dxa"/>
            <w:gridSpan w:val="3"/>
            <w:shd w:val="clear" w:color="auto" w:fill="auto"/>
            <w:vAlign w:val="center"/>
            <w:hideMark/>
          </w:tcPr>
          <w:p w14:paraId="13FFC57F"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1.8198</w:t>
            </w:r>
          </w:p>
        </w:tc>
        <w:tc>
          <w:tcPr>
            <w:tcW w:w="699" w:type="dxa"/>
            <w:shd w:val="clear" w:color="auto" w:fill="auto"/>
            <w:vAlign w:val="center"/>
            <w:hideMark/>
          </w:tcPr>
          <w:p w14:paraId="56484365"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.069</w:t>
            </w:r>
          </w:p>
        </w:tc>
      </w:tr>
      <w:tr w:rsidR="00E10090" w:rsidRPr="00022E72" w14:paraId="01797029" w14:textId="77777777" w:rsidTr="008D5DA4">
        <w:trPr>
          <w:jc w:val="center"/>
        </w:trPr>
        <w:tc>
          <w:tcPr>
            <w:tcW w:w="704" w:type="dxa"/>
            <w:shd w:val="clear" w:color="auto" w:fill="auto"/>
          </w:tcPr>
          <w:p w14:paraId="3376BC98"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H2</w:t>
            </w:r>
          </w:p>
        </w:tc>
        <w:tc>
          <w:tcPr>
            <w:tcW w:w="1276" w:type="dxa"/>
            <w:shd w:val="clear" w:color="auto" w:fill="auto"/>
          </w:tcPr>
          <w:p w14:paraId="6D2DD9B9"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environment</w:t>
            </w:r>
          </w:p>
        </w:tc>
        <w:tc>
          <w:tcPr>
            <w:tcW w:w="1276" w:type="dxa"/>
            <w:shd w:val="clear" w:color="auto" w:fill="auto"/>
          </w:tcPr>
          <w:p w14:paraId="13068B7D"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intention</w:t>
            </w:r>
          </w:p>
        </w:tc>
        <w:tc>
          <w:tcPr>
            <w:tcW w:w="1011" w:type="dxa"/>
            <w:shd w:val="clear" w:color="auto" w:fill="auto"/>
          </w:tcPr>
          <w:p w14:paraId="7D2208DB"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.050</w:t>
            </w:r>
          </w:p>
        </w:tc>
        <w:tc>
          <w:tcPr>
            <w:tcW w:w="904" w:type="dxa"/>
            <w:shd w:val="clear" w:color="auto" w:fill="auto"/>
          </w:tcPr>
          <w:p w14:paraId="1DBAC095"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.044</w:t>
            </w:r>
          </w:p>
        </w:tc>
        <w:tc>
          <w:tcPr>
            <w:tcW w:w="920" w:type="dxa"/>
            <w:shd w:val="clear" w:color="auto" w:fill="auto"/>
          </w:tcPr>
          <w:p w14:paraId="207AD3E5"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-.037</w:t>
            </w:r>
          </w:p>
        </w:tc>
        <w:tc>
          <w:tcPr>
            <w:tcW w:w="850" w:type="dxa"/>
            <w:shd w:val="clear" w:color="auto" w:fill="auto"/>
          </w:tcPr>
          <w:p w14:paraId="231FC1C6"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.137</w:t>
            </w:r>
          </w:p>
        </w:tc>
        <w:tc>
          <w:tcPr>
            <w:tcW w:w="851" w:type="dxa"/>
            <w:shd w:val="clear" w:color="auto" w:fill="auto"/>
            <w:vAlign w:val="center"/>
          </w:tcPr>
          <w:p w14:paraId="14598AA5"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.0609</w:t>
            </w:r>
          </w:p>
        </w:tc>
        <w:tc>
          <w:tcPr>
            <w:tcW w:w="869" w:type="dxa"/>
            <w:gridSpan w:val="3"/>
            <w:shd w:val="clear" w:color="auto" w:fill="auto"/>
            <w:vAlign w:val="center"/>
          </w:tcPr>
          <w:p w14:paraId="4A289AE2"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1.1315</w:t>
            </w:r>
          </w:p>
        </w:tc>
        <w:tc>
          <w:tcPr>
            <w:tcW w:w="699" w:type="dxa"/>
            <w:shd w:val="clear" w:color="auto" w:fill="auto"/>
            <w:vAlign w:val="center"/>
          </w:tcPr>
          <w:p w14:paraId="12CA99C2"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.258</w:t>
            </w:r>
          </w:p>
        </w:tc>
      </w:tr>
      <w:tr w:rsidR="00E10090" w:rsidRPr="00022E72" w14:paraId="1ED6EEC2" w14:textId="77777777" w:rsidTr="008D5DA4">
        <w:trPr>
          <w:jc w:val="center"/>
        </w:trPr>
        <w:tc>
          <w:tcPr>
            <w:tcW w:w="704" w:type="dxa"/>
            <w:shd w:val="clear" w:color="auto" w:fill="auto"/>
          </w:tcPr>
          <w:p w14:paraId="2AD08FB7"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H3</w:t>
            </w:r>
          </w:p>
        </w:tc>
        <w:tc>
          <w:tcPr>
            <w:tcW w:w="1276" w:type="dxa"/>
            <w:shd w:val="clear" w:color="auto" w:fill="auto"/>
          </w:tcPr>
          <w:p w14:paraId="1E262983"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environment</w:t>
            </w:r>
          </w:p>
        </w:tc>
        <w:tc>
          <w:tcPr>
            <w:tcW w:w="1276" w:type="dxa"/>
            <w:shd w:val="clear" w:color="auto" w:fill="auto"/>
          </w:tcPr>
          <w:p w14:paraId="39135740"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attitudes</w:t>
            </w:r>
          </w:p>
        </w:tc>
        <w:tc>
          <w:tcPr>
            <w:tcW w:w="1011" w:type="dxa"/>
            <w:shd w:val="clear" w:color="auto" w:fill="auto"/>
          </w:tcPr>
          <w:p w14:paraId="36070D7A"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.025</w:t>
            </w:r>
          </w:p>
        </w:tc>
        <w:tc>
          <w:tcPr>
            <w:tcW w:w="904" w:type="dxa"/>
            <w:shd w:val="clear" w:color="auto" w:fill="auto"/>
          </w:tcPr>
          <w:p w14:paraId="479CCD99"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.037</w:t>
            </w:r>
          </w:p>
        </w:tc>
        <w:tc>
          <w:tcPr>
            <w:tcW w:w="920" w:type="dxa"/>
            <w:shd w:val="clear" w:color="auto" w:fill="auto"/>
          </w:tcPr>
          <w:p w14:paraId="65883CF9"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-.048</w:t>
            </w:r>
          </w:p>
        </w:tc>
        <w:tc>
          <w:tcPr>
            <w:tcW w:w="850" w:type="dxa"/>
            <w:shd w:val="clear" w:color="auto" w:fill="auto"/>
          </w:tcPr>
          <w:p w14:paraId="369806DB"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.097</w:t>
            </w:r>
          </w:p>
        </w:tc>
        <w:tc>
          <w:tcPr>
            <w:tcW w:w="851" w:type="dxa"/>
            <w:shd w:val="clear" w:color="auto" w:fill="auto"/>
            <w:vAlign w:val="center"/>
          </w:tcPr>
          <w:p w14:paraId="014BD6B4"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.0353</w:t>
            </w:r>
          </w:p>
        </w:tc>
        <w:tc>
          <w:tcPr>
            <w:tcW w:w="869" w:type="dxa"/>
            <w:gridSpan w:val="3"/>
            <w:shd w:val="clear" w:color="auto" w:fill="auto"/>
            <w:vAlign w:val="center"/>
          </w:tcPr>
          <w:p w14:paraId="55787462"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.6720</w:t>
            </w:r>
          </w:p>
        </w:tc>
        <w:tc>
          <w:tcPr>
            <w:tcW w:w="699" w:type="dxa"/>
            <w:shd w:val="clear" w:color="auto" w:fill="auto"/>
            <w:vAlign w:val="center"/>
          </w:tcPr>
          <w:p w14:paraId="0915A7E7"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.502</w:t>
            </w:r>
          </w:p>
        </w:tc>
      </w:tr>
      <w:tr w:rsidR="00E10090" w:rsidRPr="00022E72" w14:paraId="36CFCD9D" w14:textId="77777777" w:rsidTr="008D5DA4">
        <w:trPr>
          <w:jc w:val="center"/>
        </w:trPr>
        <w:tc>
          <w:tcPr>
            <w:tcW w:w="704" w:type="dxa"/>
            <w:shd w:val="clear" w:color="auto" w:fill="auto"/>
          </w:tcPr>
          <w:p w14:paraId="369257E7"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H4</w:t>
            </w:r>
          </w:p>
        </w:tc>
        <w:tc>
          <w:tcPr>
            <w:tcW w:w="1276" w:type="dxa"/>
            <w:shd w:val="clear" w:color="auto" w:fill="auto"/>
          </w:tcPr>
          <w:p w14:paraId="27430113"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environment</w:t>
            </w:r>
          </w:p>
        </w:tc>
        <w:tc>
          <w:tcPr>
            <w:tcW w:w="1276" w:type="dxa"/>
            <w:shd w:val="clear" w:color="auto" w:fill="auto"/>
          </w:tcPr>
          <w:p w14:paraId="508D0CAB"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Locus of control</w:t>
            </w:r>
          </w:p>
        </w:tc>
        <w:tc>
          <w:tcPr>
            <w:tcW w:w="1011" w:type="dxa"/>
            <w:shd w:val="clear" w:color="auto" w:fill="auto"/>
          </w:tcPr>
          <w:p w14:paraId="4E2BE2FF"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.129</w:t>
            </w:r>
          </w:p>
        </w:tc>
        <w:tc>
          <w:tcPr>
            <w:tcW w:w="904" w:type="dxa"/>
            <w:shd w:val="clear" w:color="auto" w:fill="auto"/>
          </w:tcPr>
          <w:p w14:paraId="04B0398A"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.053</w:t>
            </w:r>
          </w:p>
        </w:tc>
        <w:tc>
          <w:tcPr>
            <w:tcW w:w="920" w:type="dxa"/>
            <w:shd w:val="clear" w:color="auto" w:fill="auto"/>
          </w:tcPr>
          <w:p w14:paraId="779C21FF"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.025</w:t>
            </w:r>
          </w:p>
        </w:tc>
        <w:tc>
          <w:tcPr>
            <w:tcW w:w="850" w:type="dxa"/>
            <w:shd w:val="clear" w:color="auto" w:fill="auto"/>
          </w:tcPr>
          <w:p w14:paraId="3BD11CB0"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.232</w:t>
            </w:r>
          </w:p>
        </w:tc>
        <w:tc>
          <w:tcPr>
            <w:tcW w:w="851" w:type="dxa"/>
            <w:shd w:val="clear" w:color="auto" w:fill="auto"/>
            <w:vAlign w:val="center"/>
          </w:tcPr>
          <w:p w14:paraId="604658E3"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.1694</w:t>
            </w:r>
          </w:p>
        </w:tc>
        <w:tc>
          <w:tcPr>
            <w:tcW w:w="869" w:type="dxa"/>
            <w:gridSpan w:val="3"/>
            <w:shd w:val="clear" w:color="auto" w:fill="auto"/>
            <w:vAlign w:val="center"/>
          </w:tcPr>
          <w:p w14:paraId="05CCEB36"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2.4345</w:t>
            </w:r>
          </w:p>
        </w:tc>
        <w:tc>
          <w:tcPr>
            <w:tcW w:w="699" w:type="dxa"/>
            <w:shd w:val="clear" w:color="auto" w:fill="auto"/>
            <w:vAlign w:val="center"/>
          </w:tcPr>
          <w:p w14:paraId="21683BEE"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.015*</w:t>
            </w:r>
          </w:p>
        </w:tc>
      </w:tr>
      <w:tr w:rsidR="00E10090" w:rsidRPr="00022E72" w14:paraId="4AD60CA2" w14:textId="77777777" w:rsidTr="008D5DA4">
        <w:trPr>
          <w:jc w:val="center"/>
        </w:trPr>
        <w:tc>
          <w:tcPr>
            <w:tcW w:w="704" w:type="dxa"/>
            <w:shd w:val="clear" w:color="auto" w:fill="auto"/>
          </w:tcPr>
          <w:p w14:paraId="5D0FC3B2"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H5</w:t>
            </w:r>
          </w:p>
        </w:tc>
        <w:tc>
          <w:tcPr>
            <w:tcW w:w="1276" w:type="dxa"/>
            <w:shd w:val="clear" w:color="auto" w:fill="auto"/>
          </w:tcPr>
          <w:p w14:paraId="40D35E54"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programs</w:t>
            </w:r>
          </w:p>
        </w:tc>
        <w:tc>
          <w:tcPr>
            <w:tcW w:w="1276" w:type="dxa"/>
            <w:shd w:val="clear" w:color="auto" w:fill="auto"/>
          </w:tcPr>
          <w:p w14:paraId="07D68E1E"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Self-efficacy</w:t>
            </w:r>
          </w:p>
        </w:tc>
        <w:tc>
          <w:tcPr>
            <w:tcW w:w="1011" w:type="dxa"/>
            <w:shd w:val="clear" w:color="auto" w:fill="auto"/>
          </w:tcPr>
          <w:p w14:paraId="4D16C0F5"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.421</w:t>
            </w:r>
          </w:p>
        </w:tc>
        <w:tc>
          <w:tcPr>
            <w:tcW w:w="904" w:type="dxa"/>
            <w:shd w:val="clear" w:color="auto" w:fill="auto"/>
          </w:tcPr>
          <w:p w14:paraId="7CF54959"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.068</w:t>
            </w:r>
          </w:p>
        </w:tc>
        <w:tc>
          <w:tcPr>
            <w:tcW w:w="920" w:type="dxa"/>
            <w:shd w:val="clear" w:color="auto" w:fill="auto"/>
          </w:tcPr>
          <w:p w14:paraId="690BCD12"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.288</w:t>
            </w:r>
          </w:p>
        </w:tc>
        <w:tc>
          <w:tcPr>
            <w:tcW w:w="850" w:type="dxa"/>
            <w:shd w:val="clear" w:color="auto" w:fill="auto"/>
          </w:tcPr>
          <w:p w14:paraId="04C7218E"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.554</w:t>
            </w:r>
          </w:p>
        </w:tc>
        <w:tc>
          <w:tcPr>
            <w:tcW w:w="851" w:type="dxa"/>
            <w:shd w:val="clear" w:color="auto" w:fill="auto"/>
            <w:vAlign w:val="center"/>
          </w:tcPr>
          <w:p w14:paraId="665EFB48"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.4047</w:t>
            </w:r>
          </w:p>
        </w:tc>
        <w:tc>
          <w:tcPr>
            <w:tcW w:w="869" w:type="dxa"/>
            <w:gridSpan w:val="3"/>
            <w:shd w:val="clear" w:color="auto" w:fill="auto"/>
            <w:vAlign w:val="center"/>
          </w:tcPr>
          <w:p w14:paraId="64DAE9EC"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6.2128</w:t>
            </w:r>
          </w:p>
        </w:tc>
        <w:tc>
          <w:tcPr>
            <w:tcW w:w="699" w:type="dxa"/>
            <w:shd w:val="clear" w:color="auto" w:fill="auto"/>
            <w:vAlign w:val="center"/>
          </w:tcPr>
          <w:p w14:paraId="3D4CEABC"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&lt; .001*</w:t>
            </w:r>
          </w:p>
        </w:tc>
      </w:tr>
      <w:tr w:rsidR="00E10090" w:rsidRPr="00022E72" w14:paraId="30C67886" w14:textId="77777777" w:rsidTr="00BD1A44">
        <w:trPr>
          <w:jc w:val="center"/>
        </w:trPr>
        <w:tc>
          <w:tcPr>
            <w:tcW w:w="704" w:type="dxa"/>
            <w:tcBorders>
              <w:bottom w:val="nil"/>
            </w:tcBorders>
            <w:shd w:val="clear" w:color="auto" w:fill="auto"/>
          </w:tcPr>
          <w:p w14:paraId="10AF70A1"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H6</w:t>
            </w:r>
          </w:p>
        </w:tc>
        <w:tc>
          <w:tcPr>
            <w:tcW w:w="1276" w:type="dxa"/>
            <w:tcBorders>
              <w:bottom w:val="nil"/>
            </w:tcBorders>
            <w:shd w:val="clear" w:color="auto" w:fill="auto"/>
          </w:tcPr>
          <w:p w14:paraId="358098CC"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programs</w:t>
            </w:r>
          </w:p>
        </w:tc>
        <w:tc>
          <w:tcPr>
            <w:tcW w:w="1276" w:type="dxa"/>
            <w:tcBorders>
              <w:bottom w:val="nil"/>
            </w:tcBorders>
            <w:shd w:val="clear" w:color="auto" w:fill="auto"/>
            <w:hideMark/>
          </w:tcPr>
          <w:p w14:paraId="733CFC67" w14:textId="2D63083E" w:rsidR="00E10090" w:rsidRDefault="008D5DA4"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I</w:t>
            </w:r>
            <w:r w:rsidR="00E10090" w:rsidRPr="00022E72">
              <w:rPr>
                <w:rFonts w:ascii="Times New Roman" w:hAnsi="Times New Roman" w:cs="Times New Roman"/>
                <w:sz w:val="28"/>
                <w:szCs w:val="28"/>
                <w:lang w:val="en-US"/>
              </w:rPr>
              <w:t>ntention</w:t>
            </w:r>
          </w:p>
          <w:p w14:paraId="21728874" w14:textId="5FAC621E" w:rsidR="008D5DA4" w:rsidRPr="00022E72" w:rsidRDefault="008D5DA4" w:rsidP="004524BE">
            <w:pPr>
              <w:spacing w:after="0" w:line="240" w:lineRule="auto"/>
              <w:contextualSpacing/>
              <w:rPr>
                <w:rFonts w:ascii="Times New Roman" w:hAnsi="Times New Roman" w:cs="Times New Roman"/>
                <w:sz w:val="28"/>
                <w:szCs w:val="28"/>
                <w:lang w:val="en-US"/>
              </w:rPr>
            </w:pPr>
          </w:p>
        </w:tc>
        <w:tc>
          <w:tcPr>
            <w:tcW w:w="1011" w:type="dxa"/>
            <w:tcBorders>
              <w:bottom w:val="nil"/>
            </w:tcBorders>
            <w:shd w:val="clear" w:color="auto" w:fill="auto"/>
            <w:hideMark/>
          </w:tcPr>
          <w:p w14:paraId="41E98269"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.001</w:t>
            </w:r>
          </w:p>
        </w:tc>
        <w:tc>
          <w:tcPr>
            <w:tcW w:w="904" w:type="dxa"/>
            <w:tcBorders>
              <w:bottom w:val="nil"/>
            </w:tcBorders>
            <w:shd w:val="clear" w:color="auto" w:fill="auto"/>
            <w:hideMark/>
          </w:tcPr>
          <w:p w14:paraId="363CDFCB"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.055</w:t>
            </w:r>
          </w:p>
        </w:tc>
        <w:tc>
          <w:tcPr>
            <w:tcW w:w="920" w:type="dxa"/>
            <w:tcBorders>
              <w:bottom w:val="nil"/>
            </w:tcBorders>
            <w:shd w:val="clear" w:color="auto" w:fill="auto"/>
            <w:hideMark/>
          </w:tcPr>
          <w:p w14:paraId="58624CEE"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-.107</w:t>
            </w:r>
          </w:p>
        </w:tc>
        <w:tc>
          <w:tcPr>
            <w:tcW w:w="850" w:type="dxa"/>
            <w:tcBorders>
              <w:bottom w:val="nil"/>
            </w:tcBorders>
            <w:shd w:val="clear" w:color="auto" w:fill="auto"/>
            <w:hideMark/>
          </w:tcPr>
          <w:p w14:paraId="4E2E2CAA"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.109</w:t>
            </w:r>
          </w:p>
        </w:tc>
        <w:tc>
          <w:tcPr>
            <w:tcW w:w="851" w:type="dxa"/>
            <w:tcBorders>
              <w:bottom w:val="nil"/>
            </w:tcBorders>
            <w:shd w:val="clear" w:color="auto" w:fill="auto"/>
            <w:vAlign w:val="center"/>
            <w:hideMark/>
          </w:tcPr>
          <w:p w14:paraId="5C74464E"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.0001</w:t>
            </w:r>
          </w:p>
        </w:tc>
        <w:tc>
          <w:tcPr>
            <w:tcW w:w="869" w:type="dxa"/>
            <w:gridSpan w:val="3"/>
            <w:tcBorders>
              <w:bottom w:val="nil"/>
            </w:tcBorders>
            <w:shd w:val="clear" w:color="auto" w:fill="auto"/>
            <w:vAlign w:val="center"/>
            <w:hideMark/>
          </w:tcPr>
          <w:p w14:paraId="73BA024A"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.0150</w:t>
            </w:r>
          </w:p>
        </w:tc>
        <w:tc>
          <w:tcPr>
            <w:tcW w:w="699" w:type="dxa"/>
            <w:tcBorders>
              <w:bottom w:val="nil"/>
            </w:tcBorders>
            <w:shd w:val="clear" w:color="auto" w:fill="auto"/>
            <w:vAlign w:val="center"/>
            <w:hideMark/>
          </w:tcPr>
          <w:p w14:paraId="41F6B690"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.988</w:t>
            </w:r>
          </w:p>
        </w:tc>
      </w:tr>
      <w:tr w:rsidR="00BD1A44" w:rsidRPr="00022E72" w14:paraId="180259DD" w14:textId="77777777" w:rsidTr="00BD1A44">
        <w:trPr>
          <w:jc w:val="center"/>
        </w:trPr>
        <w:tc>
          <w:tcPr>
            <w:tcW w:w="9360" w:type="dxa"/>
            <w:gridSpan w:val="12"/>
            <w:tcBorders>
              <w:top w:val="nil"/>
              <w:left w:val="nil"/>
              <w:bottom w:val="nil"/>
              <w:right w:val="nil"/>
            </w:tcBorders>
            <w:shd w:val="clear" w:color="auto" w:fill="auto"/>
          </w:tcPr>
          <w:p w14:paraId="58379BD9" w14:textId="004933B6" w:rsidR="00BD1A44" w:rsidRDefault="00BD1A44" w:rsidP="00BD1A44">
            <w:pPr>
              <w:spacing w:after="0"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lastRenderedPageBreak/>
              <w:t>Continuation of the table 11</w:t>
            </w:r>
          </w:p>
          <w:p w14:paraId="11A23CC7" w14:textId="49D0541C" w:rsidR="00BD1A44" w:rsidRPr="00BD1A44" w:rsidRDefault="00BD1A44" w:rsidP="00BD1A44">
            <w:pPr>
              <w:spacing w:after="0" w:line="240" w:lineRule="auto"/>
              <w:contextualSpacing/>
              <w:rPr>
                <w:rFonts w:ascii="Times New Roman" w:hAnsi="Times New Roman" w:cs="Times New Roman"/>
                <w:sz w:val="28"/>
                <w:szCs w:val="28"/>
                <w:lang w:val="en-US"/>
              </w:rPr>
            </w:pPr>
          </w:p>
        </w:tc>
      </w:tr>
      <w:tr w:rsidR="00E10090" w:rsidRPr="00022E72" w14:paraId="522CD0DD" w14:textId="77777777" w:rsidTr="008D5DA4">
        <w:trPr>
          <w:jc w:val="center"/>
        </w:trPr>
        <w:tc>
          <w:tcPr>
            <w:tcW w:w="704" w:type="dxa"/>
            <w:tcBorders>
              <w:top w:val="single" w:sz="4" w:space="0" w:color="auto"/>
            </w:tcBorders>
            <w:shd w:val="clear" w:color="auto" w:fill="auto"/>
          </w:tcPr>
          <w:p w14:paraId="490A67B9"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H7</w:t>
            </w:r>
          </w:p>
        </w:tc>
        <w:tc>
          <w:tcPr>
            <w:tcW w:w="1276" w:type="dxa"/>
            <w:tcBorders>
              <w:top w:val="single" w:sz="4" w:space="0" w:color="auto"/>
            </w:tcBorders>
            <w:shd w:val="clear" w:color="auto" w:fill="auto"/>
          </w:tcPr>
          <w:p w14:paraId="2F3A0324"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programs</w:t>
            </w:r>
          </w:p>
        </w:tc>
        <w:tc>
          <w:tcPr>
            <w:tcW w:w="1276" w:type="dxa"/>
            <w:tcBorders>
              <w:top w:val="single" w:sz="4" w:space="0" w:color="auto"/>
            </w:tcBorders>
            <w:shd w:val="clear" w:color="auto" w:fill="auto"/>
          </w:tcPr>
          <w:p w14:paraId="5F975B3C"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attitudes</w:t>
            </w:r>
          </w:p>
        </w:tc>
        <w:tc>
          <w:tcPr>
            <w:tcW w:w="1011" w:type="dxa"/>
            <w:tcBorders>
              <w:top w:val="single" w:sz="4" w:space="0" w:color="auto"/>
            </w:tcBorders>
            <w:shd w:val="clear" w:color="auto" w:fill="auto"/>
          </w:tcPr>
          <w:p w14:paraId="4C9400DC"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-.011</w:t>
            </w:r>
          </w:p>
        </w:tc>
        <w:tc>
          <w:tcPr>
            <w:tcW w:w="904" w:type="dxa"/>
            <w:tcBorders>
              <w:top w:val="single" w:sz="4" w:space="0" w:color="auto"/>
            </w:tcBorders>
            <w:shd w:val="clear" w:color="auto" w:fill="auto"/>
          </w:tcPr>
          <w:p w14:paraId="64F1DF9F"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.046</w:t>
            </w:r>
          </w:p>
        </w:tc>
        <w:tc>
          <w:tcPr>
            <w:tcW w:w="920" w:type="dxa"/>
            <w:tcBorders>
              <w:top w:val="single" w:sz="4" w:space="0" w:color="auto"/>
            </w:tcBorders>
            <w:shd w:val="clear" w:color="auto" w:fill="auto"/>
          </w:tcPr>
          <w:p w14:paraId="2E1CBF96"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-.101</w:t>
            </w:r>
          </w:p>
        </w:tc>
        <w:tc>
          <w:tcPr>
            <w:tcW w:w="850" w:type="dxa"/>
            <w:tcBorders>
              <w:top w:val="single" w:sz="4" w:space="0" w:color="auto"/>
            </w:tcBorders>
            <w:shd w:val="clear" w:color="auto" w:fill="auto"/>
          </w:tcPr>
          <w:p w14:paraId="1FEEBBC1"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.080</w:t>
            </w:r>
          </w:p>
        </w:tc>
        <w:tc>
          <w:tcPr>
            <w:tcW w:w="851" w:type="dxa"/>
            <w:tcBorders>
              <w:top w:val="single" w:sz="4" w:space="0" w:color="auto"/>
            </w:tcBorders>
            <w:shd w:val="clear" w:color="auto" w:fill="auto"/>
            <w:vAlign w:val="center"/>
          </w:tcPr>
          <w:p w14:paraId="24A5A1EC"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-.0128</w:t>
            </w:r>
          </w:p>
        </w:tc>
        <w:tc>
          <w:tcPr>
            <w:tcW w:w="869" w:type="dxa"/>
            <w:gridSpan w:val="3"/>
            <w:tcBorders>
              <w:top w:val="single" w:sz="4" w:space="0" w:color="auto"/>
            </w:tcBorders>
            <w:shd w:val="clear" w:color="auto" w:fill="auto"/>
            <w:vAlign w:val="center"/>
          </w:tcPr>
          <w:p w14:paraId="0141A72A"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-.2317</w:t>
            </w:r>
          </w:p>
        </w:tc>
        <w:tc>
          <w:tcPr>
            <w:tcW w:w="699" w:type="dxa"/>
            <w:tcBorders>
              <w:top w:val="single" w:sz="4" w:space="0" w:color="auto"/>
            </w:tcBorders>
            <w:shd w:val="clear" w:color="auto" w:fill="auto"/>
            <w:vAlign w:val="center"/>
          </w:tcPr>
          <w:p w14:paraId="4EB6B439"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.817</w:t>
            </w:r>
          </w:p>
        </w:tc>
      </w:tr>
      <w:tr w:rsidR="00E10090" w:rsidRPr="00022E72" w14:paraId="516D677B" w14:textId="77777777" w:rsidTr="008D5DA4">
        <w:trPr>
          <w:jc w:val="center"/>
        </w:trPr>
        <w:tc>
          <w:tcPr>
            <w:tcW w:w="704" w:type="dxa"/>
            <w:shd w:val="clear" w:color="auto" w:fill="auto"/>
          </w:tcPr>
          <w:p w14:paraId="1C5591A4"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H8</w:t>
            </w:r>
          </w:p>
        </w:tc>
        <w:tc>
          <w:tcPr>
            <w:tcW w:w="1276" w:type="dxa"/>
            <w:shd w:val="clear" w:color="auto" w:fill="auto"/>
          </w:tcPr>
          <w:p w14:paraId="19C114E0"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programs</w:t>
            </w:r>
          </w:p>
        </w:tc>
        <w:tc>
          <w:tcPr>
            <w:tcW w:w="1276" w:type="dxa"/>
            <w:shd w:val="clear" w:color="auto" w:fill="auto"/>
          </w:tcPr>
          <w:p w14:paraId="1F4A961E"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Locus of control</w:t>
            </w:r>
          </w:p>
        </w:tc>
        <w:tc>
          <w:tcPr>
            <w:tcW w:w="1011" w:type="dxa"/>
            <w:shd w:val="clear" w:color="auto" w:fill="auto"/>
          </w:tcPr>
          <w:p w14:paraId="0B6DADFB"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.257</w:t>
            </w:r>
          </w:p>
        </w:tc>
        <w:tc>
          <w:tcPr>
            <w:tcW w:w="904" w:type="dxa"/>
            <w:shd w:val="clear" w:color="auto" w:fill="auto"/>
          </w:tcPr>
          <w:p w14:paraId="09B828B0"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.063</w:t>
            </w:r>
          </w:p>
        </w:tc>
        <w:tc>
          <w:tcPr>
            <w:tcW w:w="920" w:type="dxa"/>
            <w:shd w:val="clear" w:color="auto" w:fill="auto"/>
          </w:tcPr>
          <w:p w14:paraId="78FDABBF"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.133</w:t>
            </w:r>
          </w:p>
        </w:tc>
        <w:tc>
          <w:tcPr>
            <w:tcW w:w="850" w:type="dxa"/>
            <w:shd w:val="clear" w:color="auto" w:fill="auto"/>
          </w:tcPr>
          <w:p w14:paraId="36B2A6FD"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.380</w:t>
            </w:r>
          </w:p>
        </w:tc>
        <w:tc>
          <w:tcPr>
            <w:tcW w:w="851" w:type="dxa"/>
            <w:shd w:val="clear" w:color="auto" w:fill="auto"/>
            <w:vAlign w:val="center"/>
          </w:tcPr>
          <w:p w14:paraId="7EBD0143"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.2852</w:t>
            </w:r>
          </w:p>
        </w:tc>
        <w:tc>
          <w:tcPr>
            <w:tcW w:w="869" w:type="dxa"/>
            <w:gridSpan w:val="3"/>
            <w:shd w:val="clear" w:color="auto" w:fill="auto"/>
            <w:vAlign w:val="center"/>
          </w:tcPr>
          <w:p w14:paraId="33E660E0"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4.0661</w:t>
            </w:r>
          </w:p>
        </w:tc>
        <w:tc>
          <w:tcPr>
            <w:tcW w:w="699" w:type="dxa"/>
            <w:shd w:val="clear" w:color="auto" w:fill="auto"/>
            <w:vAlign w:val="center"/>
          </w:tcPr>
          <w:p w14:paraId="281F3CD4"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&lt; .001*</w:t>
            </w:r>
          </w:p>
        </w:tc>
      </w:tr>
      <w:tr w:rsidR="00E10090" w:rsidRPr="00022E72" w14:paraId="4B2B9AEE" w14:textId="77777777" w:rsidTr="008D5DA4">
        <w:trPr>
          <w:jc w:val="center"/>
        </w:trPr>
        <w:tc>
          <w:tcPr>
            <w:tcW w:w="704" w:type="dxa"/>
            <w:shd w:val="clear" w:color="auto" w:fill="auto"/>
          </w:tcPr>
          <w:p w14:paraId="6D27CB0C"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H9</w:t>
            </w:r>
          </w:p>
        </w:tc>
        <w:tc>
          <w:tcPr>
            <w:tcW w:w="1276" w:type="dxa"/>
            <w:shd w:val="clear" w:color="auto" w:fill="auto"/>
          </w:tcPr>
          <w:p w14:paraId="2AA584BF"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Self-efficacy</w:t>
            </w:r>
          </w:p>
        </w:tc>
        <w:tc>
          <w:tcPr>
            <w:tcW w:w="1276" w:type="dxa"/>
            <w:shd w:val="clear" w:color="auto" w:fill="auto"/>
          </w:tcPr>
          <w:p w14:paraId="2AE250C1"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intention</w:t>
            </w:r>
          </w:p>
        </w:tc>
        <w:tc>
          <w:tcPr>
            <w:tcW w:w="1011" w:type="dxa"/>
            <w:shd w:val="clear" w:color="auto" w:fill="auto"/>
          </w:tcPr>
          <w:p w14:paraId="4740CCE3"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.641</w:t>
            </w:r>
          </w:p>
        </w:tc>
        <w:tc>
          <w:tcPr>
            <w:tcW w:w="904" w:type="dxa"/>
            <w:shd w:val="clear" w:color="auto" w:fill="auto"/>
          </w:tcPr>
          <w:p w14:paraId="1C00F2F7"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.039</w:t>
            </w:r>
          </w:p>
        </w:tc>
        <w:tc>
          <w:tcPr>
            <w:tcW w:w="920" w:type="dxa"/>
            <w:shd w:val="clear" w:color="auto" w:fill="auto"/>
          </w:tcPr>
          <w:p w14:paraId="6B75A0AE"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.564</w:t>
            </w:r>
          </w:p>
        </w:tc>
        <w:tc>
          <w:tcPr>
            <w:tcW w:w="850" w:type="dxa"/>
            <w:shd w:val="clear" w:color="auto" w:fill="auto"/>
          </w:tcPr>
          <w:p w14:paraId="1AA220D5"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.718</w:t>
            </w:r>
          </w:p>
        </w:tc>
        <w:tc>
          <w:tcPr>
            <w:tcW w:w="851" w:type="dxa"/>
            <w:shd w:val="clear" w:color="auto" w:fill="auto"/>
            <w:vAlign w:val="center"/>
          </w:tcPr>
          <w:p w14:paraId="58D25B54"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.6848</w:t>
            </w:r>
          </w:p>
        </w:tc>
        <w:tc>
          <w:tcPr>
            <w:tcW w:w="869" w:type="dxa"/>
            <w:gridSpan w:val="3"/>
            <w:shd w:val="clear" w:color="auto" w:fill="auto"/>
            <w:vAlign w:val="center"/>
          </w:tcPr>
          <w:p w14:paraId="19067817"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16.3470</w:t>
            </w:r>
          </w:p>
        </w:tc>
        <w:tc>
          <w:tcPr>
            <w:tcW w:w="699" w:type="dxa"/>
            <w:shd w:val="clear" w:color="auto" w:fill="auto"/>
            <w:vAlign w:val="center"/>
          </w:tcPr>
          <w:p w14:paraId="2839C447"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&lt; .001*</w:t>
            </w:r>
          </w:p>
        </w:tc>
      </w:tr>
      <w:tr w:rsidR="00E10090" w:rsidRPr="00022E72" w14:paraId="3AF2136E" w14:textId="77777777" w:rsidTr="008D5DA4">
        <w:trPr>
          <w:jc w:val="center"/>
        </w:trPr>
        <w:tc>
          <w:tcPr>
            <w:tcW w:w="704" w:type="dxa"/>
            <w:shd w:val="clear" w:color="auto" w:fill="auto"/>
          </w:tcPr>
          <w:p w14:paraId="62E36CB5"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H10</w:t>
            </w:r>
          </w:p>
        </w:tc>
        <w:tc>
          <w:tcPr>
            <w:tcW w:w="1276" w:type="dxa"/>
            <w:shd w:val="clear" w:color="auto" w:fill="auto"/>
          </w:tcPr>
          <w:p w14:paraId="49CE4A33"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Self-efficacy</w:t>
            </w:r>
          </w:p>
        </w:tc>
        <w:tc>
          <w:tcPr>
            <w:tcW w:w="1276" w:type="dxa"/>
            <w:shd w:val="clear" w:color="auto" w:fill="auto"/>
          </w:tcPr>
          <w:p w14:paraId="0A015654"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attitudes</w:t>
            </w:r>
          </w:p>
        </w:tc>
        <w:tc>
          <w:tcPr>
            <w:tcW w:w="1011" w:type="dxa"/>
            <w:shd w:val="clear" w:color="auto" w:fill="auto"/>
          </w:tcPr>
          <w:p w14:paraId="70599926"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.528</w:t>
            </w:r>
          </w:p>
        </w:tc>
        <w:tc>
          <w:tcPr>
            <w:tcW w:w="904" w:type="dxa"/>
            <w:shd w:val="clear" w:color="auto" w:fill="auto"/>
          </w:tcPr>
          <w:p w14:paraId="38552F55"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.035</w:t>
            </w:r>
          </w:p>
        </w:tc>
        <w:tc>
          <w:tcPr>
            <w:tcW w:w="920" w:type="dxa"/>
            <w:shd w:val="clear" w:color="auto" w:fill="auto"/>
          </w:tcPr>
          <w:p w14:paraId="37059257"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.459</w:t>
            </w:r>
          </w:p>
        </w:tc>
        <w:tc>
          <w:tcPr>
            <w:tcW w:w="850" w:type="dxa"/>
            <w:shd w:val="clear" w:color="auto" w:fill="auto"/>
          </w:tcPr>
          <w:p w14:paraId="6BCBF1DD"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.597</w:t>
            </w:r>
          </w:p>
        </w:tc>
        <w:tc>
          <w:tcPr>
            <w:tcW w:w="851" w:type="dxa"/>
            <w:shd w:val="clear" w:color="auto" w:fill="auto"/>
            <w:vAlign w:val="center"/>
          </w:tcPr>
          <w:p w14:paraId="0A0A9876"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.6589</w:t>
            </w:r>
          </w:p>
        </w:tc>
        <w:tc>
          <w:tcPr>
            <w:tcW w:w="869" w:type="dxa"/>
            <w:gridSpan w:val="3"/>
            <w:shd w:val="clear" w:color="auto" w:fill="auto"/>
            <w:vAlign w:val="center"/>
          </w:tcPr>
          <w:p w14:paraId="53878D01"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14.9560</w:t>
            </w:r>
          </w:p>
        </w:tc>
        <w:tc>
          <w:tcPr>
            <w:tcW w:w="699" w:type="dxa"/>
            <w:shd w:val="clear" w:color="auto" w:fill="auto"/>
            <w:vAlign w:val="center"/>
          </w:tcPr>
          <w:p w14:paraId="12394AAA"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&lt; .001*</w:t>
            </w:r>
          </w:p>
        </w:tc>
      </w:tr>
      <w:tr w:rsidR="00E10090" w:rsidRPr="00022E72" w14:paraId="0E411784" w14:textId="77777777" w:rsidTr="008D5DA4">
        <w:trPr>
          <w:jc w:val="center"/>
        </w:trPr>
        <w:tc>
          <w:tcPr>
            <w:tcW w:w="704" w:type="dxa"/>
            <w:shd w:val="clear" w:color="auto" w:fill="auto"/>
          </w:tcPr>
          <w:p w14:paraId="73E03B39"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H11</w:t>
            </w:r>
          </w:p>
        </w:tc>
        <w:tc>
          <w:tcPr>
            <w:tcW w:w="1276" w:type="dxa"/>
            <w:shd w:val="clear" w:color="auto" w:fill="auto"/>
          </w:tcPr>
          <w:p w14:paraId="7C4CF8DB"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Locus of control</w:t>
            </w:r>
          </w:p>
        </w:tc>
        <w:tc>
          <w:tcPr>
            <w:tcW w:w="1276" w:type="dxa"/>
            <w:shd w:val="clear" w:color="auto" w:fill="auto"/>
          </w:tcPr>
          <w:p w14:paraId="2FF3F334"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intention</w:t>
            </w:r>
          </w:p>
        </w:tc>
        <w:tc>
          <w:tcPr>
            <w:tcW w:w="1011" w:type="dxa"/>
            <w:shd w:val="clear" w:color="auto" w:fill="auto"/>
          </w:tcPr>
          <w:p w14:paraId="3CC5DF4B"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.084</w:t>
            </w:r>
          </w:p>
        </w:tc>
        <w:tc>
          <w:tcPr>
            <w:tcW w:w="904" w:type="dxa"/>
            <w:shd w:val="clear" w:color="auto" w:fill="auto"/>
          </w:tcPr>
          <w:p w14:paraId="0E140C14"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.038</w:t>
            </w:r>
          </w:p>
        </w:tc>
        <w:tc>
          <w:tcPr>
            <w:tcW w:w="920" w:type="dxa"/>
            <w:shd w:val="clear" w:color="auto" w:fill="auto"/>
          </w:tcPr>
          <w:p w14:paraId="322007D9"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.011</w:t>
            </w:r>
          </w:p>
        </w:tc>
        <w:tc>
          <w:tcPr>
            <w:tcW w:w="850" w:type="dxa"/>
            <w:shd w:val="clear" w:color="auto" w:fill="auto"/>
          </w:tcPr>
          <w:p w14:paraId="11D9EC99"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.158</w:t>
            </w:r>
          </w:p>
        </w:tc>
        <w:tc>
          <w:tcPr>
            <w:tcW w:w="851" w:type="dxa"/>
            <w:shd w:val="clear" w:color="auto" w:fill="auto"/>
            <w:vAlign w:val="center"/>
          </w:tcPr>
          <w:p w14:paraId="7056581C"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.0777</w:t>
            </w:r>
          </w:p>
        </w:tc>
        <w:tc>
          <w:tcPr>
            <w:tcW w:w="869" w:type="dxa"/>
            <w:gridSpan w:val="3"/>
            <w:shd w:val="clear" w:color="auto" w:fill="auto"/>
            <w:vAlign w:val="center"/>
          </w:tcPr>
          <w:p w14:paraId="3B7F22A8"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2.2474</w:t>
            </w:r>
          </w:p>
        </w:tc>
        <w:tc>
          <w:tcPr>
            <w:tcW w:w="699" w:type="dxa"/>
            <w:shd w:val="clear" w:color="auto" w:fill="auto"/>
            <w:vAlign w:val="center"/>
          </w:tcPr>
          <w:p w14:paraId="176163DF"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.025*</w:t>
            </w:r>
          </w:p>
        </w:tc>
      </w:tr>
      <w:tr w:rsidR="00E10090" w:rsidRPr="00022E72" w14:paraId="5C6E98ED" w14:textId="77777777" w:rsidTr="008D5DA4">
        <w:trPr>
          <w:jc w:val="center"/>
        </w:trPr>
        <w:tc>
          <w:tcPr>
            <w:tcW w:w="704" w:type="dxa"/>
            <w:shd w:val="clear" w:color="auto" w:fill="auto"/>
          </w:tcPr>
          <w:p w14:paraId="722FCA96"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H12</w:t>
            </w:r>
          </w:p>
        </w:tc>
        <w:tc>
          <w:tcPr>
            <w:tcW w:w="1276" w:type="dxa"/>
            <w:shd w:val="clear" w:color="auto" w:fill="auto"/>
          </w:tcPr>
          <w:p w14:paraId="2E7BE011"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Locus of control</w:t>
            </w:r>
          </w:p>
        </w:tc>
        <w:tc>
          <w:tcPr>
            <w:tcW w:w="1276" w:type="dxa"/>
            <w:shd w:val="clear" w:color="auto" w:fill="auto"/>
          </w:tcPr>
          <w:p w14:paraId="614FC484" w14:textId="77777777" w:rsidR="00E10090" w:rsidRPr="00022E72" w:rsidRDefault="00E10090" w:rsidP="004524BE">
            <w:pPr>
              <w:spacing w:after="0" w:line="240" w:lineRule="auto"/>
              <w:contextualSpacing/>
              <w:rPr>
                <w:rFonts w:ascii="Times New Roman" w:hAnsi="Times New Roman" w:cs="Times New Roman"/>
                <w:sz w:val="28"/>
                <w:szCs w:val="28"/>
                <w:lang w:val="en-US"/>
              </w:rPr>
            </w:pPr>
            <w:r w:rsidRPr="00022E72">
              <w:rPr>
                <w:rFonts w:ascii="Times New Roman" w:hAnsi="Times New Roman" w:cs="Times New Roman"/>
                <w:sz w:val="28"/>
                <w:szCs w:val="28"/>
                <w:lang w:val="en-US"/>
              </w:rPr>
              <w:t>attitudes</w:t>
            </w:r>
          </w:p>
        </w:tc>
        <w:tc>
          <w:tcPr>
            <w:tcW w:w="1011" w:type="dxa"/>
            <w:shd w:val="clear" w:color="auto" w:fill="auto"/>
          </w:tcPr>
          <w:p w14:paraId="4C32DBB6"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.074</w:t>
            </w:r>
          </w:p>
        </w:tc>
        <w:tc>
          <w:tcPr>
            <w:tcW w:w="904" w:type="dxa"/>
            <w:shd w:val="clear" w:color="auto" w:fill="auto"/>
          </w:tcPr>
          <w:p w14:paraId="5623B433"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.031</w:t>
            </w:r>
          </w:p>
        </w:tc>
        <w:tc>
          <w:tcPr>
            <w:tcW w:w="920" w:type="dxa"/>
            <w:shd w:val="clear" w:color="auto" w:fill="auto"/>
          </w:tcPr>
          <w:p w14:paraId="32C4F5A0"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.012</w:t>
            </w:r>
          </w:p>
        </w:tc>
        <w:tc>
          <w:tcPr>
            <w:tcW w:w="850" w:type="dxa"/>
            <w:shd w:val="clear" w:color="auto" w:fill="auto"/>
          </w:tcPr>
          <w:p w14:paraId="490FC095"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.135</w:t>
            </w:r>
          </w:p>
        </w:tc>
        <w:tc>
          <w:tcPr>
            <w:tcW w:w="851" w:type="dxa"/>
            <w:shd w:val="clear" w:color="auto" w:fill="auto"/>
            <w:vAlign w:val="center"/>
          </w:tcPr>
          <w:p w14:paraId="7C5BFC93"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.0793</w:t>
            </w:r>
          </w:p>
        </w:tc>
        <w:tc>
          <w:tcPr>
            <w:tcW w:w="869" w:type="dxa"/>
            <w:gridSpan w:val="3"/>
            <w:shd w:val="clear" w:color="auto" w:fill="auto"/>
            <w:vAlign w:val="center"/>
          </w:tcPr>
          <w:p w14:paraId="6FF59B8B"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2.3413</w:t>
            </w:r>
          </w:p>
        </w:tc>
        <w:tc>
          <w:tcPr>
            <w:tcW w:w="699" w:type="dxa"/>
            <w:shd w:val="clear" w:color="auto" w:fill="auto"/>
            <w:vAlign w:val="center"/>
          </w:tcPr>
          <w:p w14:paraId="3C5D2559" w14:textId="77777777" w:rsidR="00E10090" w:rsidRPr="00022E72" w:rsidRDefault="00E10090" w:rsidP="004524BE">
            <w:pPr>
              <w:spacing w:after="0" w:line="240" w:lineRule="auto"/>
              <w:contextualSpacing/>
              <w:jc w:val="center"/>
              <w:rPr>
                <w:rFonts w:ascii="Times New Roman" w:hAnsi="Times New Roman" w:cs="Times New Roman"/>
                <w:sz w:val="28"/>
                <w:szCs w:val="28"/>
                <w:lang w:val="en-US"/>
              </w:rPr>
            </w:pPr>
            <w:r w:rsidRPr="00022E72">
              <w:rPr>
                <w:rFonts w:ascii="Times New Roman" w:hAnsi="Times New Roman" w:cs="Times New Roman"/>
                <w:sz w:val="28"/>
                <w:szCs w:val="28"/>
                <w:lang w:val="en-US"/>
              </w:rPr>
              <w:t>.019*</w:t>
            </w:r>
          </w:p>
        </w:tc>
      </w:tr>
      <w:tr w:rsidR="00E10090" w:rsidRPr="00211F43" w14:paraId="0EBA4B29" w14:textId="77777777" w:rsidTr="00075D65">
        <w:trPr>
          <w:jc w:val="center"/>
        </w:trPr>
        <w:tc>
          <w:tcPr>
            <w:tcW w:w="9360" w:type="dxa"/>
            <w:gridSpan w:val="12"/>
            <w:shd w:val="clear" w:color="auto" w:fill="auto"/>
          </w:tcPr>
          <w:p w14:paraId="4F411472" w14:textId="02B78A27" w:rsidR="00E10090" w:rsidRPr="00022E72" w:rsidRDefault="00E10090" w:rsidP="00022E72">
            <w:pPr>
              <w:spacing w:after="0" w:line="240" w:lineRule="auto"/>
              <w:ind w:firstLine="596"/>
              <w:contextualSpacing/>
              <w:rPr>
                <w:rFonts w:ascii="Times New Roman" w:hAnsi="Times New Roman" w:cs="Times New Roman"/>
                <w:i/>
                <w:iCs/>
                <w:sz w:val="28"/>
                <w:szCs w:val="28"/>
                <w:lang w:val="en-US"/>
              </w:rPr>
            </w:pPr>
            <w:r w:rsidRPr="00022E72">
              <w:rPr>
                <w:rFonts w:ascii="Times New Roman" w:hAnsi="Times New Roman" w:cs="Times New Roman"/>
                <w:i/>
                <w:iCs/>
                <w:sz w:val="28"/>
                <w:szCs w:val="28"/>
                <w:lang w:val="en-US"/>
              </w:rPr>
              <w:t>* Significant at .05 level</w:t>
            </w:r>
          </w:p>
        </w:tc>
      </w:tr>
      <w:tr w:rsidR="00022E72" w:rsidRPr="000E0481" w14:paraId="3C54EB1F" w14:textId="77777777" w:rsidTr="00075D65">
        <w:trPr>
          <w:jc w:val="center"/>
        </w:trPr>
        <w:tc>
          <w:tcPr>
            <w:tcW w:w="9360" w:type="dxa"/>
            <w:gridSpan w:val="12"/>
            <w:shd w:val="clear" w:color="auto" w:fill="auto"/>
          </w:tcPr>
          <w:p w14:paraId="324C8346" w14:textId="0E66A3F8" w:rsidR="00022E72" w:rsidRPr="00D760F8" w:rsidRDefault="00022E72" w:rsidP="004524BE">
            <w:pPr>
              <w:spacing w:after="0" w:line="240" w:lineRule="auto"/>
              <w:ind w:firstLine="596"/>
              <w:contextualSpacing/>
              <w:rPr>
                <w:rFonts w:ascii="Times New Roman" w:hAnsi="Times New Roman" w:cs="Times New Roman"/>
                <w:i/>
                <w:iCs/>
                <w:sz w:val="24"/>
                <w:szCs w:val="24"/>
                <w:lang w:val="en-US"/>
              </w:rPr>
            </w:pPr>
            <w:r w:rsidRPr="00D760F8">
              <w:rPr>
                <w:rFonts w:ascii="Times New Roman" w:hAnsi="Times New Roman" w:cs="Times New Roman"/>
                <w:sz w:val="24"/>
                <w:szCs w:val="24"/>
                <w:lang w:val="en-US"/>
              </w:rPr>
              <w:t>Note – Compiled by author based on [</w:t>
            </w:r>
            <w:r w:rsidR="00EC52F2">
              <w:rPr>
                <w:rFonts w:ascii="Times New Roman" w:hAnsi="Times New Roman" w:cs="Times New Roman"/>
                <w:sz w:val="24"/>
                <w:szCs w:val="24"/>
                <w:lang w:val="en-US"/>
              </w:rPr>
              <w:t>6</w:t>
            </w:r>
            <w:r w:rsidRPr="00D760F8">
              <w:rPr>
                <w:rFonts w:ascii="Times New Roman" w:hAnsi="Times New Roman" w:cs="Times New Roman"/>
                <w:sz w:val="24"/>
                <w:szCs w:val="24"/>
                <w:lang w:val="en-US"/>
              </w:rPr>
              <w:t>]</w:t>
            </w:r>
          </w:p>
        </w:tc>
      </w:tr>
    </w:tbl>
    <w:p w14:paraId="4A51B61D" w14:textId="77777777" w:rsidR="00600C79" w:rsidRDefault="00600C79" w:rsidP="00E10090">
      <w:pPr>
        <w:spacing w:after="0" w:line="240" w:lineRule="auto"/>
        <w:contextualSpacing/>
        <w:jc w:val="both"/>
        <w:rPr>
          <w:rFonts w:ascii="Times New Roman" w:hAnsi="Times New Roman" w:cs="Times New Roman"/>
          <w:sz w:val="28"/>
          <w:szCs w:val="28"/>
          <w:lang w:val="en-US"/>
        </w:rPr>
      </w:pPr>
    </w:p>
    <w:p w14:paraId="0D8E7563" w14:textId="2F73F35F" w:rsidR="006171C2" w:rsidRDefault="00600C79" w:rsidP="006171C2">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Values of β, z, and significance (p) were examined in Table </w:t>
      </w:r>
      <w:r w:rsidR="00ED0271">
        <w:rPr>
          <w:rFonts w:ascii="Times New Roman" w:hAnsi="Times New Roman" w:cs="Times New Roman"/>
          <w:sz w:val="28"/>
          <w:szCs w:val="28"/>
          <w:lang w:val="en-US"/>
        </w:rPr>
        <w:t>11</w:t>
      </w:r>
      <w:r w:rsidRPr="00244343">
        <w:rPr>
          <w:rFonts w:ascii="Times New Roman" w:hAnsi="Times New Roman" w:cs="Times New Roman"/>
          <w:sz w:val="28"/>
          <w:szCs w:val="28"/>
          <w:lang w:val="en-US"/>
        </w:rPr>
        <w:t xml:space="preserve">. Hypothesis H1, H2, H3, H6, and H7 are rejected based on the results. H4, H5, H8, H9, H10, H11, and H12 are approved. </w:t>
      </w:r>
      <w:r w:rsidRPr="00244343">
        <w:rPr>
          <w:rStyle w:val="a3"/>
          <w:rFonts w:ascii="Times New Roman" w:hAnsi="Times New Roman" w:cs="Times New Roman"/>
          <w:sz w:val="28"/>
          <w:szCs w:val="28"/>
          <w:lang w:val="en-US"/>
        </w:rPr>
        <w:t>Self-efficacy</w:t>
      </w:r>
      <w:r w:rsidRPr="00244343">
        <w:rPr>
          <w:rFonts w:ascii="Times New Roman" w:hAnsi="Times New Roman" w:cs="Times New Roman"/>
          <w:sz w:val="28"/>
          <w:szCs w:val="28"/>
          <w:lang w:val="en-US"/>
        </w:rPr>
        <w:t xml:space="preserve"> is the variable that exerts the greatest influence on intention (β = 0.658). Environmental and program variables appear to exert no direct influence. The self-efficacy variable exerts a more significant influence on the attitude variable. The direct effect of the environmental and program factors on the attitude variable is not statistically significant (p &gt; .05).</w:t>
      </w:r>
    </w:p>
    <w:p w14:paraId="2553925F" w14:textId="77777777" w:rsidR="006171C2" w:rsidRDefault="006171C2" w:rsidP="006171C2">
      <w:pPr>
        <w:spacing w:after="0" w:line="240" w:lineRule="auto"/>
        <w:ind w:firstLine="720"/>
        <w:contextualSpacing/>
        <w:jc w:val="both"/>
        <w:rPr>
          <w:rFonts w:ascii="Times New Roman" w:hAnsi="Times New Roman" w:cs="Times New Roman"/>
          <w:sz w:val="28"/>
          <w:szCs w:val="28"/>
          <w:lang w:val="en-US"/>
        </w:rPr>
      </w:pPr>
    </w:p>
    <w:p w14:paraId="4A330069" w14:textId="12231FD4" w:rsidR="006171C2" w:rsidRPr="006171C2" w:rsidRDefault="00600C79" w:rsidP="006171C2">
      <w:pPr>
        <w:spacing w:after="0" w:line="240" w:lineRule="auto"/>
        <w:ind w:firstLine="720"/>
        <w:contextualSpacing/>
        <w:jc w:val="both"/>
        <w:rPr>
          <w:rFonts w:ascii="Times New Roman" w:hAnsi="Times New Roman" w:cs="Times New Roman"/>
          <w:i/>
          <w:iCs/>
          <w:sz w:val="28"/>
          <w:szCs w:val="28"/>
          <w:lang w:val="en-US"/>
        </w:rPr>
      </w:pPr>
      <w:r w:rsidRPr="006171C2">
        <w:rPr>
          <w:rFonts w:ascii="Times New Roman" w:hAnsi="Times New Roman" w:cs="Times New Roman"/>
          <w:i/>
          <w:iCs/>
          <w:sz w:val="28"/>
          <w:szCs w:val="28"/>
          <w:lang w:val="en-US"/>
        </w:rPr>
        <w:t>Moderating effect</w:t>
      </w:r>
    </w:p>
    <w:p w14:paraId="2752F345" w14:textId="30BBB5D6" w:rsidR="00600C79" w:rsidRPr="006171C2" w:rsidRDefault="00600C79" w:rsidP="00600C79">
      <w:pPr>
        <w:spacing w:after="0" w:line="240" w:lineRule="auto"/>
        <w:ind w:firstLine="720"/>
        <w:contextualSpacing/>
        <w:rPr>
          <w:rFonts w:ascii="Times New Roman" w:hAnsi="Times New Roman" w:cs="Times New Roman"/>
          <w:iCs/>
          <w:sz w:val="28"/>
          <w:szCs w:val="28"/>
          <w:lang w:val="en-US"/>
        </w:rPr>
      </w:pPr>
      <w:r w:rsidRPr="006171C2">
        <w:rPr>
          <w:rFonts w:ascii="Times New Roman" w:hAnsi="Times New Roman" w:cs="Times New Roman"/>
          <w:iCs/>
          <w:sz w:val="28"/>
          <w:szCs w:val="28"/>
          <w:lang w:val="en-US"/>
        </w:rPr>
        <w:t xml:space="preserve">Table </w:t>
      </w:r>
      <w:r w:rsidR="005B553D" w:rsidRPr="006171C2">
        <w:rPr>
          <w:rFonts w:ascii="Times New Roman" w:hAnsi="Times New Roman" w:cs="Times New Roman"/>
          <w:iCs/>
          <w:sz w:val="28"/>
          <w:szCs w:val="28"/>
          <w:lang w:val="en-US"/>
        </w:rPr>
        <w:t>1</w:t>
      </w:r>
      <w:r w:rsidR="001571C9">
        <w:rPr>
          <w:rFonts w:ascii="Times New Roman" w:hAnsi="Times New Roman" w:cs="Times New Roman"/>
          <w:iCs/>
          <w:sz w:val="28"/>
          <w:szCs w:val="28"/>
          <w:lang w:val="en-US"/>
        </w:rPr>
        <w:t xml:space="preserve">2 – </w:t>
      </w:r>
      <w:r w:rsidRPr="006171C2">
        <w:rPr>
          <w:rFonts w:ascii="Times New Roman" w:hAnsi="Times New Roman" w:cs="Times New Roman"/>
          <w:iCs/>
          <w:sz w:val="28"/>
          <w:szCs w:val="28"/>
          <w:lang w:val="en-US"/>
        </w:rPr>
        <w:t>Moderating Analyses Results</w:t>
      </w:r>
    </w:p>
    <w:p w14:paraId="147EA50F" w14:textId="77777777" w:rsidR="00E10090" w:rsidRPr="006171C2" w:rsidRDefault="00E10090" w:rsidP="00E10090">
      <w:pPr>
        <w:spacing w:after="0" w:line="240" w:lineRule="auto"/>
        <w:contextualSpacing/>
        <w:rPr>
          <w:rFonts w:ascii="Times New Roman" w:hAnsi="Times New Roman" w:cs="Times New Roman"/>
          <w:iCs/>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268"/>
        <w:gridCol w:w="1196"/>
        <w:gridCol w:w="706"/>
        <w:gridCol w:w="947"/>
        <w:gridCol w:w="916"/>
        <w:gridCol w:w="290"/>
        <w:gridCol w:w="416"/>
        <w:gridCol w:w="846"/>
        <w:gridCol w:w="1060"/>
      </w:tblGrid>
      <w:tr w:rsidR="00E10090" w:rsidRPr="006171C2" w14:paraId="16507F67" w14:textId="77777777" w:rsidTr="001571C9">
        <w:trPr>
          <w:jc w:val="center"/>
        </w:trPr>
        <w:tc>
          <w:tcPr>
            <w:tcW w:w="0" w:type="auto"/>
            <w:shd w:val="clear" w:color="auto" w:fill="auto"/>
          </w:tcPr>
          <w:p w14:paraId="598EE68C" w14:textId="77777777" w:rsidR="00E10090" w:rsidRPr="006171C2" w:rsidRDefault="00E10090" w:rsidP="004524BE">
            <w:pPr>
              <w:spacing w:after="0" w:line="240" w:lineRule="auto"/>
              <w:contextualSpacing/>
              <w:rPr>
                <w:rFonts w:ascii="Times New Roman" w:hAnsi="Times New Roman" w:cs="Times New Roman"/>
                <w:bCs/>
                <w:sz w:val="28"/>
                <w:szCs w:val="28"/>
              </w:rPr>
            </w:pPr>
            <w:r w:rsidRPr="006171C2">
              <w:rPr>
                <w:rFonts w:ascii="Times New Roman" w:hAnsi="Times New Roman" w:cs="Times New Roman"/>
                <w:bCs/>
                <w:sz w:val="28"/>
                <w:szCs w:val="28"/>
                <w:lang w:val="en-US"/>
              </w:rPr>
              <w:t>H</w:t>
            </w:r>
          </w:p>
        </w:tc>
        <w:tc>
          <w:tcPr>
            <w:tcW w:w="2268" w:type="dxa"/>
            <w:shd w:val="clear" w:color="auto" w:fill="auto"/>
          </w:tcPr>
          <w:p w14:paraId="5A2F683E" w14:textId="77777777" w:rsidR="00E10090" w:rsidRPr="006171C2" w:rsidRDefault="00E10090" w:rsidP="004524BE">
            <w:pPr>
              <w:spacing w:after="0" w:line="240" w:lineRule="auto"/>
              <w:contextualSpacing/>
              <w:rPr>
                <w:rFonts w:ascii="Times New Roman" w:hAnsi="Times New Roman" w:cs="Times New Roman"/>
                <w:bCs/>
                <w:sz w:val="28"/>
                <w:szCs w:val="28"/>
              </w:rPr>
            </w:pPr>
            <w:r w:rsidRPr="006171C2">
              <w:rPr>
                <w:rFonts w:ascii="Times New Roman" w:hAnsi="Times New Roman" w:cs="Times New Roman"/>
                <w:bCs/>
                <w:sz w:val="28"/>
                <w:szCs w:val="28"/>
                <w:lang w:val="en-US"/>
              </w:rPr>
              <w:t>Description</w:t>
            </w:r>
          </w:p>
        </w:tc>
        <w:tc>
          <w:tcPr>
            <w:tcW w:w="1196" w:type="dxa"/>
            <w:tcBorders>
              <w:right w:val="nil"/>
            </w:tcBorders>
            <w:shd w:val="clear" w:color="auto" w:fill="auto"/>
          </w:tcPr>
          <w:p w14:paraId="67BEF521" w14:textId="77777777" w:rsidR="00E10090" w:rsidRPr="006171C2" w:rsidRDefault="00E10090" w:rsidP="004524BE">
            <w:pPr>
              <w:spacing w:after="0" w:line="240" w:lineRule="auto"/>
              <w:contextualSpacing/>
              <w:jc w:val="center"/>
              <w:rPr>
                <w:rFonts w:ascii="Times New Roman" w:hAnsi="Times New Roman" w:cs="Times New Roman"/>
                <w:bCs/>
                <w:sz w:val="28"/>
                <w:szCs w:val="28"/>
              </w:rPr>
            </w:pPr>
          </w:p>
        </w:tc>
        <w:tc>
          <w:tcPr>
            <w:tcW w:w="706" w:type="dxa"/>
            <w:tcBorders>
              <w:left w:val="nil"/>
              <w:right w:val="nil"/>
            </w:tcBorders>
            <w:shd w:val="clear" w:color="auto" w:fill="auto"/>
          </w:tcPr>
          <w:p w14:paraId="23CECE54" w14:textId="77777777" w:rsidR="00E10090" w:rsidRPr="006171C2" w:rsidRDefault="00E10090" w:rsidP="004524BE">
            <w:pPr>
              <w:spacing w:after="0" w:line="240" w:lineRule="auto"/>
              <w:contextualSpacing/>
              <w:jc w:val="center"/>
              <w:rPr>
                <w:rFonts w:ascii="Times New Roman" w:hAnsi="Times New Roman" w:cs="Times New Roman"/>
                <w:bCs/>
                <w:sz w:val="28"/>
                <w:szCs w:val="28"/>
                <w:lang w:val="en-US"/>
              </w:rPr>
            </w:pPr>
          </w:p>
        </w:tc>
        <w:tc>
          <w:tcPr>
            <w:tcW w:w="2153" w:type="dxa"/>
            <w:gridSpan w:val="3"/>
            <w:tcBorders>
              <w:left w:val="nil"/>
              <w:right w:val="nil"/>
            </w:tcBorders>
            <w:shd w:val="clear" w:color="auto" w:fill="auto"/>
          </w:tcPr>
          <w:p w14:paraId="75E469BD" w14:textId="77777777" w:rsidR="00E10090" w:rsidRDefault="00E10090" w:rsidP="004524BE">
            <w:pPr>
              <w:spacing w:after="0" w:line="240" w:lineRule="auto"/>
              <w:contextualSpacing/>
              <w:jc w:val="center"/>
              <w:rPr>
                <w:rFonts w:ascii="Times New Roman" w:hAnsi="Times New Roman" w:cs="Times New Roman"/>
                <w:bCs/>
                <w:sz w:val="28"/>
                <w:szCs w:val="28"/>
                <w:lang w:val="en-US"/>
              </w:rPr>
            </w:pPr>
            <w:r w:rsidRPr="006171C2">
              <w:rPr>
                <w:rFonts w:ascii="Times New Roman" w:hAnsi="Times New Roman" w:cs="Times New Roman"/>
                <w:bCs/>
                <w:sz w:val="28"/>
                <w:szCs w:val="28"/>
                <w:lang w:val="en-US"/>
              </w:rPr>
              <w:t>95% Confidence Intervals</w:t>
            </w:r>
          </w:p>
          <w:p w14:paraId="4FCE301A" w14:textId="3719DA9C" w:rsidR="0065020C" w:rsidRPr="006171C2" w:rsidRDefault="0065020C" w:rsidP="004524BE">
            <w:pPr>
              <w:spacing w:after="0" w:line="240" w:lineRule="auto"/>
              <w:contextualSpacing/>
              <w:jc w:val="center"/>
              <w:rPr>
                <w:rFonts w:ascii="Times New Roman" w:hAnsi="Times New Roman" w:cs="Times New Roman"/>
                <w:bCs/>
                <w:sz w:val="28"/>
                <w:szCs w:val="28"/>
                <w:lang w:val="en-US"/>
              </w:rPr>
            </w:pPr>
          </w:p>
        </w:tc>
        <w:tc>
          <w:tcPr>
            <w:tcW w:w="416" w:type="dxa"/>
            <w:tcBorders>
              <w:left w:val="nil"/>
              <w:right w:val="nil"/>
            </w:tcBorders>
            <w:shd w:val="clear" w:color="auto" w:fill="auto"/>
          </w:tcPr>
          <w:p w14:paraId="34182924" w14:textId="77777777" w:rsidR="00E10090" w:rsidRPr="006171C2" w:rsidRDefault="00E10090" w:rsidP="004524BE">
            <w:pPr>
              <w:spacing w:after="0" w:line="240" w:lineRule="auto"/>
              <w:contextualSpacing/>
              <w:jc w:val="center"/>
              <w:rPr>
                <w:rFonts w:ascii="Times New Roman" w:hAnsi="Times New Roman" w:cs="Times New Roman"/>
                <w:bCs/>
                <w:sz w:val="28"/>
                <w:szCs w:val="28"/>
              </w:rPr>
            </w:pPr>
          </w:p>
        </w:tc>
        <w:tc>
          <w:tcPr>
            <w:tcW w:w="846" w:type="dxa"/>
            <w:tcBorders>
              <w:left w:val="nil"/>
              <w:right w:val="nil"/>
            </w:tcBorders>
            <w:shd w:val="clear" w:color="auto" w:fill="auto"/>
          </w:tcPr>
          <w:p w14:paraId="1DEF1FCC" w14:textId="77777777" w:rsidR="00E10090" w:rsidRPr="006171C2" w:rsidRDefault="00E10090" w:rsidP="004524BE">
            <w:pPr>
              <w:spacing w:after="0" w:line="240" w:lineRule="auto"/>
              <w:contextualSpacing/>
              <w:jc w:val="center"/>
              <w:rPr>
                <w:rFonts w:ascii="Times New Roman" w:hAnsi="Times New Roman" w:cs="Times New Roman"/>
                <w:bCs/>
                <w:sz w:val="28"/>
                <w:szCs w:val="28"/>
              </w:rPr>
            </w:pPr>
          </w:p>
        </w:tc>
        <w:tc>
          <w:tcPr>
            <w:tcW w:w="1060" w:type="dxa"/>
            <w:tcBorders>
              <w:left w:val="nil"/>
            </w:tcBorders>
            <w:shd w:val="clear" w:color="auto" w:fill="auto"/>
          </w:tcPr>
          <w:p w14:paraId="79A3A727" w14:textId="77777777" w:rsidR="00E10090" w:rsidRPr="006171C2" w:rsidRDefault="00E10090" w:rsidP="004524BE">
            <w:pPr>
              <w:spacing w:after="0" w:line="240" w:lineRule="auto"/>
              <w:contextualSpacing/>
              <w:jc w:val="center"/>
              <w:rPr>
                <w:rFonts w:ascii="Times New Roman" w:hAnsi="Times New Roman" w:cs="Times New Roman"/>
                <w:bCs/>
                <w:sz w:val="28"/>
                <w:szCs w:val="28"/>
              </w:rPr>
            </w:pPr>
          </w:p>
        </w:tc>
      </w:tr>
      <w:tr w:rsidR="00E10090" w:rsidRPr="006171C2" w14:paraId="03DA856E" w14:textId="77777777" w:rsidTr="001571C9">
        <w:trPr>
          <w:jc w:val="center"/>
        </w:trPr>
        <w:tc>
          <w:tcPr>
            <w:tcW w:w="0" w:type="auto"/>
            <w:shd w:val="clear" w:color="auto" w:fill="auto"/>
          </w:tcPr>
          <w:p w14:paraId="29344C30" w14:textId="77777777" w:rsidR="00E10090" w:rsidRPr="006171C2" w:rsidRDefault="00E10090" w:rsidP="004524BE">
            <w:pPr>
              <w:spacing w:after="0" w:line="240" w:lineRule="auto"/>
              <w:contextualSpacing/>
              <w:rPr>
                <w:rFonts w:ascii="Times New Roman" w:hAnsi="Times New Roman" w:cs="Times New Roman"/>
                <w:bCs/>
                <w:sz w:val="28"/>
                <w:szCs w:val="28"/>
                <w:lang w:val="en-US"/>
              </w:rPr>
            </w:pPr>
          </w:p>
        </w:tc>
        <w:tc>
          <w:tcPr>
            <w:tcW w:w="2268" w:type="dxa"/>
            <w:shd w:val="clear" w:color="auto" w:fill="auto"/>
          </w:tcPr>
          <w:p w14:paraId="565BA900" w14:textId="77777777" w:rsidR="00E10090" w:rsidRPr="006171C2" w:rsidRDefault="00E10090" w:rsidP="004524BE">
            <w:pPr>
              <w:spacing w:after="0" w:line="240" w:lineRule="auto"/>
              <w:contextualSpacing/>
              <w:rPr>
                <w:rFonts w:ascii="Times New Roman" w:hAnsi="Times New Roman" w:cs="Times New Roman"/>
                <w:sz w:val="28"/>
                <w:szCs w:val="28"/>
                <w:lang w:val="en-US"/>
              </w:rPr>
            </w:pPr>
          </w:p>
        </w:tc>
        <w:tc>
          <w:tcPr>
            <w:tcW w:w="1196" w:type="dxa"/>
            <w:shd w:val="clear" w:color="auto" w:fill="auto"/>
          </w:tcPr>
          <w:p w14:paraId="156F3D7E" w14:textId="77777777" w:rsidR="00E10090" w:rsidRPr="006171C2" w:rsidRDefault="00E10090" w:rsidP="004524BE">
            <w:pPr>
              <w:spacing w:after="0" w:line="240" w:lineRule="auto"/>
              <w:contextualSpacing/>
              <w:jc w:val="center"/>
              <w:rPr>
                <w:rFonts w:ascii="Times New Roman" w:hAnsi="Times New Roman" w:cs="Times New Roman"/>
                <w:sz w:val="28"/>
                <w:szCs w:val="28"/>
                <w:lang w:val="en-US"/>
              </w:rPr>
            </w:pPr>
            <w:r w:rsidRPr="006171C2">
              <w:rPr>
                <w:rFonts w:ascii="Times New Roman" w:hAnsi="Times New Roman" w:cs="Times New Roman"/>
                <w:bCs/>
                <w:sz w:val="28"/>
                <w:szCs w:val="28"/>
                <w:lang w:val="en-US"/>
              </w:rPr>
              <w:t>Estimate</w:t>
            </w:r>
          </w:p>
        </w:tc>
        <w:tc>
          <w:tcPr>
            <w:tcW w:w="706" w:type="dxa"/>
            <w:shd w:val="clear" w:color="auto" w:fill="auto"/>
          </w:tcPr>
          <w:p w14:paraId="6796D21A" w14:textId="77777777" w:rsidR="00E10090" w:rsidRPr="006171C2" w:rsidRDefault="00E10090" w:rsidP="004524BE">
            <w:pPr>
              <w:spacing w:after="0" w:line="240" w:lineRule="auto"/>
              <w:contextualSpacing/>
              <w:jc w:val="center"/>
              <w:rPr>
                <w:rFonts w:ascii="Times New Roman" w:hAnsi="Times New Roman" w:cs="Times New Roman"/>
                <w:sz w:val="28"/>
                <w:szCs w:val="28"/>
                <w:lang w:val="en-US"/>
              </w:rPr>
            </w:pPr>
            <w:r w:rsidRPr="006171C2">
              <w:rPr>
                <w:rFonts w:ascii="Times New Roman" w:hAnsi="Times New Roman" w:cs="Times New Roman"/>
                <w:bCs/>
                <w:sz w:val="28"/>
                <w:szCs w:val="28"/>
                <w:lang w:val="en-US"/>
              </w:rPr>
              <w:t>SE</w:t>
            </w:r>
          </w:p>
        </w:tc>
        <w:tc>
          <w:tcPr>
            <w:tcW w:w="947" w:type="dxa"/>
            <w:shd w:val="clear" w:color="auto" w:fill="auto"/>
          </w:tcPr>
          <w:p w14:paraId="20072CA7" w14:textId="77777777" w:rsidR="00E10090" w:rsidRPr="006171C2" w:rsidRDefault="00E10090" w:rsidP="004524BE">
            <w:pPr>
              <w:spacing w:after="0" w:line="240" w:lineRule="auto"/>
              <w:contextualSpacing/>
              <w:jc w:val="center"/>
              <w:rPr>
                <w:rFonts w:ascii="Times New Roman" w:hAnsi="Times New Roman" w:cs="Times New Roman"/>
                <w:sz w:val="28"/>
                <w:szCs w:val="28"/>
                <w:lang w:val="en-US"/>
              </w:rPr>
            </w:pPr>
            <w:r w:rsidRPr="006171C2">
              <w:rPr>
                <w:rFonts w:ascii="Times New Roman" w:hAnsi="Times New Roman" w:cs="Times New Roman"/>
                <w:bCs/>
                <w:sz w:val="28"/>
                <w:szCs w:val="28"/>
                <w:lang w:val="en-US"/>
              </w:rPr>
              <w:t>Lower</w:t>
            </w:r>
          </w:p>
        </w:tc>
        <w:tc>
          <w:tcPr>
            <w:tcW w:w="916" w:type="dxa"/>
            <w:shd w:val="clear" w:color="auto" w:fill="auto"/>
          </w:tcPr>
          <w:p w14:paraId="4E48CA26" w14:textId="77777777" w:rsidR="00E10090" w:rsidRPr="006171C2" w:rsidRDefault="00E10090" w:rsidP="004524BE">
            <w:pPr>
              <w:spacing w:after="0" w:line="240" w:lineRule="auto"/>
              <w:contextualSpacing/>
              <w:jc w:val="center"/>
              <w:rPr>
                <w:rFonts w:ascii="Times New Roman" w:hAnsi="Times New Roman" w:cs="Times New Roman"/>
                <w:sz w:val="28"/>
                <w:szCs w:val="28"/>
                <w:lang w:val="en-US"/>
              </w:rPr>
            </w:pPr>
            <w:r w:rsidRPr="006171C2">
              <w:rPr>
                <w:rFonts w:ascii="Times New Roman" w:hAnsi="Times New Roman" w:cs="Times New Roman"/>
                <w:bCs/>
                <w:sz w:val="28"/>
                <w:szCs w:val="28"/>
                <w:lang w:val="en-US"/>
              </w:rPr>
              <w:t>Upper</w:t>
            </w:r>
          </w:p>
        </w:tc>
        <w:tc>
          <w:tcPr>
            <w:tcW w:w="706" w:type="dxa"/>
            <w:gridSpan w:val="2"/>
            <w:shd w:val="clear" w:color="auto" w:fill="auto"/>
          </w:tcPr>
          <w:p w14:paraId="597FF895" w14:textId="77777777" w:rsidR="00E10090" w:rsidRPr="006171C2" w:rsidRDefault="00E10090" w:rsidP="004524BE">
            <w:pPr>
              <w:spacing w:after="0" w:line="240" w:lineRule="auto"/>
              <w:contextualSpacing/>
              <w:jc w:val="center"/>
              <w:rPr>
                <w:rFonts w:ascii="Times New Roman" w:hAnsi="Times New Roman" w:cs="Times New Roman"/>
                <w:sz w:val="28"/>
                <w:szCs w:val="28"/>
                <w:lang w:val="en-US"/>
              </w:rPr>
            </w:pPr>
            <w:r w:rsidRPr="006171C2">
              <w:rPr>
                <w:rFonts w:ascii="Times New Roman" w:hAnsi="Times New Roman" w:cs="Times New Roman"/>
                <w:bCs/>
                <w:sz w:val="28"/>
                <w:szCs w:val="28"/>
                <w:lang w:val="en-US"/>
              </w:rPr>
              <w:t>β</w:t>
            </w:r>
          </w:p>
        </w:tc>
        <w:tc>
          <w:tcPr>
            <w:tcW w:w="846" w:type="dxa"/>
            <w:shd w:val="clear" w:color="auto" w:fill="auto"/>
          </w:tcPr>
          <w:p w14:paraId="1D7051BC" w14:textId="77777777" w:rsidR="00E10090" w:rsidRPr="006171C2" w:rsidRDefault="00E10090" w:rsidP="004524BE">
            <w:pPr>
              <w:spacing w:after="0" w:line="240" w:lineRule="auto"/>
              <w:contextualSpacing/>
              <w:jc w:val="center"/>
              <w:rPr>
                <w:rFonts w:ascii="Times New Roman" w:hAnsi="Times New Roman" w:cs="Times New Roman"/>
                <w:sz w:val="28"/>
                <w:szCs w:val="28"/>
                <w:lang w:val="en-US"/>
              </w:rPr>
            </w:pPr>
            <w:r w:rsidRPr="006171C2">
              <w:rPr>
                <w:rFonts w:ascii="Times New Roman" w:hAnsi="Times New Roman" w:cs="Times New Roman"/>
                <w:bCs/>
                <w:sz w:val="28"/>
                <w:szCs w:val="28"/>
                <w:lang w:val="en-US"/>
              </w:rPr>
              <w:t>z</w:t>
            </w:r>
          </w:p>
        </w:tc>
        <w:tc>
          <w:tcPr>
            <w:tcW w:w="1060" w:type="dxa"/>
            <w:shd w:val="clear" w:color="auto" w:fill="auto"/>
          </w:tcPr>
          <w:p w14:paraId="78FC5875" w14:textId="77777777" w:rsidR="00E10090" w:rsidRPr="006171C2" w:rsidRDefault="00E10090" w:rsidP="004524BE">
            <w:pPr>
              <w:spacing w:after="0" w:line="240" w:lineRule="auto"/>
              <w:contextualSpacing/>
              <w:jc w:val="center"/>
              <w:rPr>
                <w:rFonts w:ascii="Times New Roman" w:hAnsi="Times New Roman" w:cs="Times New Roman"/>
                <w:sz w:val="28"/>
                <w:szCs w:val="28"/>
                <w:lang w:val="en-US"/>
              </w:rPr>
            </w:pPr>
            <w:r w:rsidRPr="006171C2">
              <w:rPr>
                <w:rFonts w:ascii="Times New Roman" w:hAnsi="Times New Roman" w:cs="Times New Roman"/>
                <w:bCs/>
                <w:sz w:val="28"/>
                <w:szCs w:val="28"/>
                <w:lang w:val="en-US"/>
              </w:rPr>
              <w:t>p</w:t>
            </w:r>
          </w:p>
        </w:tc>
      </w:tr>
      <w:tr w:rsidR="00E10090" w:rsidRPr="00244343" w14:paraId="2B657E00" w14:textId="77777777" w:rsidTr="001571C9">
        <w:trPr>
          <w:jc w:val="center"/>
        </w:trPr>
        <w:tc>
          <w:tcPr>
            <w:tcW w:w="0" w:type="auto"/>
            <w:shd w:val="clear" w:color="auto" w:fill="auto"/>
          </w:tcPr>
          <w:p w14:paraId="713D896D" w14:textId="77777777" w:rsidR="00E10090" w:rsidRPr="006171C2" w:rsidRDefault="00E10090" w:rsidP="004524BE">
            <w:pPr>
              <w:spacing w:after="0" w:line="240" w:lineRule="auto"/>
              <w:contextualSpacing/>
              <w:rPr>
                <w:rFonts w:ascii="Times New Roman" w:hAnsi="Times New Roman" w:cs="Times New Roman"/>
                <w:sz w:val="28"/>
                <w:szCs w:val="28"/>
                <w:lang w:val="en-US"/>
              </w:rPr>
            </w:pPr>
            <w:r w:rsidRPr="006171C2">
              <w:rPr>
                <w:rFonts w:ascii="Times New Roman" w:hAnsi="Times New Roman" w:cs="Times New Roman"/>
                <w:sz w:val="28"/>
                <w:szCs w:val="28"/>
                <w:lang w:val="en-US"/>
              </w:rPr>
              <w:t>H13</w:t>
            </w:r>
          </w:p>
        </w:tc>
        <w:tc>
          <w:tcPr>
            <w:tcW w:w="2268" w:type="dxa"/>
            <w:shd w:val="clear" w:color="auto" w:fill="auto"/>
            <w:hideMark/>
          </w:tcPr>
          <w:p w14:paraId="60CE0AD7" w14:textId="77777777" w:rsidR="00E10090" w:rsidRPr="006171C2" w:rsidRDefault="00E10090" w:rsidP="004524BE">
            <w:pPr>
              <w:spacing w:after="0" w:line="240" w:lineRule="auto"/>
              <w:contextualSpacing/>
              <w:rPr>
                <w:rFonts w:ascii="Times New Roman" w:hAnsi="Times New Roman" w:cs="Times New Roman"/>
                <w:sz w:val="28"/>
                <w:szCs w:val="28"/>
                <w:lang w:val="en-US"/>
              </w:rPr>
            </w:pPr>
            <w:r w:rsidRPr="006171C2">
              <w:rPr>
                <w:rFonts w:ascii="Times New Roman" w:hAnsi="Times New Roman" w:cs="Times New Roman"/>
                <w:sz w:val="28"/>
                <w:szCs w:val="28"/>
                <w:lang w:val="en-US"/>
              </w:rPr>
              <w:t xml:space="preserve">environment </w:t>
            </w:r>
            <w:r w:rsidRPr="006171C2">
              <w:rPr>
                <w:rFonts w:ascii="Cambria Math" w:hAnsi="Cambria Math" w:cs="Cambria Math"/>
                <w:sz w:val="28"/>
                <w:szCs w:val="28"/>
                <w:lang w:val="en-US"/>
              </w:rPr>
              <w:t>⇒</w:t>
            </w:r>
            <w:r w:rsidRPr="006171C2">
              <w:rPr>
                <w:rFonts w:ascii="Times New Roman" w:hAnsi="Times New Roman" w:cs="Times New Roman"/>
                <w:sz w:val="28"/>
                <w:szCs w:val="28"/>
                <w:lang w:val="en-US"/>
              </w:rPr>
              <w:t xml:space="preserve"> </w:t>
            </w:r>
            <w:proofErr w:type="spellStart"/>
            <w:r w:rsidRPr="006171C2">
              <w:rPr>
                <w:rFonts w:ascii="Times New Roman" w:hAnsi="Times New Roman" w:cs="Times New Roman"/>
                <w:sz w:val="28"/>
                <w:szCs w:val="28"/>
                <w:lang w:val="en-US"/>
              </w:rPr>
              <w:t>self_efficacy</w:t>
            </w:r>
            <w:proofErr w:type="spellEnd"/>
            <w:r w:rsidRPr="006171C2">
              <w:rPr>
                <w:rFonts w:ascii="Times New Roman" w:hAnsi="Times New Roman" w:cs="Times New Roman"/>
                <w:sz w:val="28"/>
                <w:szCs w:val="28"/>
                <w:lang w:val="en-US"/>
              </w:rPr>
              <w:t xml:space="preserve"> </w:t>
            </w:r>
            <w:r w:rsidRPr="006171C2">
              <w:rPr>
                <w:rFonts w:ascii="Cambria Math" w:hAnsi="Cambria Math" w:cs="Cambria Math"/>
                <w:sz w:val="28"/>
                <w:szCs w:val="28"/>
                <w:lang w:val="en-US"/>
              </w:rPr>
              <w:t>⇒</w:t>
            </w:r>
            <w:r w:rsidRPr="006171C2">
              <w:rPr>
                <w:rFonts w:ascii="Times New Roman" w:hAnsi="Times New Roman" w:cs="Times New Roman"/>
                <w:sz w:val="28"/>
                <w:szCs w:val="28"/>
                <w:lang w:val="en-US"/>
              </w:rPr>
              <w:t xml:space="preserve"> intention</w:t>
            </w:r>
          </w:p>
        </w:tc>
        <w:tc>
          <w:tcPr>
            <w:tcW w:w="1196" w:type="dxa"/>
            <w:shd w:val="clear" w:color="auto" w:fill="auto"/>
            <w:hideMark/>
          </w:tcPr>
          <w:p w14:paraId="5B82B7D7" w14:textId="77777777" w:rsidR="00E10090" w:rsidRPr="006171C2" w:rsidRDefault="00E10090" w:rsidP="004524BE">
            <w:pPr>
              <w:spacing w:after="0" w:line="240" w:lineRule="auto"/>
              <w:contextualSpacing/>
              <w:jc w:val="center"/>
              <w:rPr>
                <w:rFonts w:ascii="Times New Roman" w:hAnsi="Times New Roman" w:cs="Times New Roman"/>
                <w:sz w:val="28"/>
                <w:szCs w:val="28"/>
                <w:lang w:val="en-US"/>
              </w:rPr>
            </w:pPr>
            <w:r w:rsidRPr="006171C2">
              <w:rPr>
                <w:rFonts w:ascii="Times New Roman" w:hAnsi="Times New Roman" w:cs="Times New Roman"/>
                <w:sz w:val="28"/>
                <w:szCs w:val="28"/>
                <w:lang w:val="en-US"/>
              </w:rPr>
              <w:t>.066</w:t>
            </w:r>
          </w:p>
        </w:tc>
        <w:tc>
          <w:tcPr>
            <w:tcW w:w="706" w:type="dxa"/>
            <w:shd w:val="clear" w:color="auto" w:fill="auto"/>
            <w:hideMark/>
          </w:tcPr>
          <w:p w14:paraId="40D395DC" w14:textId="77777777" w:rsidR="00E10090" w:rsidRPr="006171C2" w:rsidRDefault="00E10090" w:rsidP="004524BE">
            <w:pPr>
              <w:spacing w:after="0" w:line="240" w:lineRule="auto"/>
              <w:contextualSpacing/>
              <w:jc w:val="center"/>
              <w:rPr>
                <w:rFonts w:ascii="Times New Roman" w:hAnsi="Times New Roman" w:cs="Times New Roman"/>
                <w:sz w:val="28"/>
                <w:szCs w:val="28"/>
                <w:lang w:val="en-US"/>
              </w:rPr>
            </w:pPr>
            <w:r w:rsidRPr="006171C2">
              <w:rPr>
                <w:rFonts w:ascii="Times New Roman" w:hAnsi="Times New Roman" w:cs="Times New Roman"/>
                <w:sz w:val="28"/>
                <w:szCs w:val="28"/>
                <w:lang w:val="en-US"/>
              </w:rPr>
              <w:t>.036</w:t>
            </w:r>
          </w:p>
        </w:tc>
        <w:tc>
          <w:tcPr>
            <w:tcW w:w="947" w:type="dxa"/>
            <w:shd w:val="clear" w:color="auto" w:fill="auto"/>
            <w:hideMark/>
          </w:tcPr>
          <w:p w14:paraId="10290233" w14:textId="77777777" w:rsidR="00E10090" w:rsidRPr="006171C2" w:rsidRDefault="00E10090" w:rsidP="004524BE">
            <w:pPr>
              <w:spacing w:after="0" w:line="240" w:lineRule="auto"/>
              <w:contextualSpacing/>
              <w:jc w:val="center"/>
              <w:rPr>
                <w:rFonts w:ascii="Times New Roman" w:hAnsi="Times New Roman" w:cs="Times New Roman"/>
                <w:sz w:val="28"/>
                <w:szCs w:val="28"/>
                <w:lang w:val="en-US"/>
              </w:rPr>
            </w:pPr>
            <w:r w:rsidRPr="006171C2">
              <w:rPr>
                <w:rFonts w:ascii="Times New Roman" w:hAnsi="Times New Roman" w:cs="Times New Roman"/>
                <w:sz w:val="28"/>
                <w:szCs w:val="28"/>
                <w:lang w:val="en-US"/>
              </w:rPr>
              <w:t>-.005</w:t>
            </w:r>
          </w:p>
        </w:tc>
        <w:tc>
          <w:tcPr>
            <w:tcW w:w="916" w:type="dxa"/>
            <w:shd w:val="clear" w:color="auto" w:fill="auto"/>
            <w:hideMark/>
          </w:tcPr>
          <w:p w14:paraId="104619E0" w14:textId="77777777" w:rsidR="00E10090" w:rsidRPr="006171C2" w:rsidRDefault="00E10090" w:rsidP="004524BE">
            <w:pPr>
              <w:spacing w:after="0" w:line="240" w:lineRule="auto"/>
              <w:contextualSpacing/>
              <w:jc w:val="center"/>
              <w:rPr>
                <w:rFonts w:ascii="Times New Roman" w:hAnsi="Times New Roman" w:cs="Times New Roman"/>
                <w:sz w:val="28"/>
                <w:szCs w:val="28"/>
                <w:lang w:val="en-US"/>
              </w:rPr>
            </w:pPr>
            <w:r w:rsidRPr="006171C2">
              <w:rPr>
                <w:rFonts w:ascii="Times New Roman" w:hAnsi="Times New Roman" w:cs="Times New Roman"/>
                <w:sz w:val="28"/>
                <w:szCs w:val="28"/>
                <w:lang w:val="en-US"/>
              </w:rPr>
              <w:t>.136</w:t>
            </w:r>
          </w:p>
        </w:tc>
        <w:tc>
          <w:tcPr>
            <w:tcW w:w="706" w:type="dxa"/>
            <w:gridSpan w:val="2"/>
            <w:shd w:val="clear" w:color="auto" w:fill="auto"/>
            <w:hideMark/>
          </w:tcPr>
          <w:p w14:paraId="6C5B5474" w14:textId="77777777" w:rsidR="00E10090" w:rsidRPr="006171C2" w:rsidRDefault="00E10090" w:rsidP="004524BE">
            <w:pPr>
              <w:spacing w:after="0" w:line="240" w:lineRule="auto"/>
              <w:contextualSpacing/>
              <w:jc w:val="center"/>
              <w:rPr>
                <w:rFonts w:ascii="Times New Roman" w:hAnsi="Times New Roman" w:cs="Times New Roman"/>
                <w:sz w:val="28"/>
                <w:szCs w:val="28"/>
                <w:lang w:val="en-US"/>
              </w:rPr>
            </w:pPr>
            <w:r w:rsidRPr="006171C2">
              <w:rPr>
                <w:rFonts w:ascii="Times New Roman" w:hAnsi="Times New Roman" w:cs="Times New Roman"/>
                <w:sz w:val="28"/>
                <w:szCs w:val="28"/>
                <w:lang w:val="en-US"/>
              </w:rPr>
              <w:t>.080</w:t>
            </w:r>
          </w:p>
        </w:tc>
        <w:tc>
          <w:tcPr>
            <w:tcW w:w="846" w:type="dxa"/>
            <w:shd w:val="clear" w:color="auto" w:fill="auto"/>
            <w:hideMark/>
          </w:tcPr>
          <w:p w14:paraId="06C3DB2F" w14:textId="77777777" w:rsidR="00E10090" w:rsidRPr="006171C2" w:rsidRDefault="00E10090" w:rsidP="004524BE">
            <w:pPr>
              <w:spacing w:after="0" w:line="240" w:lineRule="auto"/>
              <w:contextualSpacing/>
              <w:jc w:val="center"/>
              <w:rPr>
                <w:rFonts w:ascii="Times New Roman" w:hAnsi="Times New Roman" w:cs="Times New Roman"/>
                <w:sz w:val="28"/>
                <w:szCs w:val="28"/>
                <w:lang w:val="en-US"/>
              </w:rPr>
            </w:pPr>
            <w:r w:rsidRPr="006171C2">
              <w:rPr>
                <w:rFonts w:ascii="Times New Roman" w:hAnsi="Times New Roman" w:cs="Times New Roman"/>
                <w:sz w:val="28"/>
                <w:szCs w:val="28"/>
                <w:lang w:val="en-US"/>
              </w:rPr>
              <w:t>1.812</w:t>
            </w:r>
          </w:p>
        </w:tc>
        <w:tc>
          <w:tcPr>
            <w:tcW w:w="1060" w:type="dxa"/>
            <w:shd w:val="clear" w:color="auto" w:fill="auto"/>
            <w:hideMark/>
          </w:tcPr>
          <w:p w14:paraId="22BC4310" w14:textId="77777777" w:rsidR="00E10090" w:rsidRPr="00244343" w:rsidRDefault="00E10090" w:rsidP="004524BE">
            <w:pPr>
              <w:spacing w:after="0" w:line="240" w:lineRule="auto"/>
              <w:contextualSpacing/>
              <w:jc w:val="center"/>
              <w:rPr>
                <w:rFonts w:ascii="Times New Roman" w:hAnsi="Times New Roman" w:cs="Times New Roman"/>
                <w:sz w:val="28"/>
                <w:szCs w:val="28"/>
                <w:lang w:val="en-US"/>
              </w:rPr>
            </w:pPr>
            <w:r w:rsidRPr="006171C2">
              <w:rPr>
                <w:rFonts w:ascii="Times New Roman" w:hAnsi="Times New Roman" w:cs="Times New Roman"/>
                <w:sz w:val="28"/>
                <w:szCs w:val="28"/>
                <w:lang w:val="en-US"/>
              </w:rPr>
              <w:t>.070</w:t>
            </w:r>
          </w:p>
        </w:tc>
      </w:tr>
      <w:tr w:rsidR="00E10090" w:rsidRPr="00244343" w14:paraId="0A793751" w14:textId="77777777" w:rsidTr="001571C9">
        <w:trPr>
          <w:jc w:val="center"/>
        </w:trPr>
        <w:tc>
          <w:tcPr>
            <w:tcW w:w="0" w:type="auto"/>
            <w:shd w:val="clear" w:color="auto" w:fill="auto"/>
          </w:tcPr>
          <w:p w14:paraId="6F9FA0E3" w14:textId="77777777" w:rsidR="00E10090" w:rsidRPr="00244343" w:rsidRDefault="00E10090" w:rsidP="004524BE">
            <w:pPr>
              <w:spacing w:after="0" w:line="240" w:lineRule="auto"/>
              <w:contextualSpacing/>
              <w:rPr>
                <w:rFonts w:ascii="Times New Roman" w:hAnsi="Times New Roman" w:cs="Times New Roman"/>
                <w:sz w:val="28"/>
                <w:szCs w:val="28"/>
                <w:lang w:val="en-US"/>
              </w:rPr>
            </w:pPr>
            <w:r w:rsidRPr="00244343">
              <w:rPr>
                <w:rFonts w:ascii="Times New Roman" w:hAnsi="Times New Roman" w:cs="Times New Roman"/>
                <w:sz w:val="28"/>
                <w:szCs w:val="28"/>
                <w:lang w:val="en-US"/>
              </w:rPr>
              <w:t>H14</w:t>
            </w:r>
          </w:p>
        </w:tc>
        <w:tc>
          <w:tcPr>
            <w:tcW w:w="2268" w:type="dxa"/>
            <w:shd w:val="clear" w:color="auto" w:fill="auto"/>
            <w:hideMark/>
          </w:tcPr>
          <w:p w14:paraId="59EC0AF7" w14:textId="77777777" w:rsidR="00E10090" w:rsidRPr="00244343" w:rsidRDefault="00E10090" w:rsidP="004524BE">
            <w:pPr>
              <w:spacing w:after="0" w:line="240" w:lineRule="auto"/>
              <w:contextualSpacing/>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environment </w:t>
            </w:r>
            <w:r w:rsidRPr="00244343">
              <w:rPr>
                <w:rFonts w:ascii="Cambria Math" w:hAnsi="Cambria Math" w:cs="Cambria Math"/>
                <w:sz w:val="28"/>
                <w:szCs w:val="28"/>
                <w:lang w:val="en-US"/>
              </w:rPr>
              <w:t>⇒</w:t>
            </w:r>
            <w:r w:rsidRPr="00244343">
              <w:rPr>
                <w:rFonts w:ascii="Times New Roman" w:hAnsi="Times New Roman" w:cs="Times New Roman"/>
                <w:sz w:val="28"/>
                <w:szCs w:val="28"/>
                <w:lang w:val="en-US"/>
              </w:rPr>
              <w:t xml:space="preserve"> </w:t>
            </w:r>
            <w:proofErr w:type="spellStart"/>
            <w:r w:rsidRPr="00244343">
              <w:rPr>
                <w:rFonts w:ascii="Times New Roman" w:hAnsi="Times New Roman" w:cs="Times New Roman"/>
                <w:sz w:val="28"/>
                <w:szCs w:val="28"/>
                <w:lang w:val="en-US"/>
              </w:rPr>
              <w:t>self_efficacy</w:t>
            </w:r>
            <w:proofErr w:type="spellEnd"/>
            <w:r w:rsidRPr="00244343">
              <w:rPr>
                <w:rFonts w:ascii="Times New Roman" w:hAnsi="Times New Roman" w:cs="Times New Roman"/>
                <w:sz w:val="28"/>
                <w:szCs w:val="28"/>
                <w:lang w:val="en-US"/>
              </w:rPr>
              <w:t xml:space="preserve"> </w:t>
            </w:r>
            <w:r w:rsidRPr="00244343">
              <w:rPr>
                <w:rFonts w:ascii="Cambria Math" w:hAnsi="Cambria Math" w:cs="Cambria Math"/>
                <w:sz w:val="28"/>
                <w:szCs w:val="28"/>
                <w:lang w:val="en-US"/>
              </w:rPr>
              <w:t>⇒</w:t>
            </w:r>
            <w:r w:rsidRPr="00244343">
              <w:rPr>
                <w:rFonts w:ascii="Times New Roman" w:hAnsi="Times New Roman" w:cs="Times New Roman"/>
                <w:sz w:val="28"/>
                <w:szCs w:val="28"/>
                <w:lang w:val="en-US"/>
              </w:rPr>
              <w:t xml:space="preserve"> </w:t>
            </w:r>
            <w:proofErr w:type="spellStart"/>
            <w:r w:rsidRPr="00244343">
              <w:rPr>
                <w:rFonts w:ascii="Times New Roman" w:hAnsi="Times New Roman" w:cs="Times New Roman"/>
                <w:sz w:val="28"/>
                <w:szCs w:val="28"/>
                <w:lang w:val="en-US"/>
              </w:rPr>
              <w:t>attitutes</w:t>
            </w:r>
            <w:proofErr w:type="spellEnd"/>
          </w:p>
        </w:tc>
        <w:tc>
          <w:tcPr>
            <w:tcW w:w="1196" w:type="dxa"/>
            <w:shd w:val="clear" w:color="auto" w:fill="auto"/>
            <w:hideMark/>
          </w:tcPr>
          <w:p w14:paraId="4F6D9227" w14:textId="77777777" w:rsidR="00E10090" w:rsidRPr="00244343" w:rsidRDefault="00E10090" w:rsidP="004524BE">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.054</w:t>
            </w:r>
          </w:p>
        </w:tc>
        <w:tc>
          <w:tcPr>
            <w:tcW w:w="706" w:type="dxa"/>
            <w:shd w:val="clear" w:color="auto" w:fill="auto"/>
            <w:hideMark/>
          </w:tcPr>
          <w:p w14:paraId="398CB5A4" w14:textId="77777777" w:rsidR="00E10090" w:rsidRPr="00244343" w:rsidRDefault="00E10090" w:rsidP="004524BE">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.030</w:t>
            </w:r>
          </w:p>
        </w:tc>
        <w:tc>
          <w:tcPr>
            <w:tcW w:w="947" w:type="dxa"/>
            <w:shd w:val="clear" w:color="auto" w:fill="auto"/>
            <w:hideMark/>
          </w:tcPr>
          <w:p w14:paraId="66211564" w14:textId="77777777" w:rsidR="00E10090" w:rsidRPr="00244343" w:rsidRDefault="00E10090" w:rsidP="004524BE">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-.004</w:t>
            </w:r>
          </w:p>
        </w:tc>
        <w:tc>
          <w:tcPr>
            <w:tcW w:w="916" w:type="dxa"/>
            <w:shd w:val="clear" w:color="auto" w:fill="auto"/>
            <w:hideMark/>
          </w:tcPr>
          <w:p w14:paraId="1E3E7BBD" w14:textId="77777777" w:rsidR="00E10090" w:rsidRPr="00244343" w:rsidRDefault="00E10090" w:rsidP="004524BE">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.112</w:t>
            </w:r>
          </w:p>
        </w:tc>
        <w:tc>
          <w:tcPr>
            <w:tcW w:w="706" w:type="dxa"/>
            <w:gridSpan w:val="2"/>
            <w:shd w:val="clear" w:color="auto" w:fill="auto"/>
            <w:hideMark/>
          </w:tcPr>
          <w:p w14:paraId="5E1DD667" w14:textId="77777777" w:rsidR="00E10090" w:rsidRPr="00244343" w:rsidRDefault="00E10090" w:rsidP="004524BE">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.077</w:t>
            </w:r>
          </w:p>
        </w:tc>
        <w:tc>
          <w:tcPr>
            <w:tcW w:w="846" w:type="dxa"/>
            <w:shd w:val="clear" w:color="auto" w:fill="auto"/>
            <w:hideMark/>
          </w:tcPr>
          <w:p w14:paraId="39B717F7" w14:textId="77777777" w:rsidR="00E10090" w:rsidRPr="00244343" w:rsidRDefault="00E10090" w:rsidP="004524BE">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1.810</w:t>
            </w:r>
          </w:p>
        </w:tc>
        <w:tc>
          <w:tcPr>
            <w:tcW w:w="1060" w:type="dxa"/>
            <w:shd w:val="clear" w:color="auto" w:fill="auto"/>
            <w:hideMark/>
          </w:tcPr>
          <w:p w14:paraId="401F43CF" w14:textId="77777777" w:rsidR="00E10090" w:rsidRPr="00244343" w:rsidRDefault="00E10090" w:rsidP="004524BE">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.070</w:t>
            </w:r>
          </w:p>
        </w:tc>
      </w:tr>
      <w:tr w:rsidR="00E10090" w:rsidRPr="00244343" w14:paraId="0CFEDC0C" w14:textId="77777777" w:rsidTr="001571C9">
        <w:trPr>
          <w:jc w:val="center"/>
        </w:trPr>
        <w:tc>
          <w:tcPr>
            <w:tcW w:w="0" w:type="auto"/>
            <w:shd w:val="clear" w:color="auto" w:fill="auto"/>
          </w:tcPr>
          <w:p w14:paraId="674BCD1B" w14:textId="77777777" w:rsidR="00E10090" w:rsidRPr="00244343" w:rsidRDefault="00E10090" w:rsidP="004524BE">
            <w:pPr>
              <w:spacing w:after="0" w:line="240" w:lineRule="auto"/>
              <w:contextualSpacing/>
              <w:rPr>
                <w:rFonts w:ascii="Times New Roman" w:hAnsi="Times New Roman" w:cs="Times New Roman"/>
                <w:sz w:val="28"/>
                <w:szCs w:val="28"/>
                <w:lang w:val="en-US"/>
              </w:rPr>
            </w:pPr>
            <w:r w:rsidRPr="00244343">
              <w:rPr>
                <w:rFonts w:ascii="Times New Roman" w:hAnsi="Times New Roman" w:cs="Times New Roman"/>
                <w:sz w:val="28"/>
                <w:szCs w:val="28"/>
                <w:lang w:val="en-US"/>
              </w:rPr>
              <w:t>H15</w:t>
            </w:r>
          </w:p>
        </w:tc>
        <w:tc>
          <w:tcPr>
            <w:tcW w:w="2268" w:type="dxa"/>
            <w:shd w:val="clear" w:color="auto" w:fill="auto"/>
            <w:hideMark/>
          </w:tcPr>
          <w:p w14:paraId="620864DD" w14:textId="77777777" w:rsidR="00E10090" w:rsidRPr="00244343" w:rsidRDefault="00E10090" w:rsidP="004524BE">
            <w:pPr>
              <w:spacing w:after="0" w:line="240" w:lineRule="auto"/>
              <w:contextualSpacing/>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environment </w:t>
            </w:r>
            <w:r w:rsidRPr="00244343">
              <w:rPr>
                <w:rFonts w:ascii="Cambria Math" w:hAnsi="Cambria Math" w:cs="Cambria Math"/>
                <w:sz w:val="28"/>
                <w:szCs w:val="28"/>
                <w:lang w:val="en-US"/>
              </w:rPr>
              <w:t>⇒</w:t>
            </w:r>
            <w:r w:rsidRPr="00244343">
              <w:rPr>
                <w:rFonts w:ascii="Times New Roman" w:hAnsi="Times New Roman" w:cs="Times New Roman"/>
                <w:sz w:val="28"/>
                <w:szCs w:val="28"/>
                <w:lang w:val="en-US"/>
              </w:rPr>
              <w:t xml:space="preserve"> </w:t>
            </w:r>
            <w:proofErr w:type="spellStart"/>
            <w:r w:rsidRPr="00244343">
              <w:rPr>
                <w:rFonts w:ascii="Times New Roman" w:hAnsi="Times New Roman" w:cs="Times New Roman"/>
                <w:sz w:val="28"/>
                <w:szCs w:val="28"/>
                <w:lang w:val="en-US"/>
              </w:rPr>
              <w:t>Locus_of_control</w:t>
            </w:r>
            <w:proofErr w:type="spellEnd"/>
            <w:r w:rsidRPr="00244343">
              <w:rPr>
                <w:rFonts w:ascii="Times New Roman" w:hAnsi="Times New Roman" w:cs="Times New Roman"/>
                <w:sz w:val="28"/>
                <w:szCs w:val="28"/>
                <w:lang w:val="en-US"/>
              </w:rPr>
              <w:t xml:space="preserve"> </w:t>
            </w:r>
            <w:r w:rsidRPr="00244343">
              <w:rPr>
                <w:rFonts w:ascii="Cambria Math" w:hAnsi="Cambria Math" w:cs="Cambria Math"/>
                <w:sz w:val="28"/>
                <w:szCs w:val="28"/>
                <w:lang w:val="en-US"/>
              </w:rPr>
              <w:t>⇒</w:t>
            </w:r>
            <w:r w:rsidRPr="00244343">
              <w:rPr>
                <w:rFonts w:ascii="Times New Roman" w:hAnsi="Times New Roman" w:cs="Times New Roman"/>
                <w:sz w:val="28"/>
                <w:szCs w:val="28"/>
                <w:lang w:val="en-US"/>
              </w:rPr>
              <w:t xml:space="preserve"> intention</w:t>
            </w:r>
          </w:p>
        </w:tc>
        <w:tc>
          <w:tcPr>
            <w:tcW w:w="1196" w:type="dxa"/>
            <w:shd w:val="clear" w:color="auto" w:fill="auto"/>
            <w:hideMark/>
          </w:tcPr>
          <w:p w14:paraId="77126D3D" w14:textId="77777777" w:rsidR="00E10090" w:rsidRPr="00244343" w:rsidRDefault="00E10090" w:rsidP="004524BE">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.011</w:t>
            </w:r>
          </w:p>
        </w:tc>
        <w:tc>
          <w:tcPr>
            <w:tcW w:w="706" w:type="dxa"/>
            <w:shd w:val="clear" w:color="auto" w:fill="auto"/>
            <w:hideMark/>
          </w:tcPr>
          <w:p w14:paraId="18F5C023" w14:textId="77777777" w:rsidR="00E10090" w:rsidRPr="00244343" w:rsidRDefault="00E10090" w:rsidP="004524BE">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.007</w:t>
            </w:r>
          </w:p>
        </w:tc>
        <w:tc>
          <w:tcPr>
            <w:tcW w:w="947" w:type="dxa"/>
            <w:shd w:val="clear" w:color="auto" w:fill="auto"/>
            <w:hideMark/>
          </w:tcPr>
          <w:p w14:paraId="26D8C5AC" w14:textId="77777777" w:rsidR="00E10090" w:rsidRPr="00244343" w:rsidRDefault="00E10090" w:rsidP="004524BE">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-.002</w:t>
            </w:r>
          </w:p>
        </w:tc>
        <w:tc>
          <w:tcPr>
            <w:tcW w:w="916" w:type="dxa"/>
            <w:shd w:val="clear" w:color="auto" w:fill="auto"/>
            <w:hideMark/>
          </w:tcPr>
          <w:p w14:paraId="652431D9" w14:textId="77777777" w:rsidR="00E10090" w:rsidRPr="00244343" w:rsidRDefault="00E10090" w:rsidP="004524BE">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.024</w:t>
            </w:r>
          </w:p>
        </w:tc>
        <w:tc>
          <w:tcPr>
            <w:tcW w:w="706" w:type="dxa"/>
            <w:gridSpan w:val="2"/>
            <w:shd w:val="clear" w:color="auto" w:fill="auto"/>
            <w:hideMark/>
          </w:tcPr>
          <w:p w14:paraId="38992DEB" w14:textId="77777777" w:rsidR="00E10090" w:rsidRPr="00244343" w:rsidRDefault="00E10090" w:rsidP="004524BE">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.013</w:t>
            </w:r>
          </w:p>
        </w:tc>
        <w:tc>
          <w:tcPr>
            <w:tcW w:w="846" w:type="dxa"/>
            <w:shd w:val="clear" w:color="auto" w:fill="auto"/>
            <w:hideMark/>
          </w:tcPr>
          <w:p w14:paraId="67837346" w14:textId="77777777" w:rsidR="00E10090" w:rsidRPr="00244343" w:rsidRDefault="00E10090" w:rsidP="004524BE">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1.664</w:t>
            </w:r>
          </w:p>
        </w:tc>
        <w:tc>
          <w:tcPr>
            <w:tcW w:w="1060" w:type="dxa"/>
            <w:shd w:val="clear" w:color="auto" w:fill="auto"/>
            <w:hideMark/>
          </w:tcPr>
          <w:p w14:paraId="38EA3BA4" w14:textId="77777777" w:rsidR="00E10090" w:rsidRPr="00244343" w:rsidRDefault="00E10090" w:rsidP="004524BE">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.096</w:t>
            </w:r>
          </w:p>
        </w:tc>
      </w:tr>
      <w:tr w:rsidR="00E10090" w:rsidRPr="00244343" w14:paraId="3B903DEF" w14:textId="77777777" w:rsidTr="00BD1A44">
        <w:trPr>
          <w:jc w:val="center"/>
        </w:trPr>
        <w:tc>
          <w:tcPr>
            <w:tcW w:w="0" w:type="auto"/>
            <w:tcBorders>
              <w:bottom w:val="nil"/>
            </w:tcBorders>
            <w:shd w:val="clear" w:color="auto" w:fill="auto"/>
          </w:tcPr>
          <w:p w14:paraId="284C6731" w14:textId="77777777" w:rsidR="00E10090" w:rsidRPr="00244343" w:rsidRDefault="00E10090" w:rsidP="004524BE">
            <w:pPr>
              <w:spacing w:after="0" w:line="240" w:lineRule="auto"/>
              <w:contextualSpacing/>
              <w:rPr>
                <w:rFonts w:ascii="Times New Roman" w:hAnsi="Times New Roman" w:cs="Times New Roman"/>
                <w:sz w:val="28"/>
                <w:szCs w:val="28"/>
                <w:lang w:val="en-US"/>
              </w:rPr>
            </w:pPr>
            <w:r w:rsidRPr="00244343">
              <w:rPr>
                <w:rFonts w:ascii="Times New Roman" w:hAnsi="Times New Roman" w:cs="Times New Roman"/>
                <w:sz w:val="28"/>
                <w:szCs w:val="28"/>
                <w:lang w:val="en-US"/>
              </w:rPr>
              <w:t>H16</w:t>
            </w:r>
          </w:p>
        </w:tc>
        <w:tc>
          <w:tcPr>
            <w:tcW w:w="2268" w:type="dxa"/>
            <w:tcBorders>
              <w:bottom w:val="nil"/>
            </w:tcBorders>
            <w:shd w:val="clear" w:color="auto" w:fill="auto"/>
            <w:hideMark/>
          </w:tcPr>
          <w:p w14:paraId="161F8A6F" w14:textId="77777777" w:rsidR="00E10090" w:rsidRPr="00244343" w:rsidRDefault="00E10090" w:rsidP="004524BE">
            <w:pPr>
              <w:spacing w:after="0" w:line="240" w:lineRule="auto"/>
              <w:contextualSpacing/>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environment </w:t>
            </w:r>
            <w:r w:rsidRPr="00244343">
              <w:rPr>
                <w:rFonts w:ascii="Cambria Math" w:hAnsi="Cambria Math" w:cs="Cambria Math"/>
                <w:sz w:val="28"/>
                <w:szCs w:val="28"/>
                <w:lang w:val="en-US"/>
              </w:rPr>
              <w:t>⇒</w:t>
            </w:r>
            <w:r w:rsidRPr="00244343">
              <w:rPr>
                <w:rFonts w:ascii="Times New Roman" w:hAnsi="Times New Roman" w:cs="Times New Roman"/>
                <w:sz w:val="28"/>
                <w:szCs w:val="28"/>
                <w:lang w:val="en-US"/>
              </w:rPr>
              <w:t xml:space="preserve"> </w:t>
            </w:r>
            <w:proofErr w:type="spellStart"/>
            <w:r w:rsidRPr="00244343">
              <w:rPr>
                <w:rFonts w:ascii="Times New Roman" w:hAnsi="Times New Roman" w:cs="Times New Roman"/>
                <w:sz w:val="28"/>
                <w:szCs w:val="28"/>
                <w:lang w:val="en-US"/>
              </w:rPr>
              <w:t>Locus_of_control</w:t>
            </w:r>
            <w:proofErr w:type="spellEnd"/>
            <w:r w:rsidRPr="00244343">
              <w:rPr>
                <w:rFonts w:ascii="Times New Roman" w:hAnsi="Times New Roman" w:cs="Times New Roman"/>
                <w:sz w:val="28"/>
                <w:szCs w:val="28"/>
                <w:lang w:val="en-US"/>
              </w:rPr>
              <w:t xml:space="preserve"> </w:t>
            </w:r>
            <w:r w:rsidRPr="00244343">
              <w:rPr>
                <w:rFonts w:ascii="Cambria Math" w:hAnsi="Cambria Math" w:cs="Cambria Math"/>
                <w:sz w:val="28"/>
                <w:szCs w:val="28"/>
                <w:lang w:val="en-US"/>
              </w:rPr>
              <w:t>⇒</w:t>
            </w:r>
            <w:r w:rsidRPr="00244343">
              <w:rPr>
                <w:rFonts w:ascii="Times New Roman" w:hAnsi="Times New Roman" w:cs="Times New Roman"/>
                <w:sz w:val="28"/>
                <w:szCs w:val="28"/>
                <w:lang w:val="en-US"/>
              </w:rPr>
              <w:t xml:space="preserve"> </w:t>
            </w:r>
            <w:proofErr w:type="spellStart"/>
            <w:r w:rsidRPr="00244343">
              <w:rPr>
                <w:rFonts w:ascii="Times New Roman" w:hAnsi="Times New Roman" w:cs="Times New Roman"/>
                <w:sz w:val="28"/>
                <w:szCs w:val="28"/>
                <w:lang w:val="en-US"/>
              </w:rPr>
              <w:t>attitutes</w:t>
            </w:r>
            <w:proofErr w:type="spellEnd"/>
          </w:p>
        </w:tc>
        <w:tc>
          <w:tcPr>
            <w:tcW w:w="1196" w:type="dxa"/>
            <w:tcBorders>
              <w:bottom w:val="nil"/>
            </w:tcBorders>
            <w:shd w:val="clear" w:color="auto" w:fill="auto"/>
            <w:hideMark/>
          </w:tcPr>
          <w:p w14:paraId="530E90AD" w14:textId="77777777" w:rsidR="00E10090" w:rsidRPr="00244343" w:rsidRDefault="00E10090" w:rsidP="004524BE">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.009</w:t>
            </w:r>
          </w:p>
        </w:tc>
        <w:tc>
          <w:tcPr>
            <w:tcW w:w="706" w:type="dxa"/>
            <w:tcBorders>
              <w:bottom w:val="nil"/>
            </w:tcBorders>
            <w:shd w:val="clear" w:color="auto" w:fill="auto"/>
            <w:hideMark/>
          </w:tcPr>
          <w:p w14:paraId="70D11A35" w14:textId="77777777" w:rsidR="00E10090" w:rsidRPr="00244343" w:rsidRDefault="00E10090" w:rsidP="004524BE">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.006</w:t>
            </w:r>
          </w:p>
        </w:tc>
        <w:tc>
          <w:tcPr>
            <w:tcW w:w="947" w:type="dxa"/>
            <w:tcBorders>
              <w:bottom w:val="nil"/>
            </w:tcBorders>
            <w:shd w:val="clear" w:color="auto" w:fill="auto"/>
            <w:hideMark/>
          </w:tcPr>
          <w:p w14:paraId="20E74989" w14:textId="77777777" w:rsidR="00E10090" w:rsidRPr="00244343" w:rsidRDefault="00E10090" w:rsidP="004524BE">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-.001</w:t>
            </w:r>
          </w:p>
        </w:tc>
        <w:tc>
          <w:tcPr>
            <w:tcW w:w="916" w:type="dxa"/>
            <w:tcBorders>
              <w:bottom w:val="nil"/>
            </w:tcBorders>
            <w:shd w:val="clear" w:color="auto" w:fill="auto"/>
            <w:hideMark/>
          </w:tcPr>
          <w:p w14:paraId="63FCBDFF" w14:textId="77777777" w:rsidR="00E10090" w:rsidRPr="00244343" w:rsidRDefault="00E10090" w:rsidP="004524BE">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.020</w:t>
            </w:r>
          </w:p>
        </w:tc>
        <w:tc>
          <w:tcPr>
            <w:tcW w:w="706" w:type="dxa"/>
            <w:gridSpan w:val="2"/>
            <w:tcBorders>
              <w:bottom w:val="nil"/>
            </w:tcBorders>
            <w:shd w:val="clear" w:color="auto" w:fill="auto"/>
            <w:hideMark/>
          </w:tcPr>
          <w:p w14:paraId="7211C670" w14:textId="77777777" w:rsidR="00E10090" w:rsidRPr="00244343" w:rsidRDefault="00E10090" w:rsidP="004524BE">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.013</w:t>
            </w:r>
          </w:p>
        </w:tc>
        <w:tc>
          <w:tcPr>
            <w:tcW w:w="846" w:type="dxa"/>
            <w:tcBorders>
              <w:bottom w:val="nil"/>
            </w:tcBorders>
            <w:shd w:val="clear" w:color="auto" w:fill="auto"/>
            <w:hideMark/>
          </w:tcPr>
          <w:p w14:paraId="2EF6989F" w14:textId="77777777" w:rsidR="00E10090" w:rsidRPr="00244343" w:rsidRDefault="00E10090" w:rsidP="004524BE">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1.699</w:t>
            </w:r>
          </w:p>
        </w:tc>
        <w:tc>
          <w:tcPr>
            <w:tcW w:w="1060" w:type="dxa"/>
            <w:tcBorders>
              <w:bottom w:val="nil"/>
            </w:tcBorders>
            <w:shd w:val="clear" w:color="auto" w:fill="auto"/>
            <w:hideMark/>
          </w:tcPr>
          <w:p w14:paraId="4549CED3" w14:textId="77777777" w:rsidR="00E10090" w:rsidRPr="00244343" w:rsidRDefault="00E10090" w:rsidP="004524BE">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.089</w:t>
            </w:r>
          </w:p>
        </w:tc>
      </w:tr>
      <w:tr w:rsidR="00BD1A44" w:rsidRPr="00244343" w14:paraId="28945434" w14:textId="77777777" w:rsidTr="00BD1A44">
        <w:trPr>
          <w:jc w:val="center"/>
        </w:trPr>
        <w:tc>
          <w:tcPr>
            <w:tcW w:w="9344" w:type="dxa"/>
            <w:gridSpan w:val="10"/>
            <w:tcBorders>
              <w:top w:val="nil"/>
              <w:left w:val="nil"/>
              <w:bottom w:val="nil"/>
              <w:right w:val="nil"/>
            </w:tcBorders>
            <w:shd w:val="clear" w:color="auto" w:fill="auto"/>
          </w:tcPr>
          <w:p w14:paraId="715AFFFD" w14:textId="77777777" w:rsidR="00BD1A44" w:rsidRDefault="00BD1A44" w:rsidP="00BD1A44">
            <w:pPr>
              <w:spacing w:after="0"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Continuation of the table 12 </w:t>
            </w:r>
          </w:p>
          <w:p w14:paraId="2C613754" w14:textId="6F88E235" w:rsidR="00BD1A44" w:rsidRPr="00244343" w:rsidRDefault="00BD1A44" w:rsidP="00BD1A44">
            <w:pPr>
              <w:spacing w:after="0" w:line="240" w:lineRule="auto"/>
              <w:contextualSpacing/>
              <w:rPr>
                <w:rFonts w:ascii="Times New Roman" w:hAnsi="Times New Roman" w:cs="Times New Roman"/>
                <w:sz w:val="28"/>
                <w:szCs w:val="28"/>
                <w:lang w:val="en-US"/>
              </w:rPr>
            </w:pPr>
          </w:p>
        </w:tc>
      </w:tr>
      <w:tr w:rsidR="00D760F8" w:rsidRPr="00244343" w14:paraId="64ED1A96" w14:textId="77777777" w:rsidTr="001571C9">
        <w:trPr>
          <w:jc w:val="center"/>
        </w:trPr>
        <w:tc>
          <w:tcPr>
            <w:tcW w:w="0" w:type="auto"/>
            <w:tcBorders>
              <w:top w:val="single" w:sz="4" w:space="0" w:color="auto"/>
            </w:tcBorders>
            <w:shd w:val="clear" w:color="auto" w:fill="auto"/>
          </w:tcPr>
          <w:p w14:paraId="27A4C607" w14:textId="77777777" w:rsidR="00D760F8" w:rsidRPr="00244343" w:rsidRDefault="00D760F8" w:rsidP="00D760F8">
            <w:pPr>
              <w:spacing w:after="0" w:line="240" w:lineRule="auto"/>
              <w:contextualSpacing/>
              <w:rPr>
                <w:rFonts w:ascii="Times New Roman" w:hAnsi="Times New Roman" w:cs="Times New Roman"/>
                <w:sz w:val="28"/>
                <w:szCs w:val="28"/>
                <w:lang w:val="en-US"/>
              </w:rPr>
            </w:pPr>
            <w:r w:rsidRPr="00244343">
              <w:rPr>
                <w:rFonts w:ascii="Times New Roman" w:hAnsi="Times New Roman" w:cs="Times New Roman"/>
                <w:sz w:val="28"/>
                <w:szCs w:val="28"/>
                <w:lang w:val="en-US"/>
              </w:rPr>
              <w:t>H17</w:t>
            </w:r>
          </w:p>
        </w:tc>
        <w:tc>
          <w:tcPr>
            <w:tcW w:w="2268" w:type="dxa"/>
            <w:tcBorders>
              <w:top w:val="single" w:sz="4" w:space="0" w:color="auto"/>
            </w:tcBorders>
            <w:shd w:val="clear" w:color="auto" w:fill="auto"/>
            <w:hideMark/>
          </w:tcPr>
          <w:p w14:paraId="774DC9F7" w14:textId="77777777" w:rsidR="00D760F8" w:rsidRPr="00244343" w:rsidRDefault="00D760F8" w:rsidP="00D760F8">
            <w:pPr>
              <w:spacing w:after="0" w:line="240" w:lineRule="auto"/>
              <w:contextualSpacing/>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programs </w:t>
            </w:r>
            <w:r w:rsidRPr="00244343">
              <w:rPr>
                <w:rFonts w:ascii="Cambria Math" w:hAnsi="Cambria Math" w:cs="Cambria Math"/>
                <w:sz w:val="28"/>
                <w:szCs w:val="28"/>
                <w:lang w:val="en-US"/>
              </w:rPr>
              <w:t>⇒</w:t>
            </w:r>
            <w:r w:rsidRPr="00244343">
              <w:rPr>
                <w:rFonts w:ascii="Times New Roman" w:hAnsi="Times New Roman" w:cs="Times New Roman"/>
                <w:sz w:val="28"/>
                <w:szCs w:val="28"/>
                <w:lang w:val="en-US"/>
              </w:rPr>
              <w:t xml:space="preserve"> </w:t>
            </w:r>
            <w:proofErr w:type="spellStart"/>
            <w:r w:rsidRPr="00244343">
              <w:rPr>
                <w:rFonts w:ascii="Times New Roman" w:hAnsi="Times New Roman" w:cs="Times New Roman"/>
                <w:sz w:val="28"/>
                <w:szCs w:val="28"/>
                <w:lang w:val="en-US"/>
              </w:rPr>
              <w:t>self_efficacy</w:t>
            </w:r>
            <w:proofErr w:type="spellEnd"/>
            <w:r w:rsidRPr="00244343">
              <w:rPr>
                <w:rFonts w:ascii="Times New Roman" w:hAnsi="Times New Roman" w:cs="Times New Roman"/>
                <w:sz w:val="28"/>
                <w:szCs w:val="28"/>
                <w:lang w:val="en-US"/>
              </w:rPr>
              <w:t xml:space="preserve"> </w:t>
            </w:r>
            <w:r w:rsidRPr="00244343">
              <w:rPr>
                <w:rFonts w:ascii="Cambria Math" w:hAnsi="Cambria Math" w:cs="Cambria Math"/>
                <w:sz w:val="28"/>
                <w:szCs w:val="28"/>
                <w:lang w:val="en-US"/>
              </w:rPr>
              <w:t>⇒</w:t>
            </w:r>
            <w:r w:rsidRPr="00244343">
              <w:rPr>
                <w:rFonts w:ascii="Times New Roman" w:hAnsi="Times New Roman" w:cs="Times New Roman"/>
                <w:sz w:val="28"/>
                <w:szCs w:val="28"/>
                <w:lang w:val="en-US"/>
              </w:rPr>
              <w:t xml:space="preserve"> intention</w:t>
            </w:r>
          </w:p>
        </w:tc>
        <w:tc>
          <w:tcPr>
            <w:tcW w:w="1196" w:type="dxa"/>
            <w:tcBorders>
              <w:top w:val="single" w:sz="4" w:space="0" w:color="auto"/>
            </w:tcBorders>
            <w:shd w:val="clear" w:color="auto" w:fill="auto"/>
            <w:hideMark/>
          </w:tcPr>
          <w:p w14:paraId="7E49F73F"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.270</w:t>
            </w:r>
          </w:p>
        </w:tc>
        <w:tc>
          <w:tcPr>
            <w:tcW w:w="706" w:type="dxa"/>
            <w:tcBorders>
              <w:top w:val="single" w:sz="4" w:space="0" w:color="auto"/>
            </w:tcBorders>
            <w:shd w:val="clear" w:color="auto" w:fill="auto"/>
            <w:hideMark/>
          </w:tcPr>
          <w:p w14:paraId="769F2917"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.046</w:t>
            </w:r>
          </w:p>
        </w:tc>
        <w:tc>
          <w:tcPr>
            <w:tcW w:w="947" w:type="dxa"/>
            <w:tcBorders>
              <w:top w:val="single" w:sz="4" w:space="0" w:color="auto"/>
            </w:tcBorders>
            <w:shd w:val="clear" w:color="auto" w:fill="auto"/>
            <w:hideMark/>
          </w:tcPr>
          <w:p w14:paraId="52F84546"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.180</w:t>
            </w:r>
          </w:p>
        </w:tc>
        <w:tc>
          <w:tcPr>
            <w:tcW w:w="916" w:type="dxa"/>
            <w:tcBorders>
              <w:top w:val="single" w:sz="4" w:space="0" w:color="auto"/>
            </w:tcBorders>
            <w:shd w:val="clear" w:color="auto" w:fill="auto"/>
            <w:hideMark/>
          </w:tcPr>
          <w:p w14:paraId="19867A41"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.360</w:t>
            </w:r>
          </w:p>
        </w:tc>
        <w:tc>
          <w:tcPr>
            <w:tcW w:w="706" w:type="dxa"/>
            <w:gridSpan w:val="2"/>
            <w:tcBorders>
              <w:top w:val="single" w:sz="4" w:space="0" w:color="auto"/>
            </w:tcBorders>
            <w:shd w:val="clear" w:color="auto" w:fill="auto"/>
            <w:hideMark/>
          </w:tcPr>
          <w:p w14:paraId="570CD1B3"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.277</w:t>
            </w:r>
          </w:p>
        </w:tc>
        <w:tc>
          <w:tcPr>
            <w:tcW w:w="846" w:type="dxa"/>
            <w:tcBorders>
              <w:top w:val="single" w:sz="4" w:space="0" w:color="auto"/>
            </w:tcBorders>
            <w:shd w:val="clear" w:color="auto" w:fill="auto"/>
            <w:hideMark/>
          </w:tcPr>
          <w:p w14:paraId="21D5A1D0"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5.867</w:t>
            </w:r>
          </w:p>
        </w:tc>
        <w:tc>
          <w:tcPr>
            <w:tcW w:w="1060" w:type="dxa"/>
            <w:tcBorders>
              <w:top w:val="single" w:sz="4" w:space="0" w:color="auto"/>
            </w:tcBorders>
            <w:shd w:val="clear" w:color="auto" w:fill="auto"/>
            <w:hideMark/>
          </w:tcPr>
          <w:p w14:paraId="1BAD5D9D"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&lt; .001*</w:t>
            </w:r>
          </w:p>
        </w:tc>
      </w:tr>
      <w:tr w:rsidR="00D760F8" w:rsidRPr="00244343" w14:paraId="6BCDD761" w14:textId="77777777" w:rsidTr="001571C9">
        <w:trPr>
          <w:jc w:val="center"/>
        </w:trPr>
        <w:tc>
          <w:tcPr>
            <w:tcW w:w="0" w:type="auto"/>
            <w:shd w:val="clear" w:color="auto" w:fill="auto"/>
          </w:tcPr>
          <w:p w14:paraId="7721E26D" w14:textId="77777777" w:rsidR="00D760F8" w:rsidRPr="00244343" w:rsidRDefault="00D760F8" w:rsidP="00D760F8">
            <w:pPr>
              <w:spacing w:after="0" w:line="240" w:lineRule="auto"/>
              <w:contextualSpacing/>
              <w:rPr>
                <w:rFonts w:ascii="Times New Roman" w:hAnsi="Times New Roman" w:cs="Times New Roman"/>
                <w:sz w:val="28"/>
                <w:szCs w:val="28"/>
                <w:lang w:val="en-US"/>
              </w:rPr>
            </w:pPr>
            <w:r w:rsidRPr="00244343">
              <w:rPr>
                <w:rFonts w:ascii="Times New Roman" w:hAnsi="Times New Roman" w:cs="Times New Roman"/>
                <w:sz w:val="28"/>
                <w:szCs w:val="28"/>
                <w:lang w:val="en-US"/>
              </w:rPr>
              <w:t>H18</w:t>
            </w:r>
          </w:p>
        </w:tc>
        <w:tc>
          <w:tcPr>
            <w:tcW w:w="2268" w:type="dxa"/>
            <w:shd w:val="clear" w:color="auto" w:fill="auto"/>
            <w:hideMark/>
          </w:tcPr>
          <w:p w14:paraId="69F86C0D" w14:textId="77777777" w:rsidR="00D760F8" w:rsidRPr="00244343" w:rsidRDefault="00D760F8" w:rsidP="00D760F8">
            <w:pPr>
              <w:spacing w:after="0" w:line="240" w:lineRule="auto"/>
              <w:contextualSpacing/>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programs </w:t>
            </w:r>
            <w:r w:rsidRPr="00244343">
              <w:rPr>
                <w:rFonts w:ascii="Cambria Math" w:hAnsi="Cambria Math" w:cs="Cambria Math"/>
                <w:sz w:val="28"/>
                <w:szCs w:val="28"/>
                <w:lang w:val="en-US"/>
              </w:rPr>
              <w:t>⇒</w:t>
            </w:r>
            <w:r w:rsidRPr="00244343">
              <w:rPr>
                <w:rFonts w:ascii="Times New Roman" w:hAnsi="Times New Roman" w:cs="Times New Roman"/>
                <w:sz w:val="28"/>
                <w:szCs w:val="28"/>
                <w:lang w:val="en-US"/>
              </w:rPr>
              <w:t xml:space="preserve"> </w:t>
            </w:r>
            <w:proofErr w:type="spellStart"/>
            <w:r w:rsidRPr="00244343">
              <w:rPr>
                <w:rFonts w:ascii="Times New Roman" w:hAnsi="Times New Roman" w:cs="Times New Roman"/>
                <w:sz w:val="28"/>
                <w:szCs w:val="28"/>
                <w:lang w:val="en-US"/>
              </w:rPr>
              <w:t>self_efficacy</w:t>
            </w:r>
            <w:proofErr w:type="spellEnd"/>
            <w:r w:rsidRPr="00244343">
              <w:rPr>
                <w:rFonts w:ascii="Times New Roman" w:hAnsi="Times New Roman" w:cs="Times New Roman"/>
                <w:sz w:val="28"/>
                <w:szCs w:val="28"/>
                <w:lang w:val="en-US"/>
              </w:rPr>
              <w:t xml:space="preserve"> </w:t>
            </w:r>
            <w:r w:rsidRPr="00244343">
              <w:rPr>
                <w:rFonts w:ascii="Cambria Math" w:hAnsi="Cambria Math" w:cs="Cambria Math"/>
                <w:sz w:val="28"/>
                <w:szCs w:val="28"/>
                <w:lang w:val="en-US"/>
              </w:rPr>
              <w:t>⇒</w:t>
            </w:r>
            <w:r w:rsidRPr="00244343">
              <w:rPr>
                <w:rFonts w:ascii="Times New Roman" w:hAnsi="Times New Roman" w:cs="Times New Roman"/>
                <w:sz w:val="28"/>
                <w:szCs w:val="28"/>
                <w:lang w:val="en-US"/>
              </w:rPr>
              <w:t xml:space="preserve"> </w:t>
            </w:r>
            <w:proofErr w:type="spellStart"/>
            <w:r w:rsidRPr="00244343">
              <w:rPr>
                <w:rFonts w:ascii="Times New Roman" w:hAnsi="Times New Roman" w:cs="Times New Roman"/>
                <w:sz w:val="28"/>
                <w:szCs w:val="28"/>
                <w:lang w:val="en-US"/>
              </w:rPr>
              <w:t>attitutes</w:t>
            </w:r>
            <w:proofErr w:type="spellEnd"/>
          </w:p>
        </w:tc>
        <w:tc>
          <w:tcPr>
            <w:tcW w:w="1196" w:type="dxa"/>
            <w:shd w:val="clear" w:color="auto" w:fill="auto"/>
            <w:hideMark/>
          </w:tcPr>
          <w:p w14:paraId="7A5623AF"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.222</w:t>
            </w:r>
          </w:p>
        </w:tc>
        <w:tc>
          <w:tcPr>
            <w:tcW w:w="706" w:type="dxa"/>
            <w:shd w:val="clear" w:color="auto" w:fill="auto"/>
            <w:hideMark/>
          </w:tcPr>
          <w:p w14:paraId="55A3DF2B"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.038</w:t>
            </w:r>
          </w:p>
        </w:tc>
        <w:tc>
          <w:tcPr>
            <w:tcW w:w="947" w:type="dxa"/>
            <w:shd w:val="clear" w:color="auto" w:fill="auto"/>
            <w:hideMark/>
          </w:tcPr>
          <w:p w14:paraId="0AB5525C"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.147</w:t>
            </w:r>
          </w:p>
        </w:tc>
        <w:tc>
          <w:tcPr>
            <w:tcW w:w="916" w:type="dxa"/>
            <w:shd w:val="clear" w:color="auto" w:fill="auto"/>
            <w:hideMark/>
          </w:tcPr>
          <w:p w14:paraId="69254FD0"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.298</w:t>
            </w:r>
          </w:p>
        </w:tc>
        <w:tc>
          <w:tcPr>
            <w:tcW w:w="706" w:type="dxa"/>
            <w:gridSpan w:val="2"/>
            <w:shd w:val="clear" w:color="auto" w:fill="auto"/>
            <w:hideMark/>
          </w:tcPr>
          <w:p w14:paraId="5773C7D6"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.267</w:t>
            </w:r>
          </w:p>
        </w:tc>
        <w:tc>
          <w:tcPr>
            <w:tcW w:w="846" w:type="dxa"/>
            <w:shd w:val="clear" w:color="auto" w:fill="auto"/>
            <w:hideMark/>
          </w:tcPr>
          <w:p w14:paraId="0FC63E74"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5.796</w:t>
            </w:r>
          </w:p>
        </w:tc>
        <w:tc>
          <w:tcPr>
            <w:tcW w:w="1060" w:type="dxa"/>
            <w:shd w:val="clear" w:color="auto" w:fill="auto"/>
            <w:hideMark/>
          </w:tcPr>
          <w:p w14:paraId="43569639"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&lt; .001*</w:t>
            </w:r>
          </w:p>
        </w:tc>
      </w:tr>
      <w:tr w:rsidR="00D760F8" w:rsidRPr="00244343" w14:paraId="60BA324A" w14:textId="77777777" w:rsidTr="001571C9">
        <w:trPr>
          <w:jc w:val="center"/>
        </w:trPr>
        <w:tc>
          <w:tcPr>
            <w:tcW w:w="0" w:type="auto"/>
            <w:shd w:val="clear" w:color="auto" w:fill="auto"/>
          </w:tcPr>
          <w:p w14:paraId="52CC99CD" w14:textId="77777777" w:rsidR="00D760F8" w:rsidRPr="00244343" w:rsidRDefault="00D760F8" w:rsidP="00D760F8">
            <w:pPr>
              <w:spacing w:after="0" w:line="240" w:lineRule="auto"/>
              <w:contextualSpacing/>
              <w:rPr>
                <w:rFonts w:ascii="Times New Roman" w:hAnsi="Times New Roman" w:cs="Times New Roman"/>
                <w:sz w:val="28"/>
                <w:szCs w:val="28"/>
                <w:lang w:val="en-US"/>
              </w:rPr>
            </w:pPr>
            <w:r w:rsidRPr="00244343">
              <w:rPr>
                <w:rFonts w:ascii="Times New Roman" w:hAnsi="Times New Roman" w:cs="Times New Roman"/>
                <w:sz w:val="28"/>
                <w:szCs w:val="28"/>
                <w:lang w:val="en-US"/>
              </w:rPr>
              <w:t>H19</w:t>
            </w:r>
          </w:p>
        </w:tc>
        <w:tc>
          <w:tcPr>
            <w:tcW w:w="2268" w:type="dxa"/>
            <w:shd w:val="clear" w:color="auto" w:fill="auto"/>
            <w:hideMark/>
          </w:tcPr>
          <w:p w14:paraId="0E35272A" w14:textId="77777777" w:rsidR="00D760F8" w:rsidRPr="00244343" w:rsidRDefault="00D760F8" w:rsidP="00D760F8">
            <w:pPr>
              <w:spacing w:after="0" w:line="240" w:lineRule="auto"/>
              <w:contextualSpacing/>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programs </w:t>
            </w:r>
            <w:r w:rsidRPr="00244343">
              <w:rPr>
                <w:rFonts w:ascii="Cambria Math" w:hAnsi="Cambria Math" w:cs="Cambria Math"/>
                <w:sz w:val="28"/>
                <w:szCs w:val="28"/>
                <w:lang w:val="en-US"/>
              </w:rPr>
              <w:t>⇒</w:t>
            </w:r>
            <w:r w:rsidRPr="00244343">
              <w:rPr>
                <w:rFonts w:ascii="Times New Roman" w:hAnsi="Times New Roman" w:cs="Times New Roman"/>
                <w:sz w:val="28"/>
                <w:szCs w:val="28"/>
                <w:lang w:val="en-US"/>
              </w:rPr>
              <w:t xml:space="preserve"> </w:t>
            </w:r>
            <w:proofErr w:type="spellStart"/>
            <w:r w:rsidRPr="00244343">
              <w:rPr>
                <w:rFonts w:ascii="Times New Roman" w:hAnsi="Times New Roman" w:cs="Times New Roman"/>
                <w:sz w:val="28"/>
                <w:szCs w:val="28"/>
                <w:lang w:val="en-US"/>
              </w:rPr>
              <w:t>Locus_of_control</w:t>
            </w:r>
            <w:proofErr w:type="spellEnd"/>
            <w:r w:rsidRPr="00244343">
              <w:rPr>
                <w:rFonts w:ascii="Times New Roman" w:hAnsi="Times New Roman" w:cs="Times New Roman"/>
                <w:sz w:val="28"/>
                <w:szCs w:val="28"/>
                <w:lang w:val="en-US"/>
              </w:rPr>
              <w:t xml:space="preserve"> </w:t>
            </w:r>
            <w:r w:rsidRPr="00244343">
              <w:rPr>
                <w:rFonts w:ascii="Cambria Math" w:hAnsi="Cambria Math" w:cs="Cambria Math"/>
                <w:sz w:val="28"/>
                <w:szCs w:val="28"/>
                <w:lang w:val="en-US"/>
              </w:rPr>
              <w:t>⇒</w:t>
            </w:r>
            <w:r w:rsidRPr="00244343">
              <w:rPr>
                <w:rFonts w:ascii="Times New Roman" w:hAnsi="Times New Roman" w:cs="Times New Roman"/>
                <w:sz w:val="28"/>
                <w:szCs w:val="28"/>
                <w:lang w:val="en-US"/>
              </w:rPr>
              <w:t xml:space="preserve"> intention</w:t>
            </w:r>
          </w:p>
        </w:tc>
        <w:tc>
          <w:tcPr>
            <w:tcW w:w="1196" w:type="dxa"/>
            <w:shd w:val="clear" w:color="auto" w:fill="auto"/>
            <w:hideMark/>
          </w:tcPr>
          <w:p w14:paraId="282C39FF"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.022</w:t>
            </w:r>
          </w:p>
        </w:tc>
        <w:tc>
          <w:tcPr>
            <w:tcW w:w="706" w:type="dxa"/>
            <w:shd w:val="clear" w:color="auto" w:fill="auto"/>
            <w:hideMark/>
          </w:tcPr>
          <w:p w14:paraId="43B9A6E8"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.011</w:t>
            </w:r>
          </w:p>
        </w:tc>
        <w:tc>
          <w:tcPr>
            <w:tcW w:w="947" w:type="dxa"/>
            <w:shd w:val="clear" w:color="auto" w:fill="auto"/>
            <w:hideMark/>
          </w:tcPr>
          <w:p w14:paraId="4444DFC2"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.000</w:t>
            </w:r>
          </w:p>
        </w:tc>
        <w:tc>
          <w:tcPr>
            <w:tcW w:w="916" w:type="dxa"/>
            <w:shd w:val="clear" w:color="auto" w:fill="auto"/>
            <w:hideMark/>
          </w:tcPr>
          <w:p w14:paraId="2148E846"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.043</w:t>
            </w:r>
          </w:p>
        </w:tc>
        <w:tc>
          <w:tcPr>
            <w:tcW w:w="706" w:type="dxa"/>
            <w:gridSpan w:val="2"/>
            <w:shd w:val="clear" w:color="auto" w:fill="auto"/>
            <w:hideMark/>
          </w:tcPr>
          <w:p w14:paraId="05039442"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.022</w:t>
            </w:r>
          </w:p>
        </w:tc>
        <w:tc>
          <w:tcPr>
            <w:tcW w:w="846" w:type="dxa"/>
            <w:shd w:val="clear" w:color="auto" w:fill="auto"/>
            <w:hideMark/>
          </w:tcPr>
          <w:p w14:paraId="755B5EBF"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1.971</w:t>
            </w:r>
          </w:p>
        </w:tc>
        <w:tc>
          <w:tcPr>
            <w:tcW w:w="1060" w:type="dxa"/>
            <w:shd w:val="clear" w:color="auto" w:fill="auto"/>
            <w:hideMark/>
          </w:tcPr>
          <w:p w14:paraId="4D4EBD1F"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.049*</w:t>
            </w:r>
          </w:p>
        </w:tc>
      </w:tr>
      <w:tr w:rsidR="00D760F8" w:rsidRPr="00244343" w14:paraId="79120489" w14:textId="77777777" w:rsidTr="001571C9">
        <w:trPr>
          <w:jc w:val="center"/>
        </w:trPr>
        <w:tc>
          <w:tcPr>
            <w:tcW w:w="0" w:type="auto"/>
            <w:shd w:val="clear" w:color="auto" w:fill="auto"/>
          </w:tcPr>
          <w:p w14:paraId="62282D87" w14:textId="77777777" w:rsidR="00D760F8" w:rsidRPr="00244343" w:rsidRDefault="00D760F8" w:rsidP="00D760F8">
            <w:pPr>
              <w:spacing w:after="0" w:line="240" w:lineRule="auto"/>
              <w:contextualSpacing/>
              <w:rPr>
                <w:rFonts w:ascii="Times New Roman" w:hAnsi="Times New Roman" w:cs="Times New Roman"/>
                <w:sz w:val="28"/>
                <w:szCs w:val="28"/>
                <w:lang w:val="en-US"/>
              </w:rPr>
            </w:pPr>
            <w:r w:rsidRPr="00244343">
              <w:rPr>
                <w:rFonts w:ascii="Times New Roman" w:hAnsi="Times New Roman" w:cs="Times New Roman"/>
                <w:sz w:val="28"/>
                <w:szCs w:val="28"/>
                <w:lang w:val="en-US"/>
              </w:rPr>
              <w:t>H20</w:t>
            </w:r>
          </w:p>
        </w:tc>
        <w:tc>
          <w:tcPr>
            <w:tcW w:w="2268" w:type="dxa"/>
            <w:shd w:val="clear" w:color="auto" w:fill="auto"/>
            <w:hideMark/>
          </w:tcPr>
          <w:p w14:paraId="3A677C6B" w14:textId="77777777" w:rsidR="00D760F8" w:rsidRPr="00244343" w:rsidRDefault="00D760F8" w:rsidP="00D760F8">
            <w:pPr>
              <w:spacing w:after="0" w:line="240" w:lineRule="auto"/>
              <w:contextualSpacing/>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programs </w:t>
            </w:r>
            <w:r w:rsidRPr="00244343">
              <w:rPr>
                <w:rFonts w:ascii="Cambria Math" w:hAnsi="Cambria Math" w:cs="Cambria Math"/>
                <w:sz w:val="28"/>
                <w:szCs w:val="28"/>
                <w:lang w:val="en-US"/>
              </w:rPr>
              <w:t>⇒</w:t>
            </w:r>
            <w:r w:rsidRPr="00244343">
              <w:rPr>
                <w:rFonts w:ascii="Times New Roman" w:hAnsi="Times New Roman" w:cs="Times New Roman"/>
                <w:sz w:val="28"/>
                <w:szCs w:val="28"/>
                <w:lang w:val="en-US"/>
              </w:rPr>
              <w:t xml:space="preserve"> </w:t>
            </w:r>
            <w:proofErr w:type="spellStart"/>
            <w:r w:rsidRPr="00244343">
              <w:rPr>
                <w:rFonts w:ascii="Times New Roman" w:hAnsi="Times New Roman" w:cs="Times New Roman"/>
                <w:sz w:val="28"/>
                <w:szCs w:val="28"/>
                <w:lang w:val="en-US"/>
              </w:rPr>
              <w:t>Locus_of_control</w:t>
            </w:r>
            <w:proofErr w:type="spellEnd"/>
            <w:r w:rsidRPr="00244343">
              <w:rPr>
                <w:rFonts w:ascii="Times New Roman" w:hAnsi="Times New Roman" w:cs="Times New Roman"/>
                <w:sz w:val="28"/>
                <w:szCs w:val="28"/>
                <w:lang w:val="en-US"/>
              </w:rPr>
              <w:t xml:space="preserve"> </w:t>
            </w:r>
            <w:r w:rsidRPr="00244343">
              <w:rPr>
                <w:rFonts w:ascii="Cambria Math" w:hAnsi="Cambria Math" w:cs="Cambria Math"/>
                <w:sz w:val="28"/>
                <w:szCs w:val="28"/>
                <w:lang w:val="en-US"/>
              </w:rPr>
              <w:t>⇒</w:t>
            </w:r>
            <w:r w:rsidRPr="00244343">
              <w:rPr>
                <w:rFonts w:ascii="Times New Roman" w:hAnsi="Times New Roman" w:cs="Times New Roman"/>
                <w:sz w:val="28"/>
                <w:szCs w:val="28"/>
                <w:lang w:val="en-US"/>
              </w:rPr>
              <w:t xml:space="preserve"> </w:t>
            </w:r>
            <w:proofErr w:type="spellStart"/>
            <w:r w:rsidRPr="00244343">
              <w:rPr>
                <w:rFonts w:ascii="Times New Roman" w:hAnsi="Times New Roman" w:cs="Times New Roman"/>
                <w:sz w:val="28"/>
                <w:szCs w:val="28"/>
                <w:lang w:val="en-US"/>
              </w:rPr>
              <w:t>attitutes</w:t>
            </w:r>
            <w:proofErr w:type="spellEnd"/>
          </w:p>
        </w:tc>
        <w:tc>
          <w:tcPr>
            <w:tcW w:w="1196" w:type="dxa"/>
            <w:shd w:val="clear" w:color="auto" w:fill="auto"/>
            <w:hideMark/>
          </w:tcPr>
          <w:p w14:paraId="2F1CEFAF"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.019</w:t>
            </w:r>
          </w:p>
        </w:tc>
        <w:tc>
          <w:tcPr>
            <w:tcW w:w="706" w:type="dxa"/>
            <w:shd w:val="clear" w:color="auto" w:fill="auto"/>
            <w:hideMark/>
          </w:tcPr>
          <w:p w14:paraId="0423EC1D"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.009</w:t>
            </w:r>
          </w:p>
        </w:tc>
        <w:tc>
          <w:tcPr>
            <w:tcW w:w="947" w:type="dxa"/>
            <w:shd w:val="clear" w:color="auto" w:fill="auto"/>
            <w:hideMark/>
          </w:tcPr>
          <w:p w14:paraId="7125B859"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.001</w:t>
            </w:r>
          </w:p>
        </w:tc>
        <w:tc>
          <w:tcPr>
            <w:tcW w:w="916" w:type="dxa"/>
            <w:shd w:val="clear" w:color="auto" w:fill="auto"/>
            <w:hideMark/>
          </w:tcPr>
          <w:p w14:paraId="4F1E27CA"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.037</w:t>
            </w:r>
          </w:p>
        </w:tc>
        <w:tc>
          <w:tcPr>
            <w:tcW w:w="706" w:type="dxa"/>
            <w:gridSpan w:val="2"/>
            <w:shd w:val="clear" w:color="auto" w:fill="auto"/>
            <w:hideMark/>
          </w:tcPr>
          <w:p w14:paraId="52E95B28"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.023</w:t>
            </w:r>
          </w:p>
        </w:tc>
        <w:tc>
          <w:tcPr>
            <w:tcW w:w="846" w:type="dxa"/>
            <w:shd w:val="clear" w:color="auto" w:fill="auto"/>
            <w:hideMark/>
          </w:tcPr>
          <w:p w14:paraId="5D5AE126"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2.035</w:t>
            </w:r>
          </w:p>
        </w:tc>
        <w:tc>
          <w:tcPr>
            <w:tcW w:w="1060" w:type="dxa"/>
            <w:shd w:val="clear" w:color="auto" w:fill="auto"/>
            <w:hideMark/>
          </w:tcPr>
          <w:p w14:paraId="027C63EC" w14:textId="77777777" w:rsidR="00D760F8" w:rsidRPr="00244343" w:rsidRDefault="00D760F8" w:rsidP="00D760F8">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.042*</w:t>
            </w:r>
          </w:p>
        </w:tc>
      </w:tr>
      <w:tr w:rsidR="00D760F8" w:rsidRPr="00211F43" w14:paraId="784AB303" w14:textId="77777777" w:rsidTr="00D760F8">
        <w:trPr>
          <w:jc w:val="center"/>
        </w:trPr>
        <w:tc>
          <w:tcPr>
            <w:tcW w:w="9344" w:type="dxa"/>
            <w:gridSpan w:val="10"/>
            <w:shd w:val="clear" w:color="auto" w:fill="auto"/>
          </w:tcPr>
          <w:p w14:paraId="47DCAFA2" w14:textId="4485F33D" w:rsidR="00D760F8" w:rsidRPr="00244343" w:rsidRDefault="00D760F8" w:rsidP="00D760F8">
            <w:pPr>
              <w:spacing w:after="0" w:line="240" w:lineRule="auto"/>
              <w:ind w:firstLine="596"/>
              <w:contextualSpacing/>
              <w:rPr>
                <w:rFonts w:ascii="Times New Roman" w:hAnsi="Times New Roman" w:cs="Times New Roman"/>
                <w:sz w:val="28"/>
                <w:szCs w:val="28"/>
                <w:lang w:val="en-US"/>
              </w:rPr>
            </w:pPr>
            <w:r w:rsidRPr="00244343">
              <w:rPr>
                <w:rFonts w:ascii="Times New Roman" w:hAnsi="Times New Roman" w:cs="Times New Roman"/>
                <w:sz w:val="28"/>
                <w:szCs w:val="28"/>
                <w:lang w:val="en-US"/>
              </w:rPr>
              <w:t>* Significant at .05 level</w:t>
            </w:r>
          </w:p>
        </w:tc>
      </w:tr>
      <w:tr w:rsidR="00D760F8" w:rsidRPr="000E0481" w14:paraId="1266E22D" w14:textId="77777777" w:rsidTr="00D760F8">
        <w:trPr>
          <w:jc w:val="center"/>
        </w:trPr>
        <w:tc>
          <w:tcPr>
            <w:tcW w:w="9344" w:type="dxa"/>
            <w:gridSpan w:val="10"/>
            <w:shd w:val="clear" w:color="auto" w:fill="auto"/>
          </w:tcPr>
          <w:p w14:paraId="605AB1E1" w14:textId="130F6CD4" w:rsidR="00D760F8" w:rsidRPr="00244343" w:rsidRDefault="00D760F8" w:rsidP="00D760F8">
            <w:pPr>
              <w:spacing w:after="0" w:line="240" w:lineRule="auto"/>
              <w:ind w:firstLine="596"/>
              <w:contextualSpacing/>
              <w:rPr>
                <w:rFonts w:ascii="Times New Roman" w:hAnsi="Times New Roman" w:cs="Times New Roman"/>
                <w:sz w:val="28"/>
                <w:szCs w:val="28"/>
                <w:lang w:val="en-US"/>
              </w:rPr>
            </w:pPr>
            <w:r w:rsidRPr="00D760F8">
              <w:rPr>
                <w:rFonts w:ascii="Times New Roman" w:hAnsi="Times New Roman" w:cs="Times New Roman"/>
                <w:sz w:val="24"/>
                <w:szCs w:val="24"/>
                <w:lang w:val="en-US"/>
              </w:rPr>
              <w:t>Note – Compiled by author based on [</w:t>
            </w:r>
            <w:r w:rsidR="00EC52F2">
              <w:rPr>
                <w:rFonts w:ascii="Times New Roman" w:hAnsi="Times New Roman" w:cs="Times New Roman"/>
                <w:sz w:val="24"/>
                <w:szCs w:val="24"/>
                <w:lang w:val="en-US"/>
              </w:rPr>
              <w:t>6</w:t>
            </w:r>
            <w:r w:rsidRPr="00D760F8">
              <w:rPr>
                <w:rFonts w:ascii="Times New Roman" w:hAnsi="Times New Roman" w:cs="Times New Roman"/>
                <w:sz w:val="24"/>
                <w:szCs w:val="24"/>
                <w:lang w:val="en-US"/>
              </w:rPr>
              <w:t>]</w:t>
            </w:r>
          </w:p>
        </w:tc>
      </w:tr>
    </w:tbl>
    <w:p w14:paraId="192EA4C5" w14:textId="77777777" w:rsidR="00600C79" w:rsidRPr="0032235E" w:rsidRDefault="00600C79" w:rsidP="00E10090">
      <w:pPr>
        <w:spacing w:after="0" w:line="240" w:lineRule="auto"/>
        <w:contextualSpacing/>
        <w:jc w:val="both"/>
        <w:rPr>
          <w:rFonts w:ascii="Times New Roman" w:hAnsi="Times New Roman" w:cs="Times New Roman"/>
          <w:sz w:val="28"/>
          <w:szCs w:val="28"/>
          <w:lang w:val="en-US"/>
        </w:rPr>
      </w:pPr>
    </w:p>
    <w:p w14:paraId="2D73EBB0"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Furthermore, the investigation assessed whether the locus of control and self-efficacy variables moderated the model. The analysis indicated that the H13 and H14 hypotheses were unsupported. It was noted that self-efficacy did not serve as a mediating factor in the influence of the environment on entrepreneurial intention and attitudes. It has been noted that self-efficacy mediates the program's impact on entrepreneurial intention and attitudes (H17 and H18). The program's direct impact on entrepreneurial intention and attitudes is not statistically significant, indicating that self-efficacy fully moderates this link. The locus of control variable does not exert a moderating influence on either intention or attitudes.</w:t>
      </w:r>
    </w:p>
    <w:p w14:paraId="24BB0FF5" w14:textId="76429884" w:rsidR="006171C2" w:rsidRDefault="00600C79" w:rsidP="00BD1A44">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Consequently, H15 and H16 are likewise dismissed. The locus of control exerts a moderating influence on both entrepreneurial orientation and intention within program variables. H19 and H20 are both supported. The program's direct impact on students` intentions and attitudes is not statistically significant, illustrating that the locus of control variable exerts a complete moderating effect.</w:t>
      </w:r>
    </w:p>
    <w:p w14:paraId="40608DF3" w14:textId="77777777" w:rsidR="00BD1A44" w:rsidRDefault="00BD1A44" w:rsidP="00BD1A44">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Figure 36 illustrates the revised model developed following the elimination of unsupported ideas. The analysis of the ratio of independent variables influencing the dependent variable yielded an R2 value of .542 for the entrepreneurial intention variable. The locus of control and entrepreneurial self-efficacy directly influence entrepreneurial intention, whereas the university environment and program learning characteristics indirectly affect the locus of control. Correspondingly, R2 = .477 was computed for the variable of entrepreneurial mentality. Entrepreneurial self-efficacy and locus of control variables directly influence this variable. In contrast, university environment and program learning variables indirectly impact the locus of the control variable. Upon examining beta values, the variable of Entrepreneurial Self-Efficacy exerts the most significant influence on both Entrepreneurial Intention and Entrepreneurial Attitudes.</w:t>
      </w:r>
    </w:p>
    <w:p w14:paraId="73E20180" w14:textId="77777777" w:rsidR="00BD1A44" w:rsidRPr="00244343" w:rsidRDefault="00BD1A44" w:rsidP="00BD1A44">
      <w:pPr>
        <w:spacing w:after="0" w:line="240" w:lineRule="auto"/>
        <w:ind w:firstLine="720"/>
        <w:contextualSpacing/>
        <w:jc w:val="both"/>
        <w:rPr>
          <w:rFonts w:ascii="Times New Roman" w:hAnsi="Times New Roman" w:cs="Times New Roman"/>
          <w:sz w:val="28"/>
          <w:szCs w:val="28"/>
          <w:lang w:val="en-US"/>
        </w:rPr>
      </w:pPr>
    </w:p>
    <w:p w14:paraId="7A9DF7BE" w14:textId="77777777" w:rsidR="00600C79" w:rsidRPr="00244343" w:rsidRDefault="00600C79" w:rsidP="00BD1A44">
      <w:pPr>
        <w:pStyle w:val="af"/>
        <w:jc w:val="center"/>
        <w:rPr>
          <w:lang w:val="en-US"/>
        </w:rPr>
      </w:pPr>
      <w:r w:rsidRPr="00244343">
        <w:rPr>
          <w:noProof/>
          <w:lang w:eastAsia="ru-RU"/>
        </w:rPr>
        <w:lastRenderedPageBreak/>
        <w:drawing>
          <wp:inline distT="0" distB="0" distL="0" distR="0" wp14:anchorId="2A0533D0" wp14:editId="0F492B65">
            <wp:extent cx="5744375" cy="3123210"/>
            <wp:effectExtent l="0" t="0" r="8890" b="1270"/>
            <wp:docPr id="41" name="Resim 57185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185670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1550" cy="3132548"/>
                    </a:xfrm>
                    <a:prstGeom prst="rect">
                      <a:avLst/>
                    </a:prstGeom>
                    <a:noFill/>
                    <a:ln>
                      <a:noFill/>
                    </a:ln>
                  </pic:spPr>
                </pic:pic>
              </a:graphicData>
            </a:graphic>
          </wp:inline>
        </w:drawing>
      </w:r>
    </w:p>
    <w:p w14:paraId="39BA28D4" w14:textId="77777777" w:rsidR="003715CC" w:rsidRDefault="003715CC" w:rsidP="006171C2">
      <w:pPr>
        <w:spacing w:after="0" w:line="240" w:lineRule="auto"/>
        <w:contextualSpacing/>
        <w:rPr>
          <w:rFonts w:ascii="Times New Roman" w:hAnsi="Times New Roman" w:cs="Times New Roman"/>
          <w:sz w:val="28"/>
          <w:szCs w:val="28"/>
          <w:lang w:val="en-US"/>
        </w:rPr>
      </w:pPr>
    </w:p>
    <w:p w14:paraId="4FFFC0EC" w14:textId="138D95D8"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36 - Final Model</w:t>
      </w:r>
    </w:p>
    <w:p w14:paraId="2198FD7F" w14:textId="77777777" w:rsidR="00600C79" w:rsidRDefault="00600C79" w:rsidP="00600C79">
      <w:pPr>
        <w:spacing w:after="0" w:line="240" w:lineRule="auto"/>
        <w:ind w:firstLine="720"/>
        <w:contextualSpacing/>
        <w:jc w:val="center"/>
        <w:rPr>
          <w:rFonts w:ascii="Times New Roman" w:hAnsi="Times New Roman" w:cs="Times New Roman"/>
          <w:sz w:val="28"/>
          <w:szCs w:val="28"/>
          <w:lang w:val="en-US"/>
        </w:rPr>
      </w:pPr>
    </w:p>
    <w:p w14:paraId="0541A9DD" w14:textId="03FD1FC8" w:rsidR="00600C79" w:rsidRPr="00D414C0" w:rsidRDefault="00600C79" w:rsidP="006171C2">
      <w:pPr>
        <w:spacing w:after="0" w:line="240" w:lineRule="auto"/>
        <w:ind w:firstLine="720"/>
        <w:contextualSpacing/>
        <w:rPr>
          <w:rFonts w:ascii="Times New Roman" w:hAnsi="Times New Roman" w:cs="Times New Roman"/>
          <w:sz w:val="24"/>
          <w:szCs w:val="24"/>
          <w:lang w:val="en-US"/>
        </w:rPr>
      </w:pPr>
      <w:r w:rsidRPr="00D414C0">
        <w:rPr>
          <w:rFonts w:ascii="Times New Roman" w:hAnsi="Times New Roman" w:cs="Times New Roman"/>
          <w:sz w:val="24"/>
          <w:szCs w:val="24"/>
          <w:lang w:val="en-US"/>
        </w:rPr>
        <w:t>Note – Compiled by author based on [</w:t>
      </w:r>
      <w:r w:rsidR="00EC52F2">
        <w:rPr>
          <w:rFonts w:ascii="Times New Roman" w:hAnsi="Times New Roman" w:cs="Times New Roman"/>
          <w:sz w:val="24"/>
          <w:szCs w:val="24"/>
          <w:lang w:val="en-US"/>
        </w:rPr>
        <w:t>6</w:t>
      </w:r>
      <w:r w:rsidRPr="00D414C0">
        <w:rPr>
          <w:rFonts w:ascii="Times New Roman" w:hAnsi="Times New Roman" w:cs="Times New Roman"/>
          <w:sz w:val="24"/>
          <w:szCs w:val="24"/>
          <w:lang w:val="en-US"/>
        </w:rPr>
        <w:t>]</w:t>
      </w:r>
    </w:p>
    <w:p w14:paraId="63771A6B" w14:textId="359B6247" w:rsidR="004623DC" w:rsidRDefault="004623DC" w:rsidP="00D414C0">
      <w:pPr>
        <w:spacing w:after="0" w:line="240" w:lineRule="auto"/>
        <w:contextualSpacing/>
        <w:jc w:val="both"/>
        <w:rPr>
          <w:rFonts w:ascii="Times New Roman" w:hAnsi="Times New Roman" w:cs="Times New Roman"/>
          <w:sz w:val="28"/>
          <w:szCs w:val="28"/>
          <w:lang w:val="en-US"/>
        </w:rPr>
      </w:pPr>
    </w:p>
    <w:p w14:paraId="5AD7BC0F" w14:textId="2156684A" w:rsidR="00B67824" w:rsidRPr="00B60F12" w:rsidRDefault="00B67824" w:rsidP="00B67824">
      <w:pPr>
        <w:spacing w:after="0" w:line="240" w:lineRule="auto"/>
        <w:ind w:firstLine="720"/>
        <w:contextualSpacing/>
        <w:jc w:val="both"/>
        <w:rPr>
          <w:rFonts w:ascii="Times New Roman" w:hAnsi="Times New Roman" w:cs="Times New Roman"/>
          <w:sz w:val="28"/>
          <w:szCs w:val="28"/>
          <w:lang w:val="en-US"/>
        </w:rPr>
      </w:pPr>
      <w:r w:rsidRPr="00B60F12">
        <w:rPr>
          <w:rFonts w:ascii="Times New Roman" w:hAnsi="Times New Roman" w:cs="Times New Roman"/>
          <w:sz w:val="28"/>
          <w:szCs w:val="28"/>
          <w:lang w:val="en-US"/>
        </w:rPr>
        <w:t xml:space="preserve">Important new perspectives on the interaction among the university environment, program learning, psychological aspects, and entrepreneurial results are given by the results shown in Table </w:t>
      </w:r>
      <w:r>
        <w:rPr>
          <w:rFonts w:ascii="Times New Roman" w:hAnsi="Times New Roman" w:cs="Times New Roman"/>
          <w:sz w:val="28"/>
          <w:szCs w:val="28"/>
          <w:lang w:val="en-US"/>
        </w:rPr>
        <w:t>13</w:t>
      </w:r>
      <w:r w:rsidRPr="00B60F12">
        <w:rPr>
          <w:rFonts w:ascii="Times New Roman" w:hAnsi="Times New Roman" w:cs="Times New Roman"/>
          <w:sz w:val="28"/>
          <w:szCs w:val="28"/>
          <w:lang w:val="en-US"/>
        </w:rPr>
        <w:t>. Since hypotheses H1, H2, and H3 were disproved, the university environment does not directly affect entrepreneurial self-efficacy, intention, or attitude. The broader university setting alone may not be sufficient to foster entrepreneurial confidence or motivation among students. However, the university environment positively affects locus of control (H4 accepted), indicating that students may develop a greater sense of personal control over their entrepreneurial outcomes through their academic experiences.</w:t>
      </w:r>
      <w:r>
        <w:rPr>
          <w:rFonts w:ascii="Times New Roman" w:hAnsi="Times New Roman" w:cs="Times New Roman"/>
          <w:sz w:val="28"/>
          <w:szCs w:val="28"/>
          <w:lang w:val="en-US"/>
        </w:rPr>
        <w:t xml:space="preserve"> </w:t>
      </w:r>
    </w:p>
    <w:p w14:paraId="0AA8419B" w14:textId="77777777" w:rsidR="00B67824" w:rsidRPr="00B60F12" w:rsidRDefault="00B67824" w:rsidP="00B67824">
      <w:pPr>
        <w:spacing w:after="0" w:line="240" w:lineRule="auto"/>
        <w:ind w:firstLine="720"/>
        <w:contextualSpacing/>
        <w:jc w:val="both"/>
        <w:rPr>
          <w:rFonts w:ascii="Times New Roman" w:hAnsi="Times New Roman" w:cs="Times New Roman"/>
          <w:sz w:val="28"/>
          <w:szCs w:val="28"/>
          <w:lang w:val="en-US"/>
        </w:rPr>
      </w:pPr>
      <w:r w:rsidRPr="00B60F12">
        <w:rPr>
          <w:rFonts w:ascii="Times New Roman" w:hAnsi="Times New Roman" w:cs="Times New Roman"/>
          <w:sz w:val="28"/>
          <w:szCs w:val="28"/>
          <w:lang w:val="en-US"/>
        </w:rPr>
        <w:t>In contrast, program learning—which refers to structured educational initiatives on entrepreneurship—was found to influence entrepreneurial self-efficacy positively (H5 accepted) and locus of control (H8 accepted) but did not significantly impact entrepreneurial intention (H6 rejected) or attitudes (H7 rejected). These findings show that even if particular courses could boost students' confidence in their entrepreneurial skills, it does not always transfer into a more positive attitude toward entrepreneurship or a stronger intention to launch a business.</w:t>
      </w:r>
    </w:p>
    <w:p w14:paraId="7241F285" w14:textId="32592AF2" w:rsidR="00B67824" w:rsidRDefault="00B67824" w:rsidP="00B67824">
      <w:pPr>
        <w:spacing w:after="0" w:line="240" w:lineRule="auto"/>
        <w:ind w:firstLine="720"/>
        <w:contextualSpacing/>
        <w:jc w:val="both"/>
        <w:rPr>
          <w:rFonts w:ascii="Times New Roman" w:hAnsi="Times New Roman" w:cs="Times New Roman"/>
          <w:sz w:val="28"/>
          <w:szCs w:val="28"/>
          <w:lang w:val="en-US"/>
        </w:rPr>
      </w:pPr>
      <w:r w:rsidRPr="00B60F12">
        <w:rPr>
          <w:rFonts w:ascii="Times New Roman" w:hAnsi="Times New Roman" w:cs="Times New Roman"/>
          <w:sz w:val="28"/>
          <w:szCs w:val="28"/>
          <w:lang w:val="en-US"/>
        </w:rPr>
        <w:t>The results further confirm the importance of psychological factors such as entrepreneurial self-efficacy and locus of control in shaping students' entrepreneurial intentions and attitudes. Both variables were found to have a direct positive effect on entrepreneurial intention (H9 and H11 accepted) and attitudes (H10 and H12 accepted). Students who believe in their ability to succeed as entrepreneurs and feel in control of their entrepreneurial success are likelier to develop a strong entrepreneurial mindset.</w:t>
      </w:r>
    </w:p>
    <w:p w14:paraId="21D15D35" w14:textId="77777777" w:rsidR="00B67824" w:rsidRDefault="00B67824" w:rsidP="00B67824">
      <w:pPr>
        <w:spacing w:after="0" w:line="240" w:lineRule="auto"/>
        <w:ind w:firstLine="720"/>
        <w:contextualSpacing/>
        <w:jc w:val="both"/>
        <w:rPr>
          <w:rFonts w:ascii="Times New Roman" w:hAnsi="Times New Roman" w:cs="Times New Roman"/>
          <w:sz w:val="28"/>
          <w:szCs w:val="28"/>
          <w:lang w:val="en-US"/>
        </w:rPr>
      </w:pPr>
    </w:p>
    <w:p w14:paraId="295508DD" w14:textId="4858C453" w:rsidR="00600C79" w:rsidRPr="006171C2" w:rsidRDefault="00051EAC" w:rsidP="006171C2">
      <w:pPr>
        <w:spacing w:after="0" w:line="240" w:lineRule="auto"/>
        <w:ind w:firstLine="720"/>
        <w:contextualSpacing/>
        <w:jc w:val="both"/>
        <w:rPr>
          <w:rFonts w:ascii="Times New Roman" w:hAnsi="Times New Roman" w:cs="Times New Roman"/>
          <w:sz w:val="28"/>
          <w:szCs w:val="28"/>
          <w:lang w:val="en-US"/>
        </w:rPr>
      </w:pPr>
      <w:r w:rsidRPr="006171C2">
        <w:rPr>
          <w:rFonts w:ascii="Times New Roman" w:hAnsi="Times New Roman" w:cs="Times New Roman"/>
          <w:iCs/>
          <w:sz w:val="28"/>
          <w:szCs w:val="28"/>
          <w:lang w:val="en-US"/>
        </w:rPr>
        <w:lastRenderedPageBreak/>
        <w:t>T</w:t>
      </w:r>
      <w:r w:rsidR="00600C79" w:rsidRPr="006171C2">
        <w:rPr>
          <w:rFonts w:ascii="Times New Roman" w:hAnsi="Times New Roman" w:cs="Times New Roman"/>
          <w:iCs/>
          <w:sz w:val="28"/>
          <w:szCs w:val="28"/>
          <w:lang w:val="en-US"/>
        </w:rPr>
        <w:t xml:space="preserve">able </w:t>
      </w:r>
      <w:r w:rsidR="005B553D" w:rsidRPr="006171C2">
        <w:rPr>
          <w:rFonts w:ascii="Times New Roman" w:hAnsi="Times New Roman" w:cs="Times New Roman"/>
          <w:iCs/>
          <w:sz w:val="28"/>
          <w:szCs w:val="28"/>
          <w:lang w:val="en-US"/>
        </w:rPr>
        <w:t>1</w:t>
      </w:r>
      <w:r w:rsidR="001571C9">
        <w:rPr>
          <w:rFonts w:ascii="Times New Roman" w:hAnsi="Times New Roman" w:cs="Times New Roman"/>
          <w:iCs/>
          <w:sz w:val="28"/>
          <w:szCs w:val="28"/>
          <w:lang w:val="en-US"/>
        </w:rPr>
        <w:t>3</w:t>
      </w:r>
      <w:r w:rsidR="00600C79" w:rsidRPr="006171C2">
        <w:rPr>
          <w:rFonts w:ascii="Times New Roman" w:hAnsi="Times New Roman" w:cs="Times New Roman"/>
          <w:iCs/>
          <w:sz w:val="28"/>
          <w:szCs w:val="28"/>
          <w:lang w:val="en-US"/>
        </w:rPr>
        <w:t xml:space="preserve"> </w:t>
      </w:r>
      <w:r w:rsidR="00CE429E">
        <w:rPr>
          <w:rFonts w:ascii="Times New Roman" w:hAnsi="Times New Roman" w:cs="Times New Roman"/>
          <w:iCs/>
          <w:sz w:val="28"/>
          <w:szCs w:val="28"/>
          <w:lang w:val="en-US"/>
        </w:rPr>
        <w:t>–</w:t>
      </w:r>
      <w:r w:rsidR="00600C79" w:rsidRPr="006171C2">
        <w:rPr>
          <w:rFonts w:ascii="Times New Roman" w:hAnsi="Times New Roman" w:cs="Times New Roman"/>
          <w:iCs/>
          <w:sz w:val="28"/>
          <w:szCs w:val="28"/>
          <w:lang w:val="en-US"/>
        </w:rPr>
        <w:t xml:space="preserve"> Results of the Research Hypotheses</w:t>
      </w:r>
    </w:p>
    <w:p w14:paraId="3E803A89" w14:textId="77777777" w:rsidR="004623DC" w:rsidRPr="006171C2" w:rsidRDefault="004623DC" w:rsidP="006171C2">
      <w:pPr>
        <w:spacing w:after="0" w:line="240" w:lineRule="auto"/>
        <w:contextualSpacing/>
        <w:rPr>
          <w:rFonts w:ascii="Times New Roman" w:hAnsi="Times New Roman" w:cs="Times New Roman"/>
          <w:iCs/>
          <w:sz w:val="28"/>
          <w:szCs w:val="28"/>
          <w:lang w:val="en-US"/>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5"/>
        <w:gridCol w:w="1274"/>
      </w:tblGrid>
      <w:tr w:rsidR="00600C79" w:rsidRPr="006171C2" w14:paraId="0A810A63" w14:textId="77777777" w:rsidTr="00F03DF7">
        <w:trPr>
          <w:trHeight w:val="339"/>
          <w:jc w:val="center"/>
        </w:trPr>
        <w:tc>
          <w:tcPr>
            <w:tcW w:w="7935" w:type="dxa"/>
            <w:shd w:val="clear" w:color="auto" w:fill="auto"/>
          </w:tcPr>
          <w:p w14:paraId="7BB6B18B" w14:textId="77777777" w:rsidR="00600C79" w:rsidRPr="006171C2" w:rsidRDefault="00600C79" w:rsidP="005B553D">
            <w:pPr>
              <w:pStyle w:val="af"/>
              <w:rPr>
                <w:rFonts w:ascii="Times New Roman" w:hAnsi="Times New Roman" w:cs="Times New Roman"/>
                <w:sz w:val="28"/>
                <w:szCs w:val="28"/>
                <w:lang w:val="en-US"/>
              </w:rPr>
            </w:pPr>
            <w:bookmarkStart w:id="18" w:name="_Hlk182167692"/>
            <w:r w:rsidRPr="006171C2">
              <w:rPr>
                <w:rFonts w:ascii="Times New Roman" w:hAnsi="Times New Roman" w:cs="Times New Roman"/>
                <w:sz w:val="28"/>
                <w:szCs w:val="28"/>
                <w:lang w:val="en-US"/>
              </w:rPr>
              <w:t>Hypotheses</w:t>
            </w:r>
          </w:p>
        </w:tc>
        <w:tc>
          <w:tcPr>
            <w:tcW w:w="1274" w:type="dxa"/>
            <w:shd w:val="clear" w:color="auto" w:fill="auto"/>
          </w:tcPr>
          <w:p w14:paraId="2AC60A2C" w14:textId="77777777" w:rsidR="00600C79" w:rsidRPr="006171C2" w:rsidRDefault="00600C79" w:rsidP="005B553D">
            <w:pPr>
              <w:pStyle w:val="af"/>
              <w:rPr>
                <w:rFonts w:ascii="Times New Roman" w:hAnsi="Times New Roman" w:cs="Times New Roman"/>
                <w:sz w:val="28"/>
                <w:szCs w:val="28"/>
                <w:lang w:val="en-US"/>
              </w:rPr>
            </w:pPr>
            <w:r w:rsidRPr="006171C2">
              <w:rPr>
                <w:rFonts w:ascii="Times New Roman" w:hAnsi="Times New Roman" w:cs="Times New Roman"/>
                <w:sz w:val="28"/>
                <w:szCs w:val="28"/>
                <w:lang w:val="en-US"/>
              </w:rPr>
              <w:t>Results</w:t>
            </w:r>
          </w:p>
        </w:tc>
      </w:tr>
      <w:tr w:rsidR="00600C79" w:rsidRPr="006171C2" w14:paraId="6EF4B442" w14:textId="77777777" w:rsidTr="00F03DF7">
        <w:trPr>
          <w:jc w:val="center"/>
        </w:trPr>
        <w:tc>
          <w:tcPr>
            <w:tcW w:w="7935" w:type="dxa"/>
            <w:shd w:val="clear" w:color="auto" w:fill="auto"/>
          </w:tcPr>
          <w:p w14:paraId="0B656278" w14:textId="77777777" w:rsidR="00600C79" w:rsidRPr="006171C2" w:rsidRDefault="00600C79" w:rsidP="005B553D">
            <w:pPr>
              <w:pStyle w:val="af"/>
              <w:rPr>
                <w:rFonts w:ascii="Times New Roman" w:hAnsi="Times New Roman" w:cs="Times New Roman"/>
                <w:sz w:val="28"/>
                <w:szCs w:val="28"/>
                <w:lang w:val="en-US"/>
              </w:rPr>
            </w:pPr>
            <w:r w:rsidRPr="006171C2">
              <w:rPr>
                <w:rFonts w:ascii="Times New Roman" w:hAnsi="Times New Roman" w:cs="Times New Roman"/>
                <w:sz w:val="28"/>
                <w:szCs w:val="28"/>
                <w:lang w:val="en-US"/>
              </w:rPr>
              <w:t>H1: University environment has a positive effect on entrepreneurial self-efficacy</w:t>
            </w:r>
          </w:p>
        </w:tc>
        <w:tc>
          <w:tcPr>
            <w:tcW w:w="1274" w:type="dxa"/>
            <w:shd w:val="clear" w:color="auto" w:fill="auto"/>
          </w:tcPr>
          <w:p w14:paraId="4B7F5535" w14:textId="77777777" w:rsidR="00600C79" w:rsidRPr="006171C2" w:rsidRDefault="00600C79" w:rsidP="005B553D">
            <w:pPr>
              <w:pStyle w:val="af"/>
              <w:rPr>
                <w:rFonts w:ascii="Times New Roman" w:hAnsi="Times New Roman" w:cs="Times New Roman"/>
                <w:sz w:val="28"/>
                <w:szCs w:val="28"/>
                <w:lang w:val="en-US"/>
              </w:rPr>
            </w:pPr>
            <w:r w:rsidRPr="006171C2">
              <w:rPr>
                <w:rFonts w:ascii="Times New Roman" w:hAnsi="Times New Roman" w:cs="Times New Roman"/>
                <w:sz w:val="28"/>
                <w:szCs w:val="28"/>
                <w:lang w:val="en-US"/>
              </w:rPr>
              <w:t>Reject</w:t>
            </w:r>
          </w:p>
        </w:tc>
      </w:tr>
      <w:tr w:rsidR="00600C79" w:rsidRPr="006171C2" w14:paraId="06B05E0C" w14:textId="77777777" w:rsidTr="00F03DF7">
        <w:trPr>
          <w:jc w:val="center"/>
        </w:trPr>
        <w:tc>
          <w:tcPr>
            <w:tcW w:w="7935" w:type="dxa"/>
            <w:shd w:val="clear" w:color="auto" w:fill="auto"/>
          </w:tcPr>
          <w:p w14:paraId="3CB4384B" w14:textId="77777777" w:rsidR="00600C79" w:rsidRPr="006171C2" w:rsidRDefault="00600C79" w:rsidP="005B553D">
            <w:pPr>
              <w:pStyle w:val="af"/>
              <w:rPr>
                <w:rFonts w:ascii="Times New Roman" w:hAnsi="Times New Roman" w:cs="Times New Roman"/>
                <w:sz w:val="28"/>
                <w:szCs w:val="28"/>
                <w:lang w:val="en-US"/>
              </w:rPr>
            </w:pPr>
            <w:r w:rsidRPr="006171C2">
              <w:rPr>
                <w:rFonts w:ascii="Times New Roman" w:hAnsi="Times New Roman" w:cs="Times New Roman"/>
                <w:sz w:val="28"/>
                <w:szCs w:val="28"/>
                <w:lang w:val="en-US"/>
              </w:rPr>
              <w:t>H2: University environment has a positive effect on entrepreneurial intention</w:t>
            </w:r>
          </w:p>
        </w:tc>
        <w:tc>
          <w:tcPr>
            <w:tcW w:w="1274" w:type="dxa"/>
            <w:shd w:val="clear" w:color="auto" w:fill="auto"/>
          </w:tcPr>
          <w:p w14:paraId="68E079DF" w14:textId="77777777" w:rsidR="00600C79" w:rsidRPr="006171C2" w:rsidRDefault="00600C79" w:rsidP="005B553D">
            <w:pPr>
              <w:pStyle w:val="af"/>
              <w:rPr>
                <w:rFonts w:ascii="Times New Roman" w:hAnsi="Times New Roman" w:cs="Times New Roman"/>
                <w:sz w:val="28"/>
                <w:szCs w:val="28"/>
                <w:lang w:val="en-US"/>
              </w:rPr>
            </w:pPr>
            <w:r w:rsidRPr="006171C2">
              <w:rPr>
                <w:rFonts w:ascii="Times New Roman" w:hAnsi="Times New Roman" w:cs="Times New Roman"/>
                <w:sz w:val="28"/>
                <w:szCs w:val="28"/>
                <w:lang w:val="en-US"/>
              </w:rPr>
              <w:t>Reject</w:t>
            </w:r>
          </w:p>
        </w:tc>
      </w:tr>
      <w:tr w:rsidR="00600C79" w:rsidRPr="005B553D" w14:paraId="4479FECB" w14:textId="77777777" w:rsidTr="00F03DF7">
        <w:trPr>
          <w:trHeight w:val="479"/>
          <w:jc w:val="center"/>
        </w:trPr>
        <w:tc>
          <w:tcPr>
            <w:tcW w:w="7935" w:type="dxa"/>
            <w:tcBorders>
              <w:bottom w:val="nil"/>
            </w:tcBorders>
            <w:shd w:val="clear" w:color="auto" w:fill="auto"/>
          </w:tcPr>
          <w:p w14:paraId="37149367" w14:textId="10708915" w:rsidR="0065020C" w:rsidRPr="006171C2" w:rsidRDefault="00600C79" w:rsidP="005B553D">
            <w:pPr>
              <w:pStyle w:val="af"/>
              <w:rPr>
                <w:rFonts w:ascii="Times New Roman" w:hAnsi="Times New Roman" w:cs="Times New Roman"/>
                <w:sz w:val="28"/>
                <w:szCs w:val="28"/>
                <w:lang w:val="en-US"/>
              </w:rPr>
            </w:pPr>
            <w:r w:rsidRPr="006171C2">
              <w:rPr>
                <w:rFonts w:ascii="Times New Roman" w:hAnsi="Times New Roman" w:cs="Times New Roman"/>
                <w:sz w:val="28"/>
                <w:szCs w:val="28"/>
                <w:lang w:val="en-US"/>
              </w:rPr>
              <w:t>H3: university environment has a positive effect on entrepreneurial</w:t>
            </w:r>
            <w:r w:rsidR="004623DC" w:rsidRPr="004623DC">
              <w:rPr>
                <w:rFonts w:ascii="Times New Roman" w:hAnsi="Times New Roman" w:cs="Times New Roman"/>
                <w:sz w:val="28"/>
                <w:szCs w:val="28"/>
                <w:lang w:val="en-US"/>
              </w:rPr>
              <w:t xml:space="preserve"> </w:t>
            </w:r>
            <w:r w:rsidRPr="006171C2">
              <w:rPr>
                <w:rFonts w:ascii="Times New Roman" w:hAnsi="Times New Roman" w:cs="Times New Roman"/>
                <w:sz w:val="28"/>
                <w:szCs w:val="28"/>
                <w:lang w:val="en-US"/>
              </w:rPr>
              <w:t>attitudes</w:t>
            </w:r>
          </w:p>
        </w:tc>
        <w:tc>
          <w:tcPr>
            <w:tcW w:w="1274" w:type="dxa"/>
            <w:tcBorders>
              <w:bottom w:val="nil"/>
            </w:tcBorders>
            <w:shd w:val="clear" w:color="auto" w:fill="auto"/>
          </w:tcPr>
          <w:p w14:paraId="2B67B43B" w14:textId="77777777" w:rsidR="00600C79" w:rsidRPr="005B553D" w:rsidRDefault="00600C79" w:rsidP="005B553D">
            <w:pPr>
              <w:pStyle w:val="af"/>
              <w:rPr>
                <w:rFonts w:ascii="Times New Roman" w:hAnsi="Times New Roman" w:cs="Times New Roman"/>
                <w:sz w:val="28"/>
                <w:szCs w:val="28"/>
                <w:lang w:val="en-US"/>
              </w:rPr>
            </w:pPr>
            <w:r w:rsidRPr="006171C2">
              <w:rPr>
                <w:rFonts w:ascii="Times New Roman" w:hAnsi="Times New Roman" w:cs="Times New Roman"/>
                <w:sz w:val="28"/>
                <w:szCs w:val="28"/>
                <w:lang w:val="en-US"/>
              </w:rPr>
              <w:t>Reject</w:t>
            </w:r>
          </w:p>
        </w:tc>
      </w:tr>
      <w:tr w:rsidR="00600C79" w:rsidRPr="005B553D" w14:paraId="00725924" w14:textId="77777777" w:rsidTr="00F03DF7">
        <w:trPr>
          <w:jc w:val="center"/>
        </w:trPr>
        <w:tc>
          <w:tcPr>
            <w:tcW w:w="7935" w:type="dxa"/>
            <w:tcBorders>
              <w:top w:val="single" w:sz="4" w:space="0" w:color="auto"/>
            </w:tcBorders>
            <w:shd w:val="clear" w:color="auto" w:fill="auto"/>
          </w:tcPr>
          <w:p w14:paraId="173096E7"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H4: university environment has a positive effect on the locus of control</w:t>
            </w:r>
          </w:p>
        </w:tc>
        <w:tc>
          <w:tcPr>
            <w:tcW w:w="1274" w:type="dxa"/>
            <w:tcBorders>
              <w:top w:val="single" w:sz="4" w:space="0" w:color="auto"/>
            </w:tcBorders>
            <w:shd w:val="clear" w:color="auto" w:fill="auto"/>
          </w:tcPr>
          <w:p w14:paraId="3E19D7A3"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Accepted</w:t>
            </w:r>
          </w:p>
        </w:tc>
      </w:tr>
      <w:tr w:rsidR="00600C79" w:rsidRPr="005B553D" w14:paraId="2614D936" w14:textId="77777777" w:rsidTr="00F03DF7">
        <w:trPr>
          <w:jc w:val="center"/>
        </w:trPr>
        <w:tc>
          <w:tcPr>
            <w:tcW w:w="7935" w:type="dxa"/>
            <w:shd w:val="clear" w:color="auto" w:fill="auto"/>
          </w:tcPr>
          <w:p w14:paraId="3DD27426"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H5: Program learning has a positive effect on entrepreneurial self-efficacy</w:t>
            </w:r>
          </w:p>
        </w:tc>
        <w:tc>
          <w:tcPr>
            <w:tcW w:w="1274" w:type="dxa"/>
            <w:shd w:val="clear" w:color="auto" w:fill="auto"/>
          </w:tcPr>
          <w:p w14:paraId="4DBEA6E1"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Accepted</w:t>
            </w:r>
          </w:p>
        </w:tc>
      </w:tr>
      <w:tr w:rsidR="00600C79" w:rsidRPr="005B553D" w14:paraId="01E69842" w14:textId="77777777" w:rsidTr="00F03DF7">
        <w:trPr>
          <w:jc w:val="center"/>
        </w:trPr>
        <w:tc>
          <w:tcPr>
            <w:tcW w:w="7935" w:type="dxa"/>
            <w:shd w:val="clear" w:color="auto" w:fill="auto"/>
          </w:tcPr>
          <w:p w14:paraId="08DDAD6F"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H6: Program learning has a positive effect on entrepreneurial intention</w:t>
            </w:r>
          </w:p>
        </w:tc>
        <w:tc>
          <w:tcPr>
            <w:tcW w:w="1274" w:type="dxa"/>
            <w:shd w:val="clear" w:color="auto" w:fill="auto"/>
          </w:tcPr>
          <w:p w14:paraId="3B53335F"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Rejected</w:t>
            </w:r>
          </w:p>
        </w:tc>
      </w:tr>
      <w:tr w:rsidR="00600C79" w:rsidRPr="005B553D" w14:paraId="13856791" w14:textId="77777777" w:rsidTr="00F03DF7">
        <w:trPr>
          <w:jc w:val="center"/>
        </w:trPr>
        <w:tc>
          <w:tcPr>
            <w:tcW w:w="7935" w:type="dxa"/>
            <w:shd w:val="clear" w:color="auto" w:fill="auto"/>
          </w:tcPr>
          <w:p w14:paraId="066BE02A"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H7: Program learning has a positive effect on entrepreneurial attitudes</w:t>
            </w:r>
          </w:p>
        </w:tc>
        <w:tc>
          <w:tcPr>
            <w:tcW w:w="1274" w:type="dxa"/>
            <w:shd w:val="clear" w:color="auto" w:fill="auto"/>
          </w:tcPr>
          <w:p w14:paraId="738369F9"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Rejected</w:t>
            </w:r>
          </w:p>
        </w:tc>
      </w:tr>
      <w:tr w:rsidR="00600C79" w:rsidRPr="005B553D" w14:paraId="6A772216" w14:textId="77777777" w:rsidTr="00F03DF7">
        <w:trPr>
          <w:jc w:val="center"/>
        </w:trPr>
        <w:tc>
          <w:tcPr>
            <w:tcW w:w="7935" w:type="dxa"/>
            <w:shd w:val="clear" w:color="auto" w:fill="auto"/>
          </w:tcPr>
          <w:p w14:paraId="7FE2E270"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H8: Program learning has a positive effect on the locus of control</w:t>
            </w:r>
          </w:p>
        </w:tc>
        <w:tc>
          <w:tcPr>
            <w:tcW w:w="1274" w:type="dxa"/>
            <w:shd w:val="clear" w:color="auto" w:fill="auto"/>
          </w:tcPr>
          <w:p w14:paraId="3E15EECE"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Accepted</w:t>
            </w:r>
          </w:p>
        </w:tc>
      </w:tr>
      <w:tr w:rsidR="00600C79" w:rsidRPr="005B553D" w14:paraId="717AAAFD" w14:textId="77777777" w:rsidTr="00F03DF7">
        <w:trPr>
          <w:jc w:val="center"/>
        </w:trPr>
        <w:tc>
          <w:tcPr>
            <w:tcW w:w="7935" w:type="dxa"/>
            <w:shd w:val="clear" w:color="auto" w:fill="auto"/>
          </w:tcPr>
          <w:p w14:paraId="77638A3E"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H9: Entrepreneurial self-efficacy has a positive effect on entrepreneurial intention</w:t>
            </w:r>
          </w:p>
        </w:tc>
        <w:tc>
          <w:tcPr>
            <w:tcW w:w="1274" w:type="dxa"/>
            <w:shd w:val="clear" w:color="auto" w:fill="auto"/>
          </w:tcPr>
          <w:p w14:paraId="40BB6E13"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Accepted</w:t>
            </w:r>
          </w:p>
        </w:tc>
      </w:tr>
      <w:tr w:rsidR="00600C79" w:rsidRPr="005B553D" w14:paraId="40F25D65" w14:textId="77777777" w:rsidTr="00F03DF7">
        <w:trPr>
          <w:jc w:val="center"/>
        </w:trPr>
        <w:tc>
          <w:tcPr>
            <w:tcW w:w="7935" w:type="dxa"/>
            <w:shd w:val="clear" w:color="auto" w:fill="auto"/>
          </w:tcPr>
          <w:p w14:paraId="09FE8ED2"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H10: Entrepreneurial self-efficacy has a positive effect on Entrepreneurial attitudes</w:t>
            </w:r>
          </w:p>
        </w:tc>
        <w:tc>
          <w:tcPr>
            <w:tcW w:w="1274" w:type="dxa"/>
            <w:shd w:val="clear" w:color="auto" w:fill="auto"/>
          </w:tcPr>
          <w:p w14:paraId="05B9B8C7"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Accepted</w:t>
            </w:r>
          </w:p>
        </w:tc>
      </w:tr>
      <w:tr w:rsidR="00600C79" w:rsidRPr="005B553D" w14:paraId="690C676F" w14:textId="77777777" w:rsidTr="00F03DF7">
        <w:trPr>
          <w:jc w:val="center"/>
        </w:trPr>
        <w:tc>
          <w:tcPr>
            <w:tcW w:w="7935" w:type="dxa"/>
            <w:shd w:val="clear" w:color="auto" w:fill="auto"/>
          </w:tcPr>
          <w:p w14:paraId="2CF5C0E3"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H11: Locus of control has a positive effect on entrepreneurial intention</w:t>
            </w:r>
          </w:p>
        </w:tc>
        <w:tc>
          <w:tcPr>
            <w:tcW w:w="1274" w:type="dxa"/>
            <w:shd w:val="clear" w:color="auto" w:fill="auto"/>
          </w:tcPr>
          <w:p w14:paraId="6AF58C18"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Accepted</w:t>
            </w:r>
          </w:p>
        </w:tc>
      </w:tr>
      <w:tr w:rsidR="00600C79" w:rsidRPr="005B553D" w14:paraId="29E5E99B" w14:textId="77777777" w:rsidTr="00F03DF7">
        <w:trPr>
          <w:jc w:val="center"/>
        </w:trPr>
        <w:tc>
          <w:tcPr>
            <w:tcW w:w="7935" w:type="dxa"/>
            <w:shd w:val="clear" w:color="auto" w:fill="auto"/>
          </w:tcPr>
          <w:p w14:paraId="1BE8EAC3" w14:textId="54657A90"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H12: Locus of control has a positive effect on Entrepreneurial</w:t>
            </w:r>
            <w:r w:rsidR="004623DC" w:rsidRPr="004623DC">
              <w:rPr>
                <w:rFonts w:ascii="Times New Roman" w:hAnsi="Times New Roman" w:cs="Times New Roman"/>
                <w:sz w:val="28"/>
                <w:szCs w:val="28"/>
                <w:lang w:val="en-US"/>
              </w:rPr>
              <w:t xml:space="preserve"> </w:t>
            </w:r>
            <w:r w:rsidRPr="005B553D">
              <w:rPr>
                <w:rFonts w:ascii="Times New Roman" w:hAnsi="Times New Roman" w:cs="Times New Roman"/>
                <w:sz w:val="28"/>
                <w:szCs w:val="28"/>
                <w:lang w:val="en-US"/>
              </w:rPr>
              <w:t>attitudes</w:t>
            </w:r>
          </w:p>
        </w:tc>
        <w:tc>
          <w:tcPr>
            <w:tcW w:w="1274" w:type="dxa"/>
            <w:shd w:val="clear" w:color="auto" w:fill="auto"/>
          </w:tcPr>
          <w:p w14:paraId="518301B9"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Accepted</w:t>
            </w:r>
          </w:p>
        </w:tc>
      </w:tr>
      <w:tr w:rsidR="00600C79" w:rsidRPr="005B553D" w14:paraId="19755A79" w14:textId="77777777" w:rsidTr="00F03DF7">
        <w:trPr>
          <w:jc w:val="center"/>
        </w:trPr>
        <w:tc>
          <w:tcPr>
            <w:tcW w:w="7935" w:type="dxa"/>
            <w:tcBorders>
              <w:bottom w:val="nil"/>
            </w:tcBorders>
            <w:shd w:val="clear" w:color="auto" w:fill="auto"/>
          </w:tcPr>
          <w:p w14:paraId="743F9926"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H13: Entrepreneurial self-efficacy has a moderating role on the university environment and entrepreneurial intention</w:t>
            </w:r>
          </w:p>
        </w:tc>
        <w:tc>
          <w:tcPr>
            <w:tcW w:w="1274" w:type="dxa"/>
            <w:tcBorders>
              <w:bottom w:val="nil"/>
            </w:tcBorders>
            <w:shd w:val="clear" w:color="auto" w:fill="auto"/>
          </w:tcPr>
          <w:p w14:paraId="46E34FB3"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Reject</w:t>
            </w:r>
          </w:p>
        </w:tc>
      </w:tr>
      <w:tr w:rsidR="00600C79" w:rsidRPr="005B553D" w14:paraId="06E0FC57" w14:textId="77777777" w:rsidTr="00F03DF7">
        <w:trPr>
          <w:jc w:val="center"/>
        </w:trPr>
        <w:tc>
          <w:tcPr>
            <w:tcW w:w="7935" w:type="dxa"/>
            <w:shd w:val="clear" w:color="auto" w:fill="auto"/>
          </w:tcPr>
          <w:p w14:paraId="461CA2A2"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H14: Entrepreneurial self-efficacy has a moderating role on the university environment and entrepreneurial attitudes</w:t>
            </w:r>
          </w:p>
        </w:tc>
        <w:tc>
          <w:tcPr>
            <w:tcW w:w="1274" w:type="dxa"/>
            <w:shd w:val="clear" w:color="auto" w:fill="auto"/>
          </w:tcPr>
          <w:p w14:paraId="5397F00D"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Reject</w:t>
            </w:r>
          </w:p>
        </w:tc>
      </w:tr>
      <w:tr w:rsidR="00600C79" w:rsidRPr="005B553D" w14:paraId="1EADB9CF" w14:textId="77777777" w:rsidTr="00F03DF7">
        <w:trPr>
          <w:jc w:val="center"/>
        </w:trPr>
        <w:tc>
          <w:tcPr>
            <w:tcW w:w="7935" w:type="dxa"/>
            <w:shd w:val="clear" w:color="auto" w:fill="auto"/>
          </w:tcPr>
          <w:p w14:paraId="003D5260"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H15: Locus of control has a moderating role on the university environment and entrepreneurial intention</w:t>
            </w:r>
          </w:p>
        </w:tc>
        <w:tc>
          <w:tcPr>
            <w:tcW w:w="1274" w:type="dxa"/>
            <w:shd w:val="clear" w:color="auto" w:fill="auto"/>
          </w:tcPr>
          <w:p w14:paraId="4B8DEC44"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Reject</w:t>
            </w:r>
          </w:p>
        </w:tc>
      </w:tr>
      <w:tr w:rsidR="00600C79" w:rsidRPr="005B553D" w14:paraId="5F61DCDA" w14:textId="77777777" w:rsidTr="00F03DF7">
        <w:trPr>
          <w:jc w:val="center"/>
        </w:trPr>
        <w:tc>
          <w:tcPr>
            <w:tcW w:w="7935" w:type="dxa"/>
            <w:shd w:val="clear" w:color="auto" w:fill="auto"/>
          </w:tcPr>
          <w:p w14:paraId="09BDF88B"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H16: Locus of control has a moderating role on the university environment and entrepreneurial attitudes</w:t>
            </w:r>
          </w:p>
        </w:tc>
        <w:tc>
          <w:tcPr>
            <w:tcW w:w="1274" w:type="dxa"/>
            <w:shd w:val="clear" w:color="auto" w:fill="auto"/>
          </w:tcPr>
          <w:p w14:paraId="57F4A4C4"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Reject</w:t>
            </w:r>
          </w:p>
        </w:tc>
      </w:tr>
      <w:tr w:rsidR="00600C79" w:rsidRPr="005B553D" w14:paraId="573DEF99" w14:textId="77777777" w:rsidTr="00F03DF7">
        <w:trPr>
          <w:jc w:val="center"/>
        </w:trPr>
        <w:tc>
          <w:tcPr>
            <w:tcW w:w="7935" w:type="dxa"/>
            <w:shd w:val="clear" w:color="auto" w:fill="auto"/>
          </w:tcPr>
          <w:p w14:paraId="48627561"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H17: Entrepreneurial self-efficacy has a moderating role on the program learning and entrepreneurial intention</w:t>
            </w:r>
          </w:p>
        </w:tc>
        <w:tc>
          <w:tcPr>
            <w:tcW w:w="1274" w:type="dxa"/>
            <w:shd w:val="clear" w:color="auto" w:fill="auto"/>
          </w:tcPr>
          <w:p w14:paraId="043DF072"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Accept</w:t>
            </w:r>
          </w:p>
        </w:tc>
      </w:tr>
      <w:tr w:rsidR="00600C79" w:rsidRPr="005B553D" w14:paraId="2FCA5EFD" w14:textId="77777777" w:rsidTr="00F03DF7">
        <w:trPr>
          <w:jc w:val="center"/>
        </w:trPr>
        <w:tc>
          <w:tcPr>
            <w:tcW w:w="7935" w:type="dxa"/>
            <w:shd w:val="clear" w:color="auto" w:fill="auto"/>
          </w:tcPr>
          <w:p w14:paraId="7E1DA488"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H18: Entrepreneurial self-efficacy has a moderating role on the program learning and entrepreneurial attitudes</w:t>
            </w:r>
          </w:p>
        </w:tc>
        <w:tc>
          <w:tcPr>
            <w:tcW w:w="1274" w:type="dxa"/>
            <w:shd w:val="clear" w:color="auto" w:fill="auto"/>
          </w:tcPr>
          <w:p w14:paraId="523E0172"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Accept</w:t>
            </w:r>
          </w:p>
        </w:tc>
      </w:tr>
      <w:tr w:rsidR="00600C79" w:rsidRPr="005B553D" w14:paraId="6ECCD390" w14:textId="77777777" w:rsidTr="00F03DF7">
        <w:trPr>
          <w:jc w:val="center"/>
        </w:trPr>
        <w:tc>
          <w:tcPr>
            <w:tcW w:w="7935" w:type="dxa"/>
            <w:shd w:val="clear" w:color="auto" w:fill="auto"/>
          </w:tcPr>
          <w:p w14:paraId="01AACAF5"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H19: Locus of control has a moderating role on the program learning and entrepreneurial intention</w:t>
            </w:r>
          </w:p>
        </w:tc>
        <w:tc>
          <w:tcPr>
            <w:tcW w:w="1274" w:type="dxa"/>
            <w:shd w:val="clear" w:color="auto" w:fill="auto"/>
          </w:tcPr>
          <w:p w14:paraId="1038D194"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Accept</w:t>
            </w:r>
          </w:p>
        </w:tc>
      </w:tr>
      <w:tr w:rsidR="00600C79" w:rsidRPr="005B553D" w14:paraId="0F02EDA5" w14:textId="77777777" w:rsidTr="00F03DF7">
        <w:trPr>
          <w:trHeight w:val="681"/>
          <w:jc w:val="center"/>
        </w:trPr>
        <w:tc>
          <w:tcPr>
            <w:tcW w:w="7935" w:type="dxa"/>
            <w:shd w:val="clear" w:color="auto" w:fill="auto"/>
          </w:tcPr>
          <w:p w14:paraId="42DD2004"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H20: Locus of control has a moderating role on the program learning and entrepreneurial attitudes</w:t>
            </w:r>
          </w:p>
        </w:tc>
        <w:tc>
          <w:tcPr>
            <w:tcW w:w="1274" w:type="dxa"/>
            <w:shd w:val="clear" w:color="auto" w:fill="auto"/>
          </w:tcPr>
          <w:p w14:paraId="38221817" w14:textId="77777777" w:rsidR="00600C79" w:rsidRPr="005B553D" w:rsidRDefault="00600C79" w:rsidP="005B553D">
            <w:pPr>
              <w:pStyle w:val="af"/>
              <w:rPr>
                <w:rFonts w:ascii="Times New Roman" w:hAnsi="Times New Roman" w:cs="Times New Roman"/>
                <w:sz w:val="28"/>
                <w:szCs w:val="28"/>
                <w:lang w:val="en-US"/>
              </w:rPr>
            </w:pPr>
            <w:r w:rsidRPr="005B553D">
              <w:rPr>
                <w:rFonts w:ascii="Times New Roman" w:hAnsi="Times New Roman" w:cs="Times New Roman"/>
                <w:sz w:val="28"/>
                <w:szCs w:val="28"/>
                <w:lang w:val="en-US"/>
              </w:rPr>
              <w:t>Accept</w:t>
            </w:r>
          </w:p>
        </w:tc>
      </w:tr>
      <w:tr w:rsidR="00500046" w:rsidRPr="000E0481" w14:paraId="68FF138B" w14:textId="77777777" w:rsidTr="00E82F71">
        <w:trPr>
          <w:trHeight w:val="228"/>
          <w:jc w:val="center"/>
        </w:trPr>
        <w:tc>
          <w:tcPr>
            <w:tcW w:w="9209" w:type="dxa"/>
            <w:gridSpan w:val="2"/>
            <w:shd w:val="clear" w:color="auto" w:fill="auto"/>
          </w:tcPr>
          <w:p w14:paraId="4BCF410B" w14:textId="73A0872A" w:rsidR="00500046" w:rsidRPr="005B553D" w:rsidRDefault="00500046" w:rsidP="005B553D">
            <w:pPr>
              <w:pStyle w:val="af"/>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00046">
              <w:rPr>
                <w:rFonts w:ascii="Times New Roman" w:hAnsi="Times New Roman" w:cs="Times New Roman"/>
                <w:sz w:val="24"/>
                <w:szCs w:val="24"/>
                <w:lang w:val="en-US"/>
              </w:rPr>
              <w:t>Note – Compiled by author based on [</w:t>
            </w:r>
            <w:r w:rsidR="00EC52F2">
              <w:rPr>
                <w:rFonts w:ascii="Times New Roman" w:hAnsi="Times New Roman" w:cs="Times New Roman"/>
                <w:sz w:val="24"/>
                <w:szCs w:val="24"/>
                <w:lang w:val="en-US"/>
              </w:rPr>
              <w:t>6</w:t>
            </w:r>
            <w:r w:rsidRPr="00500046">
              <w:rPr>
                <w:rFonts w:ascii="Times New Roman" w:hAnsi="Times New Roman" w:cs="Times New Roman"/>
                <w:sz w:val="24"/>
                <w:szCs w:val="24"/>
                <w:lang w:val="en-US"/>
              </w:rPr>
              <w:t>]</w:t>
            </w:r>
          </w:p>
        </w:tc>
      </w:tr>
      <w:bookmarkEnd w:id="18"/>
    </w:tbl>
    <w:p w14:paraId="31647254" w14:textId="77777777" w:rsidR="00B67824" w:rsidRDefault="00B67824" w:rsidP="00600C79">
      <w:pPr>
        <w:spacing w:after="0" w:line="240" w:lineRule="auto"/>
        <w:ind w:firstLine="720"/>
        <w:contextualSpacing/>
        <w:jc w:val="both"/>
        <w:rPr>
          <w:rFonts w:ascii="Times New Roman" w:hAnsi="Times New Roman" w:cs="Times New Roman"/>
          <w:sz w:val="28"/>
          <w:szCs w:val="28"/>
          <w:lang w:val="en-US"/>
        </w:rPr>
      </w:pPr>
    </w:p>
    <w:p w14:paraId="48A266B9" w14:textId="77777777" w:rsidR="00600C79" w:rsidRPr="00B60F12" w:rsidRDefault="00600C79" w:rsidP="00600C79">
      <w:pPr>
        <w:spacing w:after="0" w:line="240" w:lineRule="auto"/>
        <w:ind w:firstLine="720"/>
        <w:contextualSpacing/>
        <w:jc w:val="both"/>
        <w:rPr>
          <w:rFonts w:ascii="Times New Roman" w:hAnsi="Times New Roman" w:cs="Times New Roman"/>
          <w:sz w:val="28"/>
          <w:szCs w:val="28"/>
          <w:lang w:val="en-US"/>
        </w:rPr>
      </w:pPr>
      <w:r w:rsidRPr="00B60F12">
        <w:rPr>
          <w:rFonts w:ascii="Times New Roman" w:hAnsi="Times New Roman" w:cs="Times New Roman"/>
          <w:sz w:val="28"/>
          <w:szCs w:val="28"/>
          <w:lang w:val="en-US"/>
        </w:rPr>
        <w:lastRenderedPageBreak/>
        <w:t>However, the study found no support for the moderating role of either entrepreneurial self-efficacy or locus of control in the relationship between university environment and entrepreneurial outcomes (H13–H16 rejected). It suggests that these elements have little effect on the influence of the university environment on students' entrepreneurial attitudes and intentions, even if they have massive confidence in their entrepreneurial capacities or intense feelings of control.</w:t>
      </w:r>
    </w:p>
    <w:p w14:paraId="194BA5FE" w14:textId="77777777" w:rsidR="00600C79" w:rsidRPr="00B60F12" w:rsidRDefault="00600C79" w:rsidP="00600C79">
      <w:pPr>
        <w:spacing w:after="0" w:line="240" w:lineRule="auto"/>
        <w:ind w:firstLine="720"/>
        <w:contextualSpacing/>
        <w:jc w:val="both"/>
        <w:rPr>
          <w:rFonts w:ascii="Times New Roman" w:hAnsi="Times New Roman" w:cs="Times New Roman"/>
          <w:sz w:val="28"/>
          <w:szCs w:val="28"/>
          <w:lang w:val="en-US"/>
        </w:rPr>
      </w:pPr>
      <w:r w:rsidRPr="00B60F12">
        <w:rPr>
          <w:rFonts w:ascii="Times New Roman" w:hAnsi="Times New Roman" w:cs="Times New Roman"/>
          <w:sz w:val="28"/>
          <w:szCs w:val="28"/>
          <w:lang w:val="en-US"/>
        </w:rPr>
        <w:t>Conversely, entrepreneurial self-efficacy and locus of control were found to moderate the relationship between program learning and entrepreneurial outcomes (H17–H20 accepted). It means that when students have high levels of self-efficacy and a strong locus of control, the impact of entrepreneurship education programs on their attitudes and intentions becomes more pronounced. These findings suggest that structured learning experiences are more effective when students already strongly believe in their entrepreneurial capabilities.</w:t>
      </w:r>
    </w:p>
    <w:p w14:paraId="062BD280"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B60F12">
        <w:rPr>
          <w:rFonts w:ascii="Times New Roman" w:hAnsi="Times New Roman" w:cs="Times New Roman"/>
          <w:sz w:val="28"/>
          <w:szCs w:val="28"/>
          <w:lang w:val="en-US"/>
        </w:rPr>
        <w:t>These findings underline the important part self-efficacy and locus of control play in determining entrepreneurial outcomes and stress the minimal direct influence of the university surroundings and program learning on entrepreneurial aspirations and attitudes. The results imply that raising students' psychological preparedness could be more important than strengthening university-based entrepreneurship programs. Policies and future studies should consider ways to increase students' sense of control and entrepreneurial confidence to maximize the results of entrepreneurship education projects. The results indicate that augmenting students' psychological preparedness may be more essential than advancing university-level entrepreneurial action. Future research and policy initiatives should explore methods to enhance students' entrepreneurial self-efficacy and locus of control to optimize the efficacy of entrepreneurship education programs.</w:t>
      </w:r>
    </w:p>
    <w:p w14:paraId="5A372814" w14:textId="77777777" w:rsidR="00600C79" w:rsidRPr="003E345E" w:rsidRDefault="00600C79" w:rsidP="00600C79">
      <w:pPr>
        <w:spacing w:after="0" w:line="240" w:lineRule="auto"/>
        <w:ind w:firstLine="720"/>
        <w:contextualSpacing/>
        <w:jc w:val="both"/>
        <w:rPr>
          <w:rFonts w:ascii="Times New Roman" w:hAnsi="Times New Roman" w:cs="Times New Roman"/>
          <w:iCs/>
          <w:sz w:val="28"/>
          <w:szCs w:val="28"/>
          <w:lang w:val="en-US"/>
        </w:rPr>
      </w:pPr>
      <w:r w:rsidRPr="003E345E">
        <w:rPr>
          <w:rFonts w:ascii="Times New Roman" w:hAnsi="Times New Roman" w:cs="Times New Roman"/>
          <w:iCs/>
          <w:sz w:val="28"/>
          <w:szCs w:val="28"/>
          <w:lang w:val="en-US"/>
        </w:rPr>
        <w:t>Examining the elements that influence student entrepreneurship yields critical insights into the primary drivers affecting entrepreneurial intentions and actions among university students. The findings underscore the significance of institutional support, access to entrepreneurial education, financial limitations, and personal drive in influencing students' choices to engage in entrepreneurial endeavors. The results underscore the significance of social networks, mentorship, and industry exposure in fostering an entrepreneurial mindset.</w:t>
      </w:r>
    </w:p>
    <w:p w14:paraId="11096E38" w14:textId="77777777" w:rsidR="00600C79" w:rsidRPr="003E345E" w:rsidRDefault="00600C79" w:rsidP="00600C79">
      <w:pPr>
        <w:spacing w:after="0" w:line="240" w:lineRule="auto"/>
        <w:ind w:firstLine="720"/>
        <w:contextualSpacing/>
        <w:jc w:val="both"/>
        <w:rPr>
          <w:rFonts w:ascii="Times New Roman" w:hAnsi="Times New Roman" w:cs="Times New Roman"/>
          <w:iCs/>
          <w:sz w:val="28"/>
          <w:szCs w:val="28"/>
          <w:lang w:val="en-US"/>
        </w:rPr>
      </w:pPr>
      <w:r w:rsidRPr="003E345E">
        <w:rPr>
          <w:rFonts w:ascii="Times New Roman" w:hAnsi="Times New Roman" w:cs="Times New Roman"/>
          <w:iCs/>
          <w:sz w:val="28"/>
          <w:szCs w:val="28"/>
          <w:lang w:val="en-US"/>
        </w:rPr>
        <w:t xml:space="preserve">While this subsection focuses specifically on the determinants of student entrepreneurship, a broader perspective on post-graduation career trajectories is necessary to understand the overall transition from HE to the </w:t>
      </w:r>
      <w:proofErr w:type="spellStart"/>
      <w:r w:rsidRPr="003E345E">
        <w:rPr>
          <w:rFonts w:ascii="Times New Roman" w:hAnsi="Times New Roman" w:cs="Times New Roman"/>
          <w:iCs/>
          <w:sz w:val="28"/>
          <w:szCs w:val="28"/>
          <w:lang w:val="en-US"/>
        </w:rPr>
        <w:t>labour</w:t>
      </w:r>
      <w:proofErr w:type="spellEnd"/>
      <w:r w:rsidRPr="003E345E">
        <w:rPr>
          <w:rFonts w:ascii="Times New Roman" w:hAnsi="Times New Roman" w:cs="Times New Roman"/>
          <w:iCs/>
          <w:sz w:val="28"/>
          <w:szCs w:val="28"/>
          <w:lang w:val="en-US"/>
        </w:rPr>
        <w:t xml:space="preserve"> market. Therefore, the findings and interpretations of this analysis will be discussed in Chapter 2.4, where they will be examined in greater depth alongside other contextual factors influencing entrepreneurship.</w:t>
      </w:r>
    </w:p>
    <w:p w14:paraId="31D623D9" w14:textId="77777777" w:rsidR="00600C79" w:rsidRPr="003E345E" w:rsidRDefault="00600C79" w:rsidP="00600C79">
      <w:pPr>
        <w:spacing w:after="0" w:line="240" w:lineRule="auto"/>
        <w:ind w:firstLine="720"/>
        <w:contextualSpacing/>
        <w:jc w:val="both"/>
        <w:rPr>
          <w:rFonts w:ascii="Times New Roman" w:hAnsi="Times New Roman" w:cs="Times New Roman"/>
          <w:iCs/>
          <w:sz w:val="28"/>
          <w:szCs w:val="28"/>
          <w:lang w:val="en-US"/>
        </w:rPr>
      </w:pPr>
      <w:r w:rsidRPr="003E345E">
        <w:rPr>
          <w:rFonts w:ascii="Times New Roman" w:hAnsi="Times New Roman" w:cs="Times New Roman"/>
          <w:iCs/>
          <w:sz w:val="28"/>
          <w:szCs w:val="28"/>
          <w:lang w:val="en-US"/>
        </w:rPr>
        <w:t xml:space="preserve">The following subsection shifts focus to factors influencing the employment likelihood of Kazakhstani university graduates. The present study examines the impact of several key elements, including job availability in one's area of expertise, the significance of professional networks in securing employment, and relevant work experience. Furthermore, it examines the impact of graduates' technological proficiency, innovation-oriented skills, and research competencies on their </w:t>
      </w:r>
      <w:r w:rsidRPr="003E345E">
        <w:rPr>
          <w:rFonts w:ascii="Times New Roman" w:hAnsi="Times New Roman" w:cs="Times New Roman"/>
          <w:iCs/>
          <w:sz w:val="28"/>
          <w:szCs w:val="28"/>
          <w:lang w:val="en-US"/>
        </w:rPr>
        <w:lastRenderedPageBreak/>
        <w:t xml:space="preserve">employment. The growing focus on Innovation and self-employment as alternative career options are acknowledged, as demonstrated by the convergence of entrepreneurial readiness and </w:t>
      </w:r>
      <w:proofErr w:type="spellStart"/>
      <w:r w:rsidRPr="003E345E">
        <w:rPr>
          <w:rFonts w:ascii="Times New Roman" w:hAnsi="Times New Roman" w:cs="Times New Roman"/>
          <w:iCs/>
          <w:sz w:val="28"/>
          <w:szCs w:val="28"/>
          <w:lang w:val="en-US"/>
        </w:rPr>
        <w:t>labour</w:t>
      </w:r>
      <w:proofErr w:type="spellEnd"/>
      <w:r w:rsidRPr="003E345E">
        <w:rPr>
          <w:rFonts w:ascii="Times New Roman" w:hAnsi="Times New Roman" w:cs="Times New Roman"/>
          <w:iCs/>
          <w:sz w:val="28"/>
          <w:szCs w:val="28"/>
          <w:lang w:val="en-US"/>
        </w:rPr>
        <w:t xml:space="preserve"> market assimilation.</w:t>
      </w:r>
    </w:p>
    <w:p w14:paraId="7F2A1CF0" w14:textId="77777777" w:rsidR="00600C79" w:rsidRDefault="00600C79" w:rsidP="00600C79">
      <w:pPr>
        <w:spacing w:after="0" w:line="240" w:lineRule="auto"/>
        <w:ind w:firstLine="720"/>
        <w:contextualSpacing/>
        <w:jc w:val="both"/>
        <w:rPr>
          <w:rFonts w:ascii="Times New Roman" w:hAnsi="Times New Roman" w:cs="Times New Roman"/>
          <w:iCs/>
          <w:sz w:val="28"/>
          <w:szCs w:val="28"/>
          <w:lang w:val="en-US"/>
        </w:rPr>
      </w:pPr>
      <w:r w:rsidRPr="003E345E">
        <w:rPr>
          <w:rFonts w:ascii="Times New Roman" w:hAnsi="Times New Roman" w:cs="Times New Roman"/>
          <w:iCs/>
          <w:sz w:val="28"/>
          <w:szCs w:val="28"/>
          <w:lang w:val="en-US"/>
        </w:rPr>
        <w:t xml:space="preserve"> The study aims to comprehensively understand the structural and individual drivers affecting the employment outcomes of graduates by analyzing these elements. This approach allows for a comparative assessment of how entrepreneur hip, innovation, and employment conditions interact within Kazakhstan's evolving economic and educational landscape. The findings presented in the following subsection will contribute to ongoing discussions on higher education effectiveness, </w:t>
      </w:r>
      <w:proofErr w:type="spellStart"/>
      <w:r w:rsidRPr="003E345E">
        <w:rPr>
          <w:rFonts w:ascii="Times New Roman" w:hAnsi="Times New Roman" w:cs="Times New Roman"/>
          <w:iCs/>
          <w:sz w:val="28"/>
          <w:szCs w:val="28"/>
          <w:lang w:val="en-US"/>
        </w:rPr>
        <w:t>labour</w:t>
      </w:r>
      <w:proofErr w:type="spellEnd"/>
      <w:r w:rsidRPr="003E345E">
        <w:rPr>
          <w:rFonts w:ascii="Times New Roman" w:hAnsi="Times New Roman" w:cs="Times New Roman"/>
          <w:iCs/>
          <w:sz w:val="28"/>
          <w:szCs w:val="28"/>
          <w:lang w:val="en-US"/>
        </w:rPr>
        <w:t xml:space="preserve"> market alignment, and policy recommendations for improving graduate employability and entrepreneurial success.</w:t>
      </w:r>
    </w:p>
    <w:p w14:paraId="0DA50C9D" w14:textId="77777777" w:rsidR="00600C79" w:rsidRDefault="00600C79" w:rsidP="00600C79">
      <w:pPr>
        <w:spacing w:line="240" w:lineRule="auto"/>
        <w:ind w:firstLine="720"/>
        <w:contextualSpacing/>
        <w:jc w:val="both"/>
        <w:rPr>
          <w:rFonts w:ascii="Times New Roman" w:hAnsi="Times New Roman" w:cs="Times New Roman"/>
          <w:sz w:val="28"/>
          <w:szCs w:val="28"/>
          <w:lang w:val="en-US"/>
        </w:rPr>
      </w:pPr>
    </w:p>
    <w:p w14:paraId="0FE1AC65" w14:textId="3DCC1682" w:rsidR="00600C79" w:rsidRPr="00FF72A5" w:rsidRDefault="00600C79" w:rsidP="00600C79">
      <w:pPr>
        <w:spacing w:line="240" w:lineRule="auto"/>
        <w:ind w:firstLine="720"/>
        <w:contextualSpacing/>
        <w:jc w:val="both"/>
        <w:rPr>
          <w:rFonts w:ascii="Times New Roman" w:hAnsi="Times New Roman" w:cs="Times New Roman"/>
          <w:b/>
          <w:bCs/>
          <w:sz w:val="28"/>
          <w:szCs w:val="28"/>
          <w:lang w:val="en-US"/>
        </w:rPr>
      </w:pPr>
      <w:r w:rsidRPr="00FF72A5">
        <w:rPr>
          <w:rFonts w:ascii="Times New Roman" w:eastAsia="Times New Roman" w:hAnsi="Times New Roman" w:cs="Times New Roman"/>
          <w:b/>
          <w:bCs/>
          <w:sz w:val="28"/>
          <w:szCs w:val="28"/>
          <w:lang w:val="en-US" w:eastAsia="ru-RU"/>
        </w:rPr>
        <w:t>2.3 Analysis of the Graduate Employment Survey</w:t>
      </w:r>
    </w:p>
    <w:p w14:paraId="5F9F4B7F" w14:textId="2231D646"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competitiveness of Kazakhstan's national economy in the global arena is directly contingent upon the developmental conditions for youth, who are, in essence, key investments in the republic's future regarding human capital</w:t>
      </w:r>
      <w:r w:rsidR="003715CC">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w:t>
      </w:r>
      <w:r w:rsidR="001D41CA" w:rsidRPr="001D41CA">
        <w:rPr>
          <w:rFonts w:ascii="Times New Roman" w:hAnsi="Times New Roman" w:cs="Times New Roman"/>
          <w:sz w:val="28"/>
          <w:szCs w:val="28"/>
          <w:lang w:val="en-US"/>
        </w:rPr>
        <w:t>215</w:t>
      </w:r>
      <w:r w:rsidRPr="00244343">
        <w:rPr>
          <w:rFonts w:ascii="Times New Roman" w:hAnsi="Times New Roman" w:cs="Times New Roman"/>
          <w:sz w:val="28"/>
          <w:szCs w:val="28"/>
          <w:lang w:val="en-US"/>
        </w:rPr>
        <w:t>].</w:t>
      </w:r>
    </w:p>
    <w:p w14:paraId="7D2038CD" w14:textId="71C8195A"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Youth employment constitutes a primary focus of the Concept of State Youth Policy of Kazakhstan for 2023-2029 [</w:t>
      </w:r>
      <w:r w:rsidR="001D41CA" w:rsidRPr="001D41CA">
        <w:rPr>
          <w:rFonts w:ascii="Times New Roman" w:hAnsi="Times New Roman" w:cs="Times New Roman"/>
          <w:sz w:val="28"/>
          <w:szCs w:val="28"/>
          <w:lang w:val="en-US"/>
        </w:rPr>
        <w:t>215</w:t>
      </w:r>
      <w:r w:rsidRPr="00244343">
        <w:rPr>
          <w:rFonts w:ascii="Times New Roman" w:hAnsi="Times New Roman" w:cs="Times New Roman"/>
          <w:sz w:val="28"/>
          <w:szCs w:val="28"/>
          <w:lang w:val="en-US"/>
        </w:rPr>
        <w:t>]. Consequently, the target indicators of this notion are as follows: Raising the number of employed adolescents to 2.3 million and elevating the proportion of young entrepreneurs to 20%. Effective management of university graduate employment urges substantiating the significance of this process by recognizing the affecting elements. This study examines the employment factors affecting university graduates and identifies prospects for public administration and university management, using Kazakhstan as a case study.</w:t>
      </w:r>
    </w:p>
    <w:p w14:paraId="582FFF5E" w14:textId="77777777" w:rsidR="00600C79" w:rsidRPr="00907FB3" w:rsidRDefault="00600C79" w:rsidP="00600C79">
      <w:pPr>
        <w:pStyle w:val="af"/>
        <w:ind w:firstLine="720"/>
        <w:contextualSpacing/>
        <w:jc w:val="both"/>
        <w:rPr>
          <w:rFonts w:ascii="Times New Roman" w:hAnsi="Times New Roman" w:cs="Times New Roman"/>
          <w:sz w:val="28"/>
          <w:szCs w:val="28"/>
          <w:lang w:val="en-US"/>
        </w:rPr>
      </w:pPr>
      <w:r w:rsidRPr="00907FB3">
        <w:rPr>
          <w:rFonts w:ascii="Times New Roman" w:hAnsi="Times New Roman" w:cs="Times New Roman"/>
          <w:sz w:val="28"/>
          <w:szCs w:val="28"/>
          <w:lang w:val="en-US"/>
        </w:rPr>
        <w:t>This subsection examines the key determinants influencing the employability of university graduates in Kazakhstan and identifies relevant implications for public administration and higher education management. The analysis aims to evaluate how institutional and individual-level factors—such as the availability of practical experience, job opportunities in the graduate's field of study, reliance on social networks, and exposure to technological innovation and entrepreneurship—affect the likelihood of securing employment after graduation.</w:t>
      </w:r>
    </w:p>
    <w:p w14:paraId="44648C65" w14:textId="77777777" w:rsidR="00600C79" w:rsidRPr="00907FB3" w:rsidRDefault="00600C79" w:rsidP="00600C79">
      <w:pPr>
        <w:pStyle w:val="af"/>
        <w:ind w:firstLine="720"/>
        <w:contextualSpacing/>
        <w:jc w:val="both"/>
        <w:rPr>
          <w:rFonts w:ascii="Times New Roman" w:hAnsi="Times New Roman" w:cs="Times New Roman"/>
          <w:sz w:val="28"/>
          <w:szCs w:val="28"/>
          <w:lang w:val="en-US"/>
        </w:rPr>
      </w:pPr>
      <w:r w:rsidRPr="00907FB3">
        <w:rPr>
          <w:rFonts w:ascii="Times New Roman" w:hAnsi="Times New Roman" w:cs="Times New Roman"/>
          <w:sz w:val="28"/>
          <w:szCs w:val="28"/>
          <w:lang w:val="en-US"/>
        </w:rPr>
        <w:t>A logistic regression model was employed using primary data collected through a structured survey to address this research objective. The survey was conducted in 2022 and targeted 300 university graduates from the 2020–2021 academic year representing higher education institutions across Kazakhstan. The dependent variable was defined as the binary employment status of graduates (employed vs. unemployed). In contrast, the independent variables captured perceived access to practical training, alignment between academic specialization and labor market demand, informal recruitment channels (friends and family), and the role of university support in research, innovation, and entrepreneurship.</w:t>
      </w:r>
    </w:p>
    <w:p w14:paraId="606AD0F6" w14:textId="5FEFAD26" w:rsidR="00600C79" w:rsidRPr="00244343" w:rsidRDefault="00600C79" w:rsidP="00600C79">
      <w:pPr>
        <w:pStyle w:val="af"/>
        <w:ind w:firstLine="720"/>
        <w:contextualSpacing/>
        <w:jc w:val="both"/>
        <w:rPr>
          <w:rFonts w:ascii="Times New Roman" w:hAnsi="Times New Roman" w:cs="Times New Roman"/>
          <w:i/>
          <w:iCs/>
          <w:sz w:val="28"/>
          <w:szCs w:val="28"/>
          <w:lang w:val="en-US"/>
        </w:rPr>
      </w:pPr>
      <w:r w:rsidRPr="00907FB3">
        <w:rPr>
          <w:rFonts w:ascii="Times New Roman" w:hAnsi="Times New Roman" w:cs="Times New Roman"/>
          <w:sz w:val="28"/>
          <w:szCs w:val="28"/>
          <w:lang w:val="en-US"/>
        </w:rPr>
        <w:t xml:space="preserve">The logistic regression analysis was </w:t>
      </w:r>
      <w:r w:rsidRPr="008748D1">
        <w:rPr>
          <w:rFonts w:ascii="Times New Roman" w:hAnsi="Times New Roman" w:cs="Times New Roman"/>
          <w:sz w:val="28"/>
          <w:szCs w:val="28"/>
          <w:lang w:val="en-US"/>
        </w:rPr>
        <w:t>performed using IBM SPSS Statistics 23</w:t>
      </w:r>
      <w:r w:rsidR="008748D1">
        <w:rPr>
          <w:rFonts w:ascii="Times New Roman" w:hAnsi="Times New Roman" w:cs="Times New Roman"/>
          <w:sz w:val="28"/>
          <w:szCs w:val="28"/>
          <w:lang w:val="en-US"/>
        </w:rPr>
        <w:t xml:space="preserve"> [</w:t>
      </w:r>
      <w:r w:rsidR="000A352C">
        <w:rPr>
          <w:rFonts w:ascii="Times New Roman" w:hAnsi="Times New Roman" w:cs="Times New Roman"/>
          <w:sz w:val="28"/>
          <w:szCs w:val="28"/>
          <w:lang w:val="en-US"/>
        </w:rPr>
        <w:t>6</w:t>
      </w:r>
      <w:r w:rsidR="008748D1">
        <w:rPr>
          <w:rFonts w:ascii="Times New Roman" w:hAnsi="Times New Roman" w:cs="Times New Roman"/>
          <w:sz w:val="28"/>
          <w:szCs w:val="28"/>
          <w:lang w:val="en-US"/>
        </w:rPr>
        <w:t>]</w:t>
      </w:r>
      <w:r w:rsidRPr="008748D1">
        <w:rPr>
          <w:rFonts w:ascii="Times New Roman" w:hAnsi="Times New Roman" w:cs="Times New Roman"/>
          <w:sz w:val="28"/>
          <w:szCs w:val="28"/>
          <w:lang w:val="en-US"/>
        </w:rPr>
        <w:t>,</w:t>
      </w:r>
      <w:r w:rsidRPr="00907FB3">
        <w:rPr>
          <w:rFonts w:ascii="Times New Roman" w:hAnsi="Times New Roman" w:cs="Times New Roman"/>
          <w:sz w:val="28"/>
          <w:szCs w:val="28"/>
          <w:lang w:val="en-US"/>
        </w:rPr>
        <w:t xml:space="preserve"> allowing for the estimation of the marginal effects of each predictor on employment probability. This empirical approach facilitates the discovery of statistically significant factors influencing graduate employment and offers </w:t>
      </w:r>
      <w:r w:rsidRPr="00907FB3">
        <w:rPr>
          <w:rFonts w:ascii="Times New Roman" w:hAnsi="Times New Roman" w:cs="Times New Roman"/>
          <w:sz w:val="28"/>
          <w:szCs w:val="28"/>
          <w:lang w:val="en-US"/>
        </w:rPr>
        <w:lastRenderedPageBreak/>
        <w:t xml:space="preserve">evidence-based insights for policy reform in Kazakhstan's higher education and labor market </w:t>
      </w:r>
      <w:proofErr w:type="spellStart"/>
      <w:r w:rsidRPr="00907FB3">
        <w:rPr>
          <w:rFonts w:ascii="Times New Roman" w:hAnsi="Times New Roman" w:cs="Times New Roman"/>
          <w:sz w:val="28"/>
          <w:szCs w:val="28"/>
          <w:lang w:val="en-US"/>
        </w:rPr>
        <w:t>systems.</w:t>
      </w:r>
      <w:r w:rsidRPr="00244343">
        <w:rPr>
          <w:rFonts w:ascii="Times New Roman" w:hAnsi="Times New Roman" w:cs="Times New Roman"/>
          <w:iCs/>
          <w:sz w:val="28"/>
          <w:szCs w:val="28"/>
          <w:lang w:val="en-US"/>
        </w:rPr>
        <w:t>The</w:t>
      </w:r>
      <w:proofErr w:type="spellEnd"/>
      <w:r w:rsidRPr="00244343">
        <w:rPr>
          <w:rFonts w:ascii="Times New Roman" w:hAnsi="Times New Roman" w:cs="Times New Roman"/>
          <w:iCs/>
          <w:sz w:val="28"/>
          <w:szCs w:val="28"/>
          <w:lang w:val="en-US"/>
        </w:rPr>
        <w:t xml:space="preserve"> dependent variable was whether the graduate got a job within one year after graduation: </w:t>
      </w:r>
      <w:r w:rsidRPr="00244343">
        <w:rPr>
          <w:rFonts w:ascii="Times New Roman" w:hAnsi="Times New Roman" w:cs="Times New Roman"/>
          <w:i/>
          <w:iCs/>
          <w:sz w:val="28"/>
          <w:szCs w:val="28"/>
          <w:lang w:val="en-US"/>
        </w:rPr>
        <w:t>0. No, I did not get a job; 1. Yes, I got a job</w:t>
      </w:r>
      <w:r w:rsidRPr="00244343">
        <w:rPr>
          <w:rFonts w:ascii="Times New Roman" w:hAnsi="Times New Roman" w:cs="Times New Roman"/>
          <w:iCs/>
          <w:sz w:val="28"/>
          <w:szCs w:val="28"/>
          <w:lang w:val="en-US"/>
        </w:rPr>
        <w:t xml:space="preserve">. Moreover, as independent variables, various statements expressed various obstacles preventing students from getting a job in their </w:t>
      </w:r>
      <w:proofErr w:type="spellStart"/>
      <w:r w:rsidRPr="00244343">
        <w:rPr>
          <w:rFonts w:ascii="Times New Roman" w:hAnsi="Times New Roman" w:cs="Times New Roman"/>
          <w:iCs/>
          <w:sz w:val="28"/>
          <w:szCs w:val="28"/>
          <w:lang w:val="en-US"/>
        </w:rPr>
        <w:t>speciality</w:t>
      </w:r>
      <w:proofErr w:type="spellEnd"/>
      <w:r w:rsidRPr="00244343">
        <w:rPr>
          <w:rFonts w:ascii="Times New Roman" w:hAnsi="Times New Roman" w:cs="Times New Roman"/>
          <w:iCs/>
          <w:sz w:val="28"/>
          <w:szCs w:val="28"/>
          <w:lang w:val="en-US"/>
        </w:rPr>
        <w:t xml:space="preserve">. The respondent could assess how each obstacle affects the student's ability to get a job on a 7-point scale, where </w:t>
      </w:r>
      <w:r w:rsidRPr="00244343">
        <w:rPr>
          <w:rFonts w:ascii="Times New Roman" w:hAnsi="Times New Roman" w:cs="Times New Roman"/>
          <w:i/>
          <w:iCs/>
          <w:sz w:val="28"/>
          <w:szCs w:val="28"/>
          <w:lang w:val="en-US"/>
        </w:rPr>
        <w:t>1 - does not affect, and 7 - very strongly affects.</w:t>
      </w:r>
    </w:p>
    <w:p w14:paraId="7CDF5823" w14:textId="77777777"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Cronbach's Alpha is a commonly utilized statistic for evaluating the internal consistency of measurement tools, especially in the social sciences. It is represented as a numerical value ranging from 0 to 1.  Internal consistency denotes the extent to which all items in a test evaluate the same concept or construct, hence reflecting the interrelatedness of the test items. Internal consistency must be established before utilizing a test for study or assessment to assure its validity. Furthermore, reliability estimates indicate the extent of measurement inaccuracy in an assessment. This understanding of dependability is the correlation of a test with itself. Squaring this correlation and subtracting it from 1.00 yields the measurement error index. For instance, if a test exhibits a reliability of 0.80, the error variance (random error) in the scores is 0.36 (0.80×0.80 = 0.64; 1.00 – 0.64 = 0.36).12 As the reliability estimate rises, the proportion of a test score attributable to error will diminish. </w:t>
      </w:r>
    </w:p>
    <w:p w14:paraId="486D38AF" w14:textId="30BD2A3D" w:rsidR="003715CC" w:rsidRPr="00244343" w:rsidRDefault="00600C79" w:rsidP="00174CFF">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When the items in a test exhibit correlation, the alpha value is elevated. Nonetheless, a high alpha coefficient does not invariably indicate substantial internal consistency. This is because alpha is influenced by the duration of the test. If the test duration is insufficient, the alpha value diminishes [</w:t>
      </w:r>
      <w:r w:rsidR="001D41CA" w:rsidRPr="001D41CA">
        <w:rPr>
          <w:rFonts w:ascii="Times New Roman" w:hAnsi="Times New Roman" w:cs="Times New Roman"/>
          <w:sz w:val="28"/>
          <w:szCs w:val="28"/>
          <w:lang w:val="en-US"/>
        </w:rPr>
        <w:t>216</w:t>
      </w:r>
      <w:r w:rsidRPr="00244343">
        <w:rPr>
          <w:rFonts w:ascii="Times New Roman" w:hAnsi="Times New Roman" w:cs="Times New Roman"/>
          <w:sz w:val="28"/>
          <w:szCs w:val="28"/>
          <w:lang w:val="en-US"/>
        </w:rPr>
        <w:t xml:space="preserve">]. The procedure entails computing the mean inter-item correlation and the quantity of items inside the scale. The Alpha Cronbach formula is depicted as follows: </w:t>
      </w:r>
    </w:p>
    <w:p w14:paraId="3C6A11C7" w14:textId="77777777" w:rsidR="00600C79" w:rsidRPr="00244343" w:rsidRDefault="00600C79" w:rsidP="00600C79">
      <w:pPr>
        <w:pStyle w:val="af"/>
        <w:ind w:firstLine="720"/>
        <w:contextualSpacing/>
        <w:jc w:val="both"/>
        <w:rPr>
          <w:rFonts w:ascii="Times New Roman" w:hAnsi="Times New Roman" w:cs="Times New Roman"/>
          <w:sz w:val="28"/>
          <w:szCs w:val="28"/>
          <w:lang w:val="en-US"/>
        </w:rPr>
      </w:pPr>
    </w:p>
    <w:p w14:paraId="4C38D576" w14:textId="3C740F29" w:rsidR="00600C79" w:rsidRPr="00015E71" w:rsidRDefault="00015E71" w:rsidP="00600C79">
      <w:pPr>
        <w:spacing w:line="240" w:lineRule="auto"/>
        <w:ind w:firstLine="720"/>
        <w:contextualSpacing/>
        <w:rPr>
          <w:rFonts w:ascii="Times New Roman" w:eastAsiaTheme="minorEastAsia" w:hAnsi="Times New Roman" w:cs="Times New Roman"/>
          <w:bCs/>
          <w:sz w:val="28"/>
          <w:szCs w:val="28"/>
          <w:lang w:val="en-US"/>
        </w:rPr>
      </w:pPr>
      <m:oMathPara>
        <m:oMath>
          <m:r>
            <w:rPr>
              <w:rFonts w:ascii="Cambria Math" w:hAnsi="Cambria Math" w:cs="Times New Roman"/>
              <w:sz w:val="28"/>
              <w:szCs w:val="28"/>
              <w:lang w:val="en-US"/>
            </w:rPr>
            <m:t>α=</m:t>
          </m:r>
          <m:f>
            <m:fPr>
              <m:ctrlPr>
                <w:rPr>
                  <w:rFonts w:ascii="Cambria Math" w:hAnsi="Cambria Math" w:cs="Times New Roman"/>
                  <w:bCs/>
                  <w:i/>
                  <w:sz w:val="28"/>
                  <w:szCs w:val="28"/>
                  <w:lang w:val="en-US"/>
                </w:rPr>
              </m:ctrlPr>
            </m:fPr>
            <m:num>
              <m:r>
                <w:rPr>
                  <w:rFonts w:ascii="Cambria Math" w:hAnsi="Cambria Math" w:cs="Times New Roman"/>
                  <w:sz w:val="28"/>
                  <w:szCs w:val="28"/>
                  <w:lang w:val="en-US"/>
                </w:rPr>
                <m:t>k</m:t>
              </m:r>
            </m:num>
            <m:den>
              <m:r>
                <w:rPr>
                  <w:rFonts w:ascii="Cambria Math" w:hAnsi="Cambria Math" w:cs="Times New Roman"/>
                  <w:sz w:val="28"/>
                  <w:szCs w:val="28"/>
                  <w:lang w:val="en-US"/>
                </w:rPr>
                <m:t>k-1</m:t>
              </m:r>
            </m:den>
          </m:f>
          <m:r>
            <w:rPr>
              <w:rFonts w:ascii="Cambria Math" w:hAnsi="Cambria Math" w:cs="Times New Roman"/>
              <w:sz w:val="28"/>
              <w:szCs w:val="28"/>
              <w:lang w:val="en-US"/>
            </w:rPr>
            <m:t xml:space="preserve"> </m:t>
          </m:r>
          <m:d>
            <m:dPr>
              <m:ctrlPr>
                <w:rPr>
                  <w:rFonts w:ascii="Cambria Math" w:hAnsi="Cambria Math" w:cs="Times New Roman"/>
                  <w:bCs/>
                  <w:i/>
                  <w:sz w:val="28"/>
                  <w:szCs w:val="28"/>
                  <w:lang w:val="en-US"/>
                </w:rPr>
              </m:ctrlPr>
            </m:dPr>
            <m:e>
              <m:r>
                <w:rPr>
                  <w:rFonts w:ascii="Cambria Math" w:hAnsi="Cambria Math" w:cs="Times New Roman"/>
                  <w:sz w:val="28"/>
                  <w:szCs w:val="28"/>
                  <w:lang w:val="en-US"/>
                </w:rPr>
                <m:t xml:space="preserve">1- </m:t>
              </m:r>
              <m:f>
                <m:fPr>
                  <m:ctrlPr>
                    <w:rPr>
                      <w:rFonts w:ascii="Cambria Math" w:hAnsi="Cambria Math" w:cs="Times New Roman"/>
                      <w:bCs/>
                      <w:i/>
                      <w:sz w:val="28"/>
                      <w:szCs w:val="28"/>
                      <w:lang w:val="en-US"/>
                    </w:rPr>
                  </m:ctrlPr>
                </m:fPr>
                <m:num>
                  <m:nary>
                    <m:naryPr>
                      <m:chr m:val="∑"/>
                      <m:limLoc m:val="subSup"/>
                      <m:ctrlPr>
                        <w:rPr>
                          <w:rFonts w:ascii="Cambria Math" w:hAnsi="Cambria Math" w:cs="Times New Roman"/>
                          <w:bCs/>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k</m:t>
                      </m:r>
                    </m:sup>
                    <m:e>
                      <m:sSubSup>
                        <m:sSubSupPr>
                          <m:ctrlPr>
                            <w:rPr>
                              <w:rFonts w:ascii="Cambria Math" w:hAnsi="Cambria Math" w:cs="Times New Roman"/>
                              <w:bCs/>
                              <w:i/>
                              <w:sz w:val="28"/>
                              <w:szCs w:val="28"/>
                              <w:lang w:val="en-US"/>
                            </w:rPr>
                          </m:ctrlPr>
                        </m:sSubSupPr>
                        <m:e>
                          <m:r>
                            <w:rPr>
                              <w:rFonts w:ascii="Cambria Math" w:hAnsi="Cambria Math" w:cs="Times New Roman"/>
                              <w:sz w:val="28"/>
                              <w:szCs w:val="28"/>
                              <w:lang w:val="en-US"/>
                            </w:rPr>
                            <m:t>σ</m:t>
                          </m:r>
                        </m:e>
                        <m:sub>
                          <m:r>
                            <w:rPr>
                              <w:rFonts w:ascii="Cambria Math" w:hAnsi="Cambria Math" w:cs="Times New Roman"/>
                              <w:sz w:val="28"/>
                              <w:szCs w:val="28"/>
                              <w:lang w:val="en-US"/>
                            </w:rPr>
                            <m:t>y</m:t>
                          </m:r>
                        </m:sub>
                        <m:sup>
                          <m:r>
                            <w:rPr>
                              <w:rFonts w:ascii="Cambria Math" w:hAnsi="Cambria Math" w:cs="Times New Roman"/>
                              <w:sz w:val="28"/>
                              <w:szCs w:val="28"/>
                              <w:lang w:val="en-US"/>
                            </w:rPr>
                            <m:t>2</m:t>
                          </m:r>
                        </m:sup>
                      </m:sSubSup>
                    </m:e>
                  </m:nary>
                </m:num>
                <m:den>
                  <m:sSubSup>
                    <m:sSubSupPr>
                      <m:ctrlPr>
                        <w:rPr>
                          <w:rFonts w:ascii="Cambria Math" w:hAnsi="Cambria Math" w:cs="Times New Roman"/>
                          <w:bCs/>
                          <w:i/>
                          <w:sz w:val="28"/>
                          <w:szCs w:val="28"/>
                          <w:lang w:val="en-US"/>
                        </w:rPr>
                      </m:ctrlPr>
                    </m:sSubSupPr>
                    <m:e>
                      <m:r>
                        <w:rPr>
                          <w:rFonts w:ascii="Cambria Math" w:hAnsi="Cambria Math" w:cs="Times New Roman"/>
                          <w:sz w:val="28"/>
                          <w:szCs w:val="28"/>
                          <w:lang w:val="en-US"/>
                        </w:rPr>
                        <m:t>σ</m:t>
                      </m:r>
                    </m:e>
                    <m:sub>
                      <m:r>
                        <w:rPr>
                          <w:rFonts w:ascii="Cambria Math" w:hAnsi="Cambria Math" w:cs="Times New Roman"/>
                          <w:sz w:val="28"/>
                          <w:szCs w:val="28"/>
                          <w:lang w:val="en-US"/>
                        </w:rPr>
                        <m:t>x</m:t>
                      </m:r>
                    </m:sub>
                    <m:sup>
                      <m:r>
                        <w:rPr>
                          <w:rFonts w:ascii="Cambria Math" w:hAnsi="Cambria Math" w:cs="Times New Roman"/>
                          <w:sz w:val="28"/>
                          <w:szCs w:val="28"/>
                          <w:lang w:val="en-US"/>
                        </w:rPr>
                        <m:t>2</m:t>
                      </m:r>
                    </m:sup>
                  </m:sSubSup>
                </m:den>
              </m:f>
            </m:e>
          </m:d>
        </m:oMath>
      </m:oMathPara>
    </w:p>
    <w:p w14:paraId="3B61E55C" w14:textId="77777777" w:rsidR="00600C79" w:rsidRPr="00244343" w:rsidRDefault="00600C79" w:rsidP="00600C79">
      <w:pPr>
        <w:pStyle w:val="af"/>
        <w:ind w:firstLine="720"/>
        <w:contextualSpacing/>
        <w:jc w:val="right"/>
        <w:rPr>
          <w:rFonts w:ascii="Times New Roman" w:hAnsi="Times New Roman" w:cs="Times New Roman"/>
          <w:sz w:val="28"/>
          <w:szCs w:val="28"/>
          <w:lang w:val="en-US"/>
        </w:rPr>
      </w:pPr>
      <w:r w:rsidRPr="00244343">
        <w:rPr>
          <w:rFonts w:ascii="Times New Roman" w:hAnsi="Times New Roman" w:cs="Times New Roman"/>
          <w:sz w:val="28"/>
          <w:szCs w:val="28"/>
          <w:lang w:val="en-US"/>
        </w:rPr>
        <w:t>(2)</w:t>
      </w:r>
    </w:p>
    <w:p w14:paraId="35A8DDED" w14:textId="77777777" w:rsidR="00600C79" w:rsidRPr="0009653E" w:rsidRDefault="00600C79" w:rsidP="00600C79">
      <w:pPr>
        <w:pStyle w:val="af"/>
        <w:ind w:firstLine="720"/>
        <w:contextualSpacing/>
        <w:jc w:val="both"/>
        <w:rPr>
          <w:rFonts w:ascii="Times New Roman" w:hAnsi="Times New Roman" w:cs="Times New Roman"/>
          <w:sz w:val="28"/>
          <w:szCs w:val="28"/>
          <w:lang w:val="en-US"/>
        </w:rPr>
      </w:pPr>
      <w:r w:rsidRPr="0009653E">
        <w:rPr>
          <w:rFonts w:ascii="Times New Roman" w:hAnsi="Times New Roman" w:cs="Times New Roman"/>
          <w:sz w:val="28"/>
          <w:szCs w:val="28"/>
          <w:lang w:val="en-US"/>
        </w:rPr>
        <w:t>Where:</w:t>
      </w:r>
    </w:p>
    <w:p w14:paraId="2A56AF55" w14:textId="1BE474BA" w:rsidR="00600C79" w:rsidRPr="00015E71" w:rsidRDefault="00015E71" w:rsidP="00600C79">
      <w:pPr>
        <w:pStyle w:val="af"/>
        <w:ind w:firstLine="720"/>
        <w:contextualSpacing/>
        <w:jc w:val="both"/>
        <w:rPr>
          <w:rFonts w:ascii="Times New Roman" w:hAnsi="Times New Roman" w:cs="Times New Roman"/>
          <w:bCs/>
          <w:sz w:val="28"/>
          <w:szCs w:val="28"/>
          <w:lang w:val="en-US"/>
        </w:rPr>
      </w:pPr>
      <m:oMath>
        <m:r>
          <w:rPr>
            <w:rFonts w:ascii="Cambria Math" w:hAnsi="Cambria Math" w:cs="Times New Roman"/>
            <w:sz w:val="28"/>
            <w:szCs w:val="28"/>
            <w:lang w:val="en-US"/>
          </w:rPr>
          <m:t>α</m:t>
        </m:r>
      </m:oMath>
      <w:r w:rsidR="00600C79" w:rsidRPr="00015E71">
        <w:rPr>
          <w:rFonts w:ascii="Times New Roman" w:hAnsi="Times New Roman" w:cs="Times New Roman"/>
          <w:bCs/>
          <w:sz w:val="28"/>
          <w:szCs w:val="28"/>
          <w:lang w:val="en-US"/>
        </w:rPr>
        <w:t xml:space="preserve">  = Cronbach's Alpha</w:t>
      </w:r>
    </w:p>
    <w:p w14:paraId="5A910860" w14:textId="1D923726" w:rsidR="00600C79" w:rsidRPr="00015E71" w:rsidRDefault="00015E71" w:rsidP="00600C79">
      <w:pPr>
        <w:pStyle w:val="af"/>
        <w:ind w:firstLine="720"/>
        <w:contextualSpacing/>
        <w:jc w:val="both"/>
        <w:rPr>
          <w:rFonts w:ascii="Times New Roman" w:hAnsi="Times New Roman" w:cs="Times New Roman"/>
          <w:bCs/>
          <w:sz w:val="28"/>
          <w:szCs w:val="28"/>
          <w:lang w:val="en-US"/>
        </w:rPr>
      </w:pPr>
      <m:oMath>
        <m:r>
          <w:rPr>
            <w:rFonts w:ascii="Cambria Math" w:hAnsi="Cambria Math" w:cs="Times New Roman"/>
            <w:sz w:val="28"/>
            <w:szCs w:val="28"/>
            <w:lang w:val="en-US"/>
          </w:rPr>
          <m:t>k</m:t>
        </m:r>
      </m:oMath>
      <w:r w:rsidR="00600C79" w:rsidRPr="00015E71">
        <w:rPr>
          <w:rFonts w:ascii="Times New Roman" w:hAnsi="Times New Roman" w:cs="Times New Roman"/>
          <w:bCs/>
          <w:sz w:val="28"/>
          <w:szCs w:val="28"/>
          <w:lang w:val="en-US"/>
        </w:rPr>
        <w:t xml:space="preserve"> = Number of items in research scale</w:t>
      </w:r>
    </w:p>
    <w:p w14:paraId="08FB2312" w14:textId="1E6A055F" w:rsidR="00600C79" w:rsidRPr="00015E71" w:rsidRDefault="002C6007" w:rsidP="00600C79">
      <w:pPr>
        <w:pStyle w:val="af"/>
        <w:ind w:firstLine="720"/>
        <w:contextualSpacing/>
        <w:jc w:val="both"/>
        <w:rPr>
          <w:rFonts w:ascii="Times New Roman" w:hAnsi="Times New Roman" w:cs="Times New Roman"/>
          <w:bCs/>
          <w:sz w:val="28"/>
          <w:szCs w:val="28"/>
          <w:lang w:val="en-US"/>
        </w:rPr>
      </w:pPr>
      <m:oMath>
        <m:nary>
          <m:naryPr>
            <m:chr m:val="∑"/>
            <m:limLoc m:val="subSup"/>
            <m:ctrlPr>
              <w:rPr>
                <w:rFonts w:ascii="Cambria Math" w:hAnsi="Cambria Math" w:cs="Times New Roman"/>
                <w:bCs/>
                <w:sz w:val="28"/>
                <w:szCs w:val="28"/>
                <w:lang w:val="en-US"/>
              </w:rPr>
            </m:ctrlPr>
          </m:naryPr>
          <m:sub>
            <m:r>
              <w:rPr>
                <w:rFonts w:ascii="Cambria Math" w:hAnsi="Cambria Math" w:cs="Times New Roman"/>
                <w:sz w:val="28"/>
                <w:szCs w:val="28"/>
                <w:lang w:val="en-US"/>
              </w:rPr>
              <m:t>i</m:t>
            </m:r>
            <m:r>
              <m:rPr>
                <m:sty m:val="p"/>
              </m:rPr>
              <w:rPr>
                <w:rFonts w:ascii="Cambria Math" w:hAnsi="Cambria Math" w:cs="Times New Roman"/>
                <w:sz w:val="28"/>
                <w:szCs w:val="28"/>
                <w:lang w:val="en-US"/>
              </w:rPr>
              <m:t>=1</m:t>
            </m:r>
          </m:sub>
          <m:sup>
            <m:r>
              <w:rPr>
                <w:rFonts w:ascii="Cambria Math" w:hAnsi="Cambria Math" w:cs="Times New Roman"/>
                <w:sz w:val="28"/>
                <w:szCs w:val="28"/>
                <w:lang w:val="en-US"/>
              </w:rPr>
              <m:t>k</m:t>
            </m:r>
          </m:sup>
          <m:e>
            <m:sSubSup>
              <m:sSubSupPr>
                <m:ctrlPr>
                  <w:rPr>
                    <w:rFonts w:ascii="Cambria Math" w:hAnsi="Cambria Math" w:cs="Times New Roman"/>
                    <w:bCs/>
                    <w:sz w:val="28"/>
                    <w:szCs w:val="28"/>
                    <w:lang w:val="en-US"/>
                  </w:rPr>
                </m:ctrlPr>
              </m:sSubSupPr>
              <m:e>
                <m:r>
                  <w:rPr>
                    <w:rFonts w:ascii="Cambria Math" w:hAnsi="Cambria Math" w:cs="Times New Roman"/>
                    <w:sz w:val="28"/>
                    <w:szCs w:val="28"/>
                    <w:lang w:val="en-US"/>
                  </w:rPr>
                  <m:t>σ</m:t>
                </m:r>
              </m:e>
              <m:sub>
                <m:r>
                  <w:rPr>
                    <w:rFonts w:ascii="Cambria Math" w:hAnsi="Cambria Math" w:cs="Times New Roman"/>
                    <w:sz w:val="28"/>
                    <w:szCs w:val="28"/>
                    <w:lang w:val="en-US"/>
                  </w:rPr>
                  <m:t>y</m:t>
                </m:r>
              </m:sub>
              <m:sup>
                <m:r>
                  <m:rPr>
                    <m:sty m:val="p"/>
                  </m:rPr>
                  <w:rPr>
                    <w:rFonts w:ascii="Cambria Math" w:hAnsi="Cambria Math" w:cs="Times New Roman"/>
                    <w:sz w:val="28"/>
                    <w:szCs w:val="28"/>
                    <w:lang w:val="en-US"/>
                  </w:rPr>
                  <m:t>2</m:t>
                </m:r>
              </m:sup>
            </m:sSubSup>
          </m:e>
        </m:nary>
      </m:oMath>
      <w:r w:rsidR="00600C79" w:rsidRPr="00015E71">
        <w:rPr>
          <w:rFonts w:ascii="Times New Roman" w:hAnsi="Times New Roman" w:cs="Times New Roman"/>
          <w:bCs/>
          <w:sz w:val="28"/>
          <w:szCs w:val="28"/>
          <w:lang w:val="en-US"/>
        </w:rPr>
        <w:t xml:space="preserve"> = Variance of each individual item</w:t>
      </w:r>
    </w:p>
    <w:p w14:paraId="257D1500" w14:textId="32416DD8" w:rsidR="00600C79" w:rsidRPr="00015E71" w:rsidRDefault="002C6007" w:rsidP="00600C79">
      <w:pPr>
        <w:pStyle w:val="af"/>
        <w:ind w:firstLine="720"/>
        <w:contextualSpacing/>
        <w:jc w:val="both"/>
        <w:rPr>
          <w:rFonts w:ascii="Times New Roman" w:hAnsi="Times New Roman" w:cs="Times New Roman"/>
          <w:bCs/>
          <w:sz w:val="28"/>
          <w:szCs w:val="28"/>
          <w:lang w:val="en-US"/>
        </w:rPr>
      </w:pPr>
      <m:oMath>
        <m:sSubSup>
          <m:sSubSupPr>
            <m:ctrlPr>
              <w:rPr>
                <w:rFonts w:ascii="Cambria Math" w:hAnsi="Cambria Math" w:cs="Times New Roman"/>
                <w:bCs/>
                <w:sz w:val="28"/>
                <w:szCs w:val="28"/>
                <w:lang w:val="en-US"/>
              </w:rPr>
            </m:ctrlPr>
          </m:sSubSupPr>
          <m:e>
            <m:r>
              <w:rPr>
                <w:rFonts w:ascii="Cambria Math" w:hAnsi="Cambria Math" w:cs="Times New Roman"/>
                <w:sz w:val="28"/>
                <w:szCs w:val="28"/>
                <w:lang w:val="en-US"/>
              </w:rPr>
              <m:t>σ</m:t>
            </m:r>
          </m:e>
          <m:sub>
            <m:r>
              <w:rPr>
                <w:rFonts w:ascii="Cambria Math" w:hAnsi="Cambria Math" w:cs="Times New Roman"/>
                <w:sz w:val="28"/>
                <w:szCs w:val="28"/>
                <w:lang w:val="en-US"/>
              </w:rPr>
              <m:t>x</m:t>
            </m:r>
          </m:sub>
          <m:sup>
            <m:r>
              <m:rPr>
                <m:sty m:val="p"/>
              </m:rPr>
              <w:rPr>
                <w:rFonts w:ascii="Cambria Math" w:hAnsi="Cambria Math" w:cs="Times New Roman"/>
                <w:sz w:val="28"/>
                <w:szCs w:val="28"/>
                <w:lang w:val="en-US"/>
              </w:rPr>
              <m:t>2</m:t>
            </m:r>
          </m:sup>
        </m:sSubSup>
      </m:oMath>
      <w:r w:rsidR="00600C79" w:rsidRPr="00015E71">
        <w:rPr>
          <w:rFonts w:ascii="Times New Roman" w:hAnsi="Times New Roman" w:cs="Times New Roman"/>
          <w:bCs/>
          <w:sz w:val="28"/>
          <w:szCs w:val="28"/>
          <w:lang w:val="en-US"/>
        </w:rPr>
        <w:t xml:space="preserve"> = Variance of the sum of all items</w:t>
      </w:r>
    </w:p>
    <w:p w14:paraId="1777F0A0" w14:textId="77777777" w:rsidR="003715CC" w:rsidRPr="00015E71" w:rsidRDefault="003715CC" w:rsidP="00600C79">
      <w:pPr>
        <w:pStyle w:val="af"/>
        <w:ind w:firstLine="720"/>
        <w:contextualSpacing/>
        <w:jc w:val="both"/>
        <w:rPr>
          <w:rFonts w:ascii="Times New Roman" w:hAnsi="Times New Roman" w:cs="Times New Roman"/>
          <w:bCs/>
          <w:sz w:val="28"/>
          <w:szCs w:val="28"/>
          <w:lang w:val="en-US"/>
        </w:rPr>
      </w:pPr>
    </w:p>
    <w:p w14:paraId="60ADB10E" w14:textId="609A99DD" w:rsidR="003715CC" w:rsidRPr="00244343" w:rsidRDefault="00600C79" w:rsidP="00174CFF">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Questions in the questionnaire were tested for internal consistency using Cronbach's Alpha [</w:t>
      </w:r>
      <w:r w:rsidR="001D41CA" w:rsidRPr="001D41CA">
        <w:rPr>
          <w:rFonts w:ascii="Times New Roman" w:hAnsi="Times New Roman" w:cs="Times New Roman"/>
          <w:sz w:val="28"/>
          <w:szCs w:val="28"/>
          <w:lang w:val="en-US"/>
        </w:rPr>
        <w:t>217</w:t>
      </w:r>
      <w:r w:rsidRPr="00244343">
        <w:rPr>
          <w:rFonts w:ascii="Times New Roman" w:hAnsi="Times New Roman" w:cs="Times New Roman"/>
          <w:sz w:val="28"/>
          <w:szCs w:val="28"/>
          <w:lang w:val="en-US"/>
        </w:rPr>
        <w:t xml:space="preserve">]. The actual value of the Cronbach's Alpha was 0.723. Accordingly, it exceeded the minimum critical level equal to 0.7, which indicates sufficient relevance and consistency of the questionnaire questions (table </w:t>
      </w:r>
      <w:r>
        <w:rPr>
          <w:rFonts w:ascii="Times New Roman" w:hAnsi="Times New Roman" w:cs="Times New Roman"/>
          <w:sz w:val="28"/>
          <w:szCs w:val="28"/>
          <w:lang w:val="en-US"/>
        </w:rPr>
        <w:t>1</w:t>
      </w:r>
      <w:r w:rsidR="00EA4360">
        <w:rPr>
          <w:rFonts w:ascii="Times New Roman" w:hAnsi="Times New Roman" w:cs="Times New Roman"/>
          <w:sz w:val="28"/>
          <w:szCs w:val="28"/>
          <w:lang w:val="en-US"/>
        </w:rPr>
        <w:t>4</w:t>
      </w:r>
      <w:r w:rsidRPr="00244343">
        <w:rPr>
          <w:rFonts w:ascii="Times New Roman" w:hAnsi="Times New Roman" w:cs="Times New Roman"/>
          <w:sz w:val="28"/>
          <w:szCs w:val="28"/>
          <w:lang w:val="en-US"/>
        </w:rPr>
        <w:t>, 1</w:t>
      </w:r>
      <w:r w:rsidR="00EA4360">
        <w:rPr>
          <w:rFonts w:ascii="Times New Roman" w:hAnsi="Times New Roman" w:cs="Times New Roman"/>
          <w:sz w:val="28"/>
          <w:szCs w:val="28"/>
          <w:lang w:val="en-US"/>
        </w:rPr>
        <w:t>5</w:t>
      </w:r>
      <w:r w:rsidRPr="00244343">
        <w:rPr>
          <w:rFonts w:ascii="Times New Roman" w:hAnsi="Times New Roman" w:cs="Times New Roman"/>
          <w:sz w:val="28"/>
          <w:szCs w:val="28"/>
          <w:lang w:val="en-US"/>
        </w:rPr>
        <w:t>). Since the Alpha Cronbach validity testing was performed via SPSS, the following steps were taken in SPSS s</w:t>
      </w:r>
      <w:r>
        <w:rPr>
          <w:rFonts w:ascii="Times New Roman" w:hAnsi="Times New Roman" w:cs="Times New Roman"/>
          <w:sz w:val="28"/>
          <w:szCs w:val="28"/>
          <w:lang w:val="en-US"/>
        </w:rPr>
        <w:t>o</w:t>
      </w:r>
      <w:r w:rsidRPr="00244343">
        <w:rPr>
          <w:rFonts w:ascii="Times New Roman" w:hAnsi="Times New Roman" w:cs="Times New Roman"/>
          <w:sz w:val="28"/>
          <w:szCs w:val="28"/>
          <w:lang w:val="en-US"/>
        </w:rPr>
        <w:t>ftware program:</w:t>
      </w:r>
    </w:p>
    <w:p w14:paraId="460A06B7" w14:textId="77777777"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-Select Analyze -&gt; Scale -&gt; Reliability Analysis</w:t>
      </w:r>
    </w:p>
    <w:p w14:paraId="09B066FC" w14:textId="77777777"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-Select Reset (recommended)</w:t>
      </w:r>
    </w:p>
    <w:p w14:paraId="4F6B967B" w14:textId="77777777"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lastRenderedPageBreak/>
        <w:t>-Transfer the scale items to the Items box.</w:t>
      </w:r>
    </w:p>
    <w:p w14:paraId="6D78CAB7" w14:textId="77777777"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-Verify that the chosen Model choice is Alpha.</w:t>
      </w:r>
    </w:p>
    <w:p w14:paraId="4E05CD1C" w14:textId="77777777"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-Select the Statistics button.</w:t>
      </w:r>
    </w:p>
    <w:p w14:paraId="4F9A841C" w14:textId="77777777"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-Select Item, Scale, and Scale under </w:t>
      </w:r>
      <w:proofErr w:type="spellStart"/>
      <w:r w:rsidRPr="00244343">
        <w:rPr>
          <w:rFonts w:ascii="Times New Roman" w:hAnsi="Times New Roman" w:cs="Times New Roman"/>
          <w:sz w:val="28"/>
          <w:szCs w:val="28"/>
          <w:lang w:val="en-US"/>
        </w:rPr>
        <w:t>Descriptives</w:t>
      </w:r>
      <w:proofErr w:type="spellEnd"/>
      <w:r w:rsidRPr="00244343">
        <w:rPr>
          <w:rFonts w:ascii="Times New Roman" w:hAnsi="Times New Roman" w:cs="Times New Roman"/>
          <w:sz w:val="28"/>
          <w:szCs w:val="28"/>
          <w:lang w:val="en-US"/>
        </w:rPr>
        <w:t>. if the item is deleted</w:t>
      </w:r>
    </w:p>
    <w:p w14:paraId="75CB1750" w14:textId="77777777"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-Select Correlations under Inter-Item.</w:t>
      </w:r>
    </w:p>
    <w:p w14:paraId="0B4A3C8B" w14:textId="74F6A7BD"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-Select Continue. Select OK. The number of items selected in this research is 35 (Table 1</w:t>
      </w:r>
      <w:r w:rsidR="00EA4360">
        <w:rPr>
          <w:rFonts w:ascii="Times New Roman" w:hAnsi="Times New Roman" w:cs="Times New Roman"/>
          <w:sz w:val="28"/>
          <w:szCs w:val="28"/>
          <w:lang w:val="en-US"/>
        </w:rPr>
        <w:t>5</w:t>
      </w:r>
      <w:r w:rsidRPr="00244343">
        <w:rPr>
          <w:rFonts w:ascii="Times New Roman" w:hAnsi="Times New Roman" w:cs="Times New Roman"/>
          <w:sz w:val="28"/>
          <w:szCs w:val="28"/>
          <w:lang w:val="en-US"/>
        </w:rPr>
        <w:t xml:space="preserve">). </w:t>
      </w:r>
    </w:p>
    <w:p w14:paraId="372FC65B" w14:textId="77777777" w:rsidR="003715CC" w:rsidRDefault="003715CC" w:rsidP="00600C79">
      <w:pPr>
        <w:pStyle w:val="af"/>
        <w:ind w:firstLine="720"/>
        <w:contextualSpacing/>
        <w:jc w:val="both"/>
        <w:rPr>
          <w:rFonts w:ascii="Times New Roman" w:hAnsi="Times New Roman" w:cs="Times New Roman"/>
          <w:sz w:val="28"/>
          <w:szCs w:val="28"/>
          <w:lang w:val="en-US"/>
        </w:rPr>
      </w:pPr>
      <w:bookmarkStart w:id="19" w:name="_Toc146656853"/>
    </w:p>
    <w:p w14:paraId="6357E297" w14:textId="23640184" w:rsidR="00600C79" w:rsidRDefault="00600C79" w:rsidP="00600C79">
      <w:pPr>
        <w:pStyle w:val="af"/>
        <w:ind w:firstLine="720"/>
        <w:contextualSpacing/>
        <w:jc w:val="both"/>
        <w:rPr>
          <w:rFonts w:ascii="Times New Roman" w:hAnsi="Times New Roman" w:cs="Times New Roman"/>
          <w:sz w:val="28"/>
          <w:szCs w:val="28"/>
          <w:lang w:val="en-US"/>
        </w:rPr>
      </w:pPr>
      <w:r w:rsidRPr="00BC3BC1">
        <w:rPr>
          <w:rFonts w:ascii="Times New Roman" w:hAnsi="Times New Roman" w:cs="Times New Roman"/>
          <w:sz w:val="28"/>
          <w:szCs w:val="28"/>
          <w:lang w:val="en-US"/>
        </w:rPr>
        <w:t>Table 1</w:t>
      </w:r>
      <w:r w:rsidR="00EA4360">
        <w:rPr>
          <w:rFonts w:ascii="Times New Roman" w:hAnsi="Times New Roman" w:cs="Times New Roman"/>
          <w:sz w:val="28"/>
          <w:szCs w:val="28"/>
          <w:lang w:val="en-US"/>
        </w:rPr>
        <w:t>4</w:t>
      </w:r>
      <w:r w:rsidRPr="00BC3BC1">
        <w:rPr>
          <w:rFonts w:ascii="Times New Roman" w:hAnsi="Times New Roman" w:cs="Times New Roman"/>
          <w:sz w:val="28"/>
          <w:szCs w:val="28"/>
          <w:lang w:val="en-US"/>
        </w:rPr>
        <w:t xml:space="preserve"> </w:t>
      </w:r>
      <w:r w:rsidR="009D289D">
        <w:rPr>
          <w:rFonts w:ascii="Times New Roman" w:hAnsi="Times New Roman" w:cs="Times New Roman"/>
          <w:sz w:val="28"/>
          <w:szCs w:val="28"/>
          <w:lang w:val="en-US"/>
        </w:rPr>
        <w:t>–</w:t>
      </w:r>
      <w:r w:rsidRPr="00BC3BC1">
        <w:rPr>
          <w:rFonts w:ascii="Times New Roman" w:hAnsi="Times New Roman" w:cs="Times New Roman"/>
          <w:sz w:val="28"/>
          <w:szCs w:val="28"/>
          <w:lang w:val="en-US"/>
        </w:rPr>
        <w:t xml:space="preserve"> Cronbach's alpha reliability scale</w:t>
      </w:r>
      <w:bookmarkEnd w:id="19"/>
    </w:p>
    <w:p w14:paraId="35C44CC8" w14:textId="77777777" w:rsidR="003715CC" w:rsidRPr="00BC3BC1" w:rsidRDefault="003715CC" w:rsidP="00600C79">
      <w:pPr>
        <w:pStyle w:val="af"/>
        <w:ind w:firstLine="720"/>
        <w:contextualSpacing/>
        <w:jc w:val="both"/>
        <w:rPr>
          <w:rFonts w:ascii="Times New Roman" w:hAnsi="Times New Roman" w:cs="Times New Roman"/>
          <w:sz w:val="28"/>
          <w:szCs w:val="28"/>
          <w:lang w:val="en-US"/>
        </w:rPr>
      </w:pPr>
    </w:p>
    <w:tbl>
      <w:tblPr>
        <w:tblW w:w="79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4252"/>
      </w:tblGrid>
      <w:tr w:rsidR="00600C79" w:rsidRPr="00244343" w14:paraId="0F0DBFF2" w14:textId="77777777" w:rsidTr="00174CFF">
        <w:trPr>
          <w:trHeight w:val="325"/>
        </w:trPr>
        <w:tc>
          <w:tcPr>
            <w:tcW w:w="3691" w:type="dxa"/>
            <w:shd w:val="clear" w:color="auto" w:fill="auto"/>
            <w:noWrap/>
            <w:vAlign w:val="bottom"/>
            <w:hideMark/>
          </w:tcPr>
          <w:p w14:paraId="3D9C93CC" w14:textId="77777777" w:rsidR="00600C79" w:rsidRPr="00174CFF" w:rsidRDefault="00600C79" w:rsidP="004524BE">
            <w:pPr>
              <w:spacing w:after="0" w:line="240" w:lineRule="auto"/>
              <w:ind w:firstLine="720"/>
              <w:contextualSpacing/>
              <w:jc w:val="center"/>
              <w:rPr>
                <w:rFonts w:ascii="Times New Roman" w:eastAsia="Times New Roman" w:hAnsi="Times New Roman" w:cs="Times New Roman"/>
                <w:b/>
                <w:bCs/>
                <w:sz w:val="28"/>
                <w:szCs w:val="28"/>
                <w:lang w:val="en-US"/>
              </w:rPr>
            </w:pPr>
            <w:r w:rsidRPr="00174CFF">
              <w:rPr>
                <w:rFonts w:ascii="Times New Roman" w:eastAsia="Times New Roman" w:hAnsi="Times New Roman" w:cs="Times New Roman"/>
                <w:b/>
                <w:bCs/>
                <w:sz w:val="28"/>
                <w:szCs w:val="28"/>
                <w:lang w:val="en-US"/>
              </w:rPr>
              <w:t>α</w:t>
            </w:r>
          </w:p>
        </w:tc>
        <w:tc>
          <w:tcPr>
            <w:tcW w:w="4252" w:type="dxa"/>
            <w:shd w:val="clear" w:color="auto" w:fill="auto"/>
            <w:noWrap/>
            <w:vAlign w:val="bottom"/>
            <w:hideMark/>
          </w:tcPr>
          <w:p w14:paraId="3ADEC3E3" w14:textId="77777777" w:rsidR="00600C79" w:rsidRPr="00174CFF" w:rsidRDefault="00600C79" w:rsidP="004524BE">
            <w:pPr>
              <w:spacing w:after="0" w:line="240" w:lineRule="auto"/>
              <w:ind w:firstLine="720"/>
              <w:contextualSpacing/>
              <w:jc w:val="center"/>
              <w:rPr>
                <w:rFonts w:ascii="Times New Roman" w:eastAsia="Times New Roman" w:hAnsi="Times New Roman" w:cs="Times New Roman"/>
                <w:b/>
                <w:bCs/>
                <w:sz w:val="28"/>
                <w:szCs w:val="28"/>
                <w:lang w:val="en-US"/>
              </w:rPr>
            </w:pPr>
            <w:r w:rsidRPr="00174CFF">
              <w:rPr>
                <w:rFonts w:ascii="Times New Roman" w:eastAsia="Times New Roman" w:hAnsi="Times New Roman" w:cs="Times New Roman"/>
                <w:b/>
                <w:bCs/>
                <w:sz w:val="28"/>
                <w:szCs w:val="28"/>
                <w:lang w:val="en-US"/>
              </w:rPr>
              <w:t>Value</w:t>
            </w:r>
          </w:p>
        </w:tc>
      </w:tr>
      <w:tr w:rsidR="00600C79" w:rsidRPr="00244343" w14:paraId="42B532EB" w14:textId="77777777" w:rsidTr="00174CFF">
        <w:trPr>
          <w:trHeight w:val="415"/>
        </w:trPr>
        <w:tc>
          <w:tcPr>
            <w:tcW w:w="3691" w:type="dxa"/>
            <w:shd w:val="clear" w:color="auto" w:fill="auto"/>
            <w:noWrap/>
            <w:vAlign w:val="bottom"/>
            <w:hideMark/>
          </w:tcPr>
          <w:p w14:paraId="1D8970A5" w14:textId="77777777" w:rsidR="00600C79" w:rsidRPr="00244343" w:rsidRDefault="00600C79" w:rsidP="004524BE">
            <w:pPr>
              <w:spacing w:after="0" w:line="240" w:lineRule="auto"/>
              <w:ind w:firstLine="720"/>
              <w:contextualSpacing/>
              <w:jc w:val="center"/>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&gt;0,9</w:t>
            </w:r>
          </w:p>
        </w:tc>
        <w:tc>
          <w:tcPr>
            <w:tcW w:w="4252" w:type="dxa"/>
            <w:shd w:val="clear" w:color="auto" w:fill="auto"/>
            <w:noWrap/>
            <w:hideMark/>
          </w:tcPr>
          <w:p w14:paraId="3CB33997" w14:textId="77777777" w:rsidR="00600C79" w:rsidRPr="00244343" w:rsidRDefault="00600C79" w:rsidP="004524BE">
            <w:pPr>
              <w:spacing w:after="0" w:line="240" w:lineRule="auto"/>
              <w:ind w:firstLine="720"/>
              <w:contextualSpacing/>
              <w:jc w:val="center"/>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rPr>
              <w:t>very good</w:t>
            </w:r>
          </w:p>
        </w:tc>
      </w:tr>
      <w:tr w:rsidR="00600C79" w:rsidRPr="00244343" w14:paraId="6681B2CB" w14:textId="77777777" w:rsidTr="00174CFF">
        <w:trPr>
          <w:trHeight w:val="364"/>
        </w:trPr>
        <w:tc>
          <w:tcPr>
            <w:tcW w:w="3691" w:type="dxa"/>
            <w:shd w:val="clear" w:color="auto" w:fill="auto"/>
            <w:noWrap/>
            <w:vAlign w:val="bottom"/>
            <w:hideMark/>
          </w:tcPr>
          <w:p w14:paraId="3C6F2BC7" w14:textId="77777777" w:rsidR="00600C79" w:rsidRPr="00244343" w:rsidRDefault="00600C79" w:rsidP="004524BE">
            <w:pPr>
              <w:spacing w:after="0" w:line="240" w:lineRule="auto"/>
              <w:ind w:firstLine="720"/>
              <w:contextualSpacing/>
              <w:jc w:val="center"/>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&gt;0,8</w:t>
            </w:r>
          </w:p>
        </w:tc>
        <w:tc>
          <w:tcPr>
            <w:tcW w:w="4252" w:type="dxa"/>
            <w:shd w:val="clear" w:color="auto" w:fill="auto"/>
            <w:noWrap/>
            <w:hideMark/>
          </w:tcPr>
          <w:p w14:paraId="0FEF32EF" w14:textId="77777777" w:rsidR="00600C79" w:rsidRPr="00244343" w:rsidRDefault="00600C79" w:rsidP="004524BE">
            <w:pPr>
              <w:spacing w:after="0" w:line="240" w:lineRule="auto"/>
              <w:ind w:firstLine="720"/>
              <w:contextualSpacing/>
              <w:jc w:val="center"/>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rPr>
              <w:t>good</w:t>
            </w:r>
          </w:p>
        </w:tc>
      </w:tr>
      <w:tr w:rsidR="00600C79" w:rsidRPr="00244343" w14:paraId="323B9745" w14:textId="77777777" w:rsidTr="00174CFF">
        <w:trPr>
          <w:trHeight w:val="411"/>
        </w:trPr>
        <w:tc>
          <w:tcPr>
            <w:tcW w:w="3691" w:type="dxa"/>
            <w:shd w:val="clear" w:color="auto" w:fill="auto"/>
            <w:noWrap/>
            <w:vAlign w:val="bottom"/>
            <w:hideMark/>
          </w:tcPr>
          <w:p w14:paraId="18B509E3" w14:textId="77777777" w:rsidR="00600C79" w:rsidRPr="00244343" w:rsidRDefault="00600C79" w:rsidP="004524BE">
            <w:pPr>
              <w:spacing w:after="0" w:line="240" w:lineRule="auto"/>
              <w:ind w:firstLine="720"/>
              <w:contextualSpacing/>
              <w:jc w:val="center"/>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&gt;0,7</w:t>
            </w:r>
          </w:p>
        </w:tc>
        <w:tc>
          <w:tcPr>
            <w:tcW w:w="4252" w:type="dxa"/>
            <w:shd w:val="clear" w:color="auto" w:fill="auto"/>
            <w:noWrap/>
            <w:hideMark/>
          </w:tcPr>
          <w:p w14:paraId="744911C5" w14:textId="77777777" w:rsidR="00600C79" w:rsidRPr="00244343" w:rsidRDefault="00600C79" w:rsidP="004524BE">
            <w:pPr>
              <w:spacing w:after="0" w:line="240" w:lineRule="auto"/>
              <w:ind w:firstLine="720"/>
              <w:contextualSpacing/>
              <w:jc w:val="center"/>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rPr>
              <w:t>sufficient</w:t>
            </w:r>
          </w:p>
        </w:tc>
      </w:tr>
      <w:tr w:rsidR="00600C79" w:rsidRPr="00244343" w14:paraId="4EF9A708" w14:textId="77777777" w:rsidTr="00174CFF">
        <w:trPr>
          <w:trHeight w:val="463"/>
        </w:trPr>
        <w:tc>
          <w:tcPr>
            <w:tcW w:w="3691" w:type="dxa"/>
            <w:shd w:val="clear" w:color="auto" w:fill="auto"/>
            <w:noWrap/>
            <w:vAlign w:val="bottom"/>
            <w:hideMark/>
          </w:tcPr>
          <w:p w14:paraId="332710B4" w14:textId="77777777" w:rsidR="00600C79" w:rsidRPr="00244343" w:rsidRDefault="00600C79" w:rsidP="004524BE">
            <w:pPr>
              <w:spacing w:after="0" w:line="240" w:lineRule="auto"/>
              <w:ind w:firstLine="720"/>
              <w:contextualSpacing/>
              <w:jc w:val="center"/>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&gt;0,6</w:t>
            </w:r>
          </w:p>
        </w:tc>
        <w:tc>
          <w:tcPr>
            <w:tcW w:w="4252" w:type="dxa"/>
            <w:shd w:val="clear" w:color="auto" w:fill="auto"/>
            <w:noWrap/>
            <w:hideMark/>
          </w:tcPr>
          <w:p w14:paraId="7CB88CAC" w14:textId="77777777" w:rsidR="00600C79" w:rsidRPr="00244343" w:rsidRDefault="00600C79" w:rsidP="004524BE">
            <w:pPr>
              <w:spacing w:after="0" w:line="240" w:lineRule="auto"/>
              <w:ind w:firstLine="720"/>
              <w:contextualSpacing/>
              <w:jc w:val="center"/>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rPr>
              <w:t>dubious</w:t>
            </w:r>
          </w:p>
        </w:tc>
      </w:tr>
      <w:tr w:rsidR="00600C79" w:rsidRPr="00244343" w14:paraId="6CC77EB0" w14:textId="77777777" w:rsidTr="00174CFF">
        <w:trPr>
          <w:trHeight w:val="427"/>
        </w:trPr>
        <w:tc>
          <w:tcPr>
            <w:tcW w:w="3691" w:type="dxa"/>
            <w:shd w:val="clear" w:color="auto" w:fill="auto"/>
            <w:noWrap/>
            <w:vAlign w:val="bottom"/>
            <w:hideMark/>
          </w:tcPr>
          <w:p w14:paraId="5A89C42F" w14:textId="77777777" w:rsidR="00600C79" w:rsidRPr="00244343" w:rsidRDefault="00600C79" w:rsidP="004524BE">
            <w:pPr>
              <w:spacing w:after="0" w:line="240" w:lineRule="auto"/>
              <w:ind w:firstLine="720"/>
              <w:contextualSpacing/>
              <w:jc w:val="center"/>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&gt;0,5</w:t>
            </w:r>
          </w:p>
        </w:tc>
        <w:tc>
          <w:tcPr>
            <w:tcW w:w="4252" w:type="dxa"/>
            <w:shd w:val="clear" w:color="auto" w:fill="auto"/>
            <w:noWrap/>
            <w:hideMark/>
          </w:tcPr>
          <w:p w14:paraId="72381696" w14:textId="77777777" w:rsidR="00600C79" w:rsidRPr="00244343" w:rsidRDefault="00600C79" w:rsidP="004524BE">
            <w:pPr>
              <w:spacing w:after="0" w:line="240" w:lineRule="auto"/>
              <w:ind w:firstLine="720"/>
              <w:contextualSpacing/>
              <w:jc w:val="center"/>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rPr>
              <w:t>bad</w:t>
            </w:r>
          </w:p>
        </w:tc>
      </w:tr>
      <w:tr w:rsidR="00600C79" w:rsidRPr="00244343" w14:paraId="15360110" w14:textId="77777777" w:rsidTr="00174CFF">
        <w:trPr>
          <w:trHeight w:val="419"/>
        </w:trPr>
        <w:tc>
          <w:tcPr>
            <w:tcW w:w="3691" w:type="dxa"/>
            <w:shd w:val="clear" w:color="auto" w:fill="auto"/>
            <w:noWrap/>
            <w:vAlign w:val="bottom"/>
            <w:hideMark/>
          </w:tcPr>
          <w:p w14:paraId="3C540C11" w14:textId="77777777" w:rsidR="00600C79" w:rsidRPr="00244343" w:rsidRDefault="00600C79" w:rsidP="004524BE">
            <w:pPr>
              <w:spacing w:after="0" w:line="240" w:lineRule="auto"/>
              <w:ind w:firstLine="720"/>
              <w:contextualSpacing/>
              <w:jc w:val="center"/>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&lt; 0,5</w:t>
            </w:r>
          </w:p>
        </w:tc>
        <w:tc>
          <w:tcPr>
            <w:tcW w:w="4252" w:type="dxa"/>
            <w:shd w:val="clear" w:color="auto" w:fill="auto"/>
            <w:noWrap/>
            <w:hideMark/>
          </w:tcPr>
          <w:p w14:paraId="7F5FB1D4" w14:textId="77777777" w:rsidR="00600C79" w:rsidRPr="00244343" w:rsidRDefault="00600C79" w:rsidP="004524BE">
            <w:pPr>
              <w:spacing w:after="0" w:line="240" w:lineRule="auto"/>
              <w:ind w:firstLine="720"/>
              <w:contextualSpacing/>
              <w:jc w:val="center"/>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rPr>
              <w:t>insufficient</w:t>
            </w:r>
          </w:p>
        </w:tc>
      </w:tr>
      <w:tr w:rsidR="00600C79" w:rsidRPr="000E0481" w14:paraId="738D399F" w14:textId="77777777" w:rsidTr="00174CFF">
        <w:trPr>
          <w:trHeight w:val="264"/>
        </w:trPr>
        <w:tc>
          <w:tcPr>
            <w:tcW w:w="7943" w:type="dxa"/>
            <w:gridSpan w:val="2"/>
            <w:shd w:val="clear" w:color="auto" w:fill="auto"/>
            <w:noWrap/>
            <w:vAlign w:val="bottom"/>
          </w:tcPr>
          <w:p w14:paraId="53D37DC8" w14:textId="26ED6CC0" w:rsidR="00600C79" w:rsidRPr="00244343" w:rsidRDefault="00600C79" w:rsidP="00174CFF">
            <w:pPr>
              <w:spacing w:after="0" w:line="240" w:lineRule="auto"/>
              <w:ind w:firstLine="720"/>
              <w:contextualSpacing/>
              <w:rPr>
                <w:rFonts w:ascii="Times New Roman" w:hAnsi="Times New Roman" w:cs="Times New Roman"/>
                <w:sz w:val="28"/>
                <w:szCs w:val="28"/>
                <w:lang w:val="en-US"/>
              </w:rPr>
            </w:pPr>
            <w:r w:rsidRPr="009D289D">
              <w:rPr>
                <w:rFonts w:ascii="Times New Roman" w:hAnsi="Times New Roman" w:cs="Times New Roman"/>
                <w:sz w:val="24"/>
                <w:szCs w:val="24"/>
                <w:lang w:val="en-US"/>
              </w:rPr>
              <w:t>Note – Compiled by author on the basis of [</w:t>
            </w:r>
            <w:r w:rsidR="008748D1" w:rsidRPr="009D289D">
              <w:rPr>
                <w:rFonts w:ascii="Times New Roman" w:hAnsi="Times New Roman" w:cs="Times New Roman"/>
                <w:sz w:val="24"/>
                <w:szCs w:val="24"/>
                <w:lang w:val="en-US"/>
              </w:rPr>
              <w:t>211</w:t>
            </w:r>
            <w:r w:rsidRPr="009D289D">
              <w:rPr>
                <w:rFonts w:ascii="Times New Roman" w:hAnsi="Times New Roman" w:cs="Times New Roman"/>
                <w:sz w:val="24"/>
                <w:szCs w:val="24"/>
                <w:lang w:val="en-US"/>
              </w:rPr>
              <w:t>]</w:t>
            </w:r>
          </w:p>
        </w:tc>
      </w:tr>
    </w:tbl>
    <w:p w14:paraId="0BE86C0C" w14:textId="46C252C6" w:rsidR="00600C79" w:rsidRDefault="00600C79" w:rsidP="00600C79">
      <w:pPr>
        <w:pStyle w:val="af"/>
        <w:ind w:firstLine="720"/>
        <w:contextualSpacing/>
        <w:jc w:val="both"/>
        <w:rPr>
          <w:rFonts w:ascii="Times New Roman" w:hAnsi="Times New Roman" w:cs="Times New Roman"/>
          <w:sz w:val="28"/>
          <w:szCs w:val="28"/>
          <w:lang w:val="en-US"/>
        </w:rPr>
      </w:pPr>
    </w:p>
    <w:p w14:paraId="6E85AF65" w14:textId="1F62C64C" w:rsidR="00600C79" w:rsidRDefault="00600C79" w:rsidP="00600C79">
      <w:pPr>
        <w:pStyle w:val="af"/>
        <w:ind w:firstLine="720"/>
        <w:contextualSpacing/>
        <w:jc w:val="both"/>
        <w:rPr>
          <w:rFonts w:ascii="Times New Roman" w:hAnsi="Times New Roman" w:cs="Times New Roman"/>
          <w:sz w:val="28"/>
          <w:szCs w:val="28"/>
          <w:lang w:val="en-US"/>
        </w:rPr>
      </w:pPr>
      <w:bookmarkStart w:id="20" w:name="_Toc146656854"/>
      <w:r w:rsidRPr="00BC3BC1">
        <w:rPr>
          <w:rFonts w:ascii="Times New Roman" w:hAnsi="Times New Roman" w:cs="Times New Roman"/>
          <w:sz w:val="28"/>
          <w:szCs w:val="28"/>
          <w:lang w:val="en-US"/>
        </w:rPr>
        <w:t>Table 1</w:t>
      </w:r>
      <w:r w:rsidR="00EA4360">
        <w:rPr>
          <w:rFonts w:ascii="Times New Roman" w:hAnsi="Times New Roman" w:cs="Times New Roman"/>
          <w:sz w:val="28"/>
          <w:szCs w:val="28"/>
          <w:lang w:val="en-US"/>
        </w:rPr>
        <w:t>5</w:t>
      </w:r>
      <w:r w:rsidRPr="00BC3BC1">
        <w:rPr>
          <w:rFonts w:ascii="Times New Roman" w:hAnsi="Times New Roman" w:cs="Times New Roman"/>
          <w:sz w:val="28"/>
          <w:szCs w:val="28"/>
          <w:lang w:val="en-US"/>
        </w:rPr>
        <w:t xml:space="preserve"> </w:t>
      </w:r>
      <w:r w:rsidR="009D289D">
        <w:rPr>
          <w:rFonts w:ascii="Times New Roman" w:hAnsi="Times New Roman" w:cs="Times New Roman"/>
          <w:sz w:val="28"/>
          <w:szCs w:val="28"/>
          <w:lang w:val="en-US"/>
        </w:rPr>
        <w:t>–</w:t>
      </w:r>
      <w:r w:rsidRPr="00BC3BC1">
        <w:rPr>
          <w:rFonts w:ascii="Times New Roman" w:hAnsi="Times New Roman" w:cs="Times New Roman"/>
          <w:sz w:val="28"/>
          <w:szCs w:val="28"/>
          <w:lang w:val="en-US"/>
        </w:rPr>
        <w:t xml:space="preserve"> Actual reliability statistics of Cronbach's Alpha coefficient</w:t>
      </w:r>
      <w:bookmarkEnd w:id="20"/>
    </w:p>
    <w:p w14:paraId="3E65B97B" w14:textId="77777777" w:rsidR="006466D8" w:rsidRPr="00BC3BC1" w:rsidRDefault="006466D8" w:rsidP="00600C79">
      <w:pPr>
        <w:pStyle w:val="af"/>
        <w:ind w:firstLine="720"/>
        <w:contextualSpacing/>
        <w:jc w:val="both"/>
        <w:rPr>
          <w:rFonts w:ascii="Times New Roman" w:hAnsi="Times New Roman" w:cs="Times New Roman"/>
          <w:sz w:val="28"/>
          <w:szCs w:val="28"/>
          <w:lang w:val="en-US"/>
        </w:rPr>
      </w:pPr>
    </w:p>
    <w:tbl>
      <w:tblPr>
        <w:tblW w:w="793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45"/>
        <w:gridCol w:w="4693"/>
      </w:tblGrid>
      <w:tr w:rsidR="00600C79" w:rsidRPr="00244343" w14:paraId="2F6F151F" w14:textId="77777777" w:rsidTr="00EC52F2">
        <w:trPr>
          <w:cantSplit/>
          <w:trHeight w:val="481"/>
        </w:trPr>
        <w:tc>
          <w:tcPr>
            <w:tcW w:w="3245" w:type="dxa"/>
            <w:shd w:val="clear" w:color="auto" w:fill="FFFFFF"/>
            <w:vAlign w:val="center"/>
          </w:tcPr>
          <w:p w14:paraId="19A6A7E3" w14:textId="77777777" w:rsidR="00600C79" w:rsidRPr="00244343" w:rsidRDefault="00600C79" w:rsidP="004524BE">
            <w:pPr>
              <w:autoSpaceDE w:val="0"/>
              <w:autoSpaceDN w:val="0"/>
              <w:adjustRightInd w:val="0"/>
              <w:spacing w:after="0" w:line="240" w:lineRule="auto"/>
              <w:ind w:left="62" w:right="62"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Cronbach's Alpha</w:t>
            </w:r>
          </w:p>
        </w:tc>
        <w:tc>
          <w:tcPr>
            <w:tcW w:w="4693" w:type="dxa"/>
            <w:shd w:val="clear" w:color="auto" w:fill="FFFFFF"/>
            <w:vAlign w:val="center"/>
          </w:tcPr>
          <w:p w14:paraId="29835C0D" w14:textId="77777777" w:rsidR="00600C79" w:rsidRPr="00244343" w:rsidRDefault="00600C79" w:rsidP="004524BE">
            <w:pPr>
              <w:autoSpaceDE w:val="0"/>
              <w:autoSpaceDN w:val="0"/>
              <w:adjustRightInd w:val="0"/>
              <w:spacing w:after="0" w:line="240" w:lineRule="auto"/>
              <w:ind w:left="62" w:right="62"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N of Items</w:t>
            </w:r>
          </w:p>
        </w:tc>
      </w:tr>
      <w:tr w:rsidR="00600C79" w:rsidRPr="00244343" w14:paraId="6E39A680" w14:textId="77777777" w:rsidTr="00EC52F2">
        <w:trPr>
          <w:cantSplit/>
          <w:trHeight w:val="572"/>
        </w:trPr>
        <w:tc>
          <w:tcPr>
            <w:tcW w:w="3245" w:type="dxa"/>
            <w:shd w:val="clear" w:color="auto" w:fill="FFFFFF"/>
            <w:vAlign w:val="center"/>
          </w:tcPr>
          <w:p w14:paraId="538A1B28" w14:textId="77777777" w:rsidR="00600C79" w:rsidRPr="00244343" w:rsidRDefault="00600C79" w:rsidP="004524BE">
            <w:pPr>
              <w:autoSpaceDE w:val="0"/>
              <w:autoSpaceDN w:val="0"/>
              <w:adjustRightInd w:val="0"/>
              <w:spacing w:after="0" w:line="240" w:lineRule="auto"/>
              <w:ind w:left="62" w:right="62"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,723</w:t>
            </w:r>
          </w:p>
        </w:tc>
        <w:tc>
          <w:tcPr>
            <w:tcW w:w="4693" w:type="dxa"/>
            <w:shd w:val="clear" w:color="auto" w:fill="FFFFFF"/>
            <w:vAlign w:val="center"/>
          </w:tcPr>
          <w:p w14:paraId="74409FA6" w14:textId="77777777" w:rsidR="00600C79" w:rsidRPr="00244343" w:rsidRDefault="00600C79" w:rsidP="004524BE">
            <w:pPr>
              <w:autoSpaceDE w:val="0"/>
              <w:autoSpaceDN w:val="0"/>
              <w:adjustRightInd w:val="0"/>
              <w:spacing w:after="0" w:line="240" w:lineRule="auto"/>
              <w:ind w:left="62" w:right="62"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35</w:t>
            </w:r>
          </w:p>
        </w:tc>
      </w:tr>
      <w:tr w:rsidR="00600C79" w:rsidRPr="000E0481" w14:paraId="31CE5384" w14:textId="77777777" w:rsidTr="00EC52F2">
        <w:trPr>
          <w:cantSplit/>
          <w:trHeight w:val="410"/>
        </w:trPr>
        <w:tc>
          <w:tcPr>
            <w:tcW w:w="7938" w:type="dxa"/>
            <w:gridSpan w:val="2"/>
            <w:shd w:val="clear" w:color="auto" w:fill="FFFFFF"/>
            <w:vAlign w:val="center"/>
          </w:tcPr>
          <w:p w14:paraId="34B57ECD" w14:textId="241938C3" w:rsidR="00600C79" w:rsidRPr="00244343" w:rsidRDefault="00600C79" w:rsidP="00174CFF">
            <w:pPr>
              <w:autoSpaceDE w:val="0"/>
              <w:autoSpaceDN w:val="0"/>
              <w:adjustRightInd w:val="0"/>
              <w:spacing w:after="0" w:line="240" w:lineRule="auto"/>
              <w:ind w:left="62" w:right="62" w:firstLine="720"/>
              <w:contextualSpacing/>
              <w:rPr>
                <w:rFonts w:ascii="Times New Roman" w:hAnsi="Times New Roman" w:cs="Times New Roman"/>
                <w:sz w:val="28"/>
                <w:szCs w:val="28"/>
                <w:lang w:val="en-US"/>
              </w:rPr>
            </w:pPr>
            <w:r w:rsidRPr="009D289D">
              <w:rPr>
                <w:rFonts w:ascii="Times New Roman" w:hAnsi="Times New Roman" w:cs="Times New Roman"/>
                <w:sz w:val="24"/>
                <w:szCs w:val="24"/>
                <w:lang w:val="en-US"/>
              </w:rPr>
              <w:t>Note – Compiled by author based on [</w:t>
            </w:r>
            <w:r w:rsidR="001D41CA" w:rsidRPr="009D289D">
              <w:rPr>
                <w:rFonts w:ascii="Times New Roman" w:hAnsi="Times New Roman" w:cs="Times New Roman"/>
                <w:sz w:val="24"/>
                <w:szCs w:val="24"/>
                <w:lang w:val="en-US"/>
              </w:rPr>
              <w:t>218</w:t>
            </w:r>
            <w:r w:rsidRPr="009D289D">
              <w:rPr>
                <w:rFonts w:ascii="Times New Roman" w:hAnsi="Times New Roman" w:cs="Times New Roman"/>
                <w:sz w:val="24"/>
                <w:szCs w:val="24"/>
                <w:lang w:val="en-US"/>
              </w:rPr>
              <w:t>]</w:t>
            </w:r>
          </w:p>
        </w:tc>
      </w:tr>
    </w:tbl>
    <w:p w14:paraId="5366CF03" w14:textId="77777777" w:rsidR="00600C79" w:rsidRPr="00244343" w:rsidRDefault="00600C79" w:rsidP="00600C79">
      <w:pPr>
        <w:pStyle w:val="af"/>
        <w:ind w:firstLine="720"/>
        <w:contextualSpacing/>
        <w:jc w:val="both"/>
        <w:rPr>
          <w:rFonts w:ascii="Times New Roman" w:hAnsi="Times New Roman" w:cs="Times New Roman"/>
          <w:sz w:val="28"/>
          <w:szCs w:val="28"/>
          <w:lang w:val="en-US"/>
        </w:rPr>
      </w:pPr>
    </w:p>
    <w:p w14:paraId="2A207AAF" w14:textId="77777777"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value of the </w:t>
      </w:r>
      <w:r w:rsidRPr="00C0242D">
        <w:rPr>
          <w:rFonts w:ascii="Times New Roman" w:hAnsi="Times New Roman" w:cs="Times New Roman"/>
          <w:i/>
          <w:iCs/>
          <w:sz w:val="28"/>
          <w:szCs w:val="28"/>
          <w:lang w:val="en-US"/>
        </w:rPr>
        <w:t>Cronbach's Alpha coefficient exceeded the level of 0.7,</w:t>
      </w:r>
      <w:r w:rsidRPr="00244343">
        <w:rPr>
          <w:rFonts w:ascii="Times New Roman" w:hAnsi="Times New Roman" w:cs="Times New Roman"/>
          <w:sz w:val="28"/>
          <w:szCs w:val="28"/>
          <w:lang w:val="en-US"/>
        </w:rPr>
        <w:t xml:space="preserve"> which indicates sufficient relevance and consistency of the questionnaire questions.</w:t>
      </w:r>
    </w:p>
    <w:p w14:paraId="0BC0411D" w14:textId="7286A435" w:rsidR="003715CC" w:rsidRPr="00244343" w:rsidRDefault="00600C79" w:rsidP="00174CFF">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sample size was determined according to the formula for calculating the sample size for estimating the share of a trait in the general population. As a result, the estimated sample size was 300 people.</w:t>
      </w:r>
    </w:p>
    <w:p w14:paraId="2D212DCA" w14:textId="72780F38" w:rsidR="00ED26A8" w:rsidRDefault="00ED26A8" w:rsidP="00ED26A8">
      <w:pPr>
        <w:pStyle w:val="af"/>
        <w:contextualSpacing/>
        <w:jc w:val="both"/>
        <w:rPr>
          <w:rFonts w:ascii="Times New Roman" w:hAnsi="Times New Roman" w:cs="Times New Roman"/>
          <w:sz w:val="28"/>
          <w:szCs w:val="28"/>
          <w:lang w:val="en-US"/>
        </w:rPr>
      </w:pPr>
    </w:p>
    <w:p w14:paraId="02ECBDED" w14:textId="77777777" w:rsidR="00ED26A8" w:rsidRPr="00244343" w:rsidRDefault="00ED26A8" w:rsidP="00ED26A8">
      <w:pPr>
        <w:pStyle w:val="af"/>
        <w:contextualSpacing/>
        <w:jc w:val="both"/>
        <w:rPr>
          <w:rFonts w:ascii="Times New Roman" w:hAnsi="Times New Roman" w:cs="Times New Roman"/>
          <w:sz w:val="28"/>
          <w:szCs w:val="28"/>
          <w:lang w:val="en-US"/>
        </w:rPr>
      </w:pPr>
    </w:p>
    <w:p w14:paraId="3F0DBD0E" w14:textId="77777777" w:rsidR="00600C79" w:rsidRPr="00F70CBC" w:rsidRDefault="00600C79" w:rsidP="00600C79">
      <w:pPr>
        <w:spacing w:after="0" w:line="240" w:lineRule="auto"/>
        <w:ind w:firstLine="720"/>
        <w:contextualSpacing/>
        <w:jc w:val="right"/>
        <w:rPr>
          <w:rFonts w:ascii="Times New Roman" w:eastAsia="Times New Roman" w:hAnsi="Times New Roman" w:cs="Times New Roman"/>
          <w:i/>
          <w:sz w:val="28"/>
          <w:szCs w:val="28"/>
          <w:lang w:val="en-US"/>
        </w:rPr>
      </w:pPr>
      <m:oMath>
        <m:r>
          <w:rPr>
            <w:rFonts w:ascii="Cambria Math" w:eastAsia="Times New Roman" w:hAnsi="Cambria Math" w:cs="Times New Roman"/>
            <w:sz w:val="32"/>
            <w:szCs w:val="32"/>
          </w:rPr>
          <m:t>n</m:t>
        </m:r>
        <m:r>
          <w:rPr>
            <w:rFonts w:ascii="Cambria Math" w:eastAsia="Times New Roman" w:hAnsi="Cambria Math" w:cs="Times New Roman"/>
            <w:sz w:val="32"/>
            <w:szCs w:val="32"/>
            <w:lang w:val="en-US"/>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z</m:t>
                </m:r>
              </m:e>
              <m:sup>
                <m:r>
                  <w:rPr>
                    <w:rFonts w:ascii="Cambria Math" w:eastAsia="Times New Roman" w:hAnsi="Cambria Math" w:cs="Times New Roman"/>
                    <w:sz w:val="32"/>
                    <w:szCs w:val="32"/>
                    <w:lang w:val="en-US"/>
                  </w:rPr>
                  <m:t>2</m:t>
                </m:r>
              </m:sup>
            </m:sSup>
            <m:r>
              <w:rPr>
                <w:rFonts w:ascii="Cambria Math" w:eastAsia="Times New Roman" w:hAnsi="Cambria Math" w:cs="Times New Roman"/>
                <w:sz w:val="32"/>
                <w:szCs w:val="32"/>
                <w:lang w:val="en-US"/>
              </w:rPr>
              <m:t>*</m:t>
            </m:r>
            <m:r>
              <w:rPr>
                <w:rFonts w:ascii="Cambria Math" w:eastAsia="Times New Roman" w:hAnsi="Cambria Math" w:cs="Times New Roman"/>
                <w:sz w:val="32"/>
                <w:szCs w:val="32"/>
              </w:rPr>
              <m:t>p</m:t>
            </m:r>
            <m:r>
              <w:rPr>
                <w:rFonts w:ascii="Cambria Math" w:eastAsia="Times New Roman" w:hAnsi="Cambria Math" w:cs="Times New Roman"/>
                <w:sz w:val="32"/>
                <w:szCs w:val="32"/>
                <w:lang w:val="en-US"/>
              </w:rPr>
              <m:t>(1-</m:t>
            </m:r>
            <m:r>
              <w:rPr>
                <w:rFonts w:ascii="Cambria Math" w:eastAsia="Times New Roman" w:hAnsi="Cambria Math" w:cs="Times New Roman"/>
                <w:sz w:val="32"/>
                <w:szCs w:val="32"/>
              </w:rPr>
              <m:t>p</m:t>
            </m:r>
            <m:r>
              <w:rPr>
                <w:rFonts w:ascii="Cambria Math" w:eastAsia="Times New Roman" w:hAnsi="Cambria Math" w:cs="Times New Roman"/>
                <w:sz w:val="32"/>
                <w:szCs w:val="32"/>
                <w:lang w:val="en-US"/>
              </w:rPr>
              <m:t>)</m:t>
            </m:r>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e</m:t>
                </m:r>
              </m:e>
              <m:sup>
                <m:r>
                  <w:rPr>
                    <w:rFonts w:ascii="Cambria Math" w:eastAsia="Times New Roman" w:hAnsi="Cambria Math" w:cs="Times New Roman"/>
                    <w:sz w:val="32"/>
                    <w:szCs w:val="32"/>
                    <w:lang w:val="en-US"/>
                  </w:rPr>
                  <m:t>2</m:t>
                </m:r>
              </m:sup>
            </m:sSup>
          </m:den>
        </m:f>
        <m:r>
          <w:rPr>
            <w:rFonts w:ascii="Cambria Math" w:eastAsia="Times New Roman" w:hAnsi="Cambria Math" w:cs="Times New Roman"/>
            <w:sz w:val="32"/>
            <w:szCs w:val="32"/>
            <w:lang w:val="en-US"/>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1,96</m:t>
                </m:r>
              </m:e>
              <m:sup>
                <m:r>
                  <w:rPr>
                    <w:rFonts w:ascii="Cambria Math" w:eastAsia="Times New Roman" w:hAnsi="Cambria Math" w:cs="Times New Roman"/>
                    <w:sz w:val="32"/>
                    <w:szCs w:val="32"/>
                    <w:lang w:val="en-US"/>
                  </w:rPr>
                  <m:t>2</m:t>
                </m:r>
              </m:sup>
            </m:sSup>
            <m:r>
              <w:rPr>
                <w:rFonts w:ascii="Cambria Math" w:eastAsia="Times New Roman" w:hAnsi="Cambria Math" w:cs="Times New Roman"/>
                <w:sz w:val="32"/>
                <w:szCs w:val="32"/>
                <w:lang w:val="en-US"/>
              </w:rPr>
              <m:t>*0,25(1-0,25)</m:t>
            </m:r>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0,05</m:t>
                </m:r>
              </m:e>
              <m:sup>
                <m:r>
                  <w:rPr>
                    <w:rFonts w:ascii="Cambria Math" w:eastAsia="Times New Roman" w:hAnsi="Cambria Math" w:cs="Times New Roman"/>
                    <w:sz w:val="32"/>
                    <w:szCs w:val="32"/>
                    <w:lang w:val="en-US"/>
                  </w:rPr>
                  <m:t>2</m:t>
                </m:r>
              </m:sup>
            </m:sSup>
          </m:den>
        </m:f>
        <m:r>
          <w:rPr>
            <w:rFonts w:ascii="Cambria Math" w:eastAsia="Times New Roman" w:hAnsi="Cambria Math" w:cs="Times New Roman"/>
            <w:sz w:val="32"/>
            <w:szCs w:val="32"/>
            <w:lang w:val="en-US"/>
          </w:rPr>
          <m:t>=289,</m:t>
        </m:r>
      </m:oMath>
      <w:r w:rsidRPr="00244343">
        <w:rPr>
          <w:rFonts w:ascii="Times New Roman" w:eastAsia="Times New Roman" w:hAnsi="Times New Roman" w:cs="Times New Roman"/>
          <w:i/>
          <w:sz w:val="28"/>
          <w:szCs w:val="28"/>
          <w:lang w:val="en-US"/>
        </w:rPr>
        <w:t xml:space="preserve">                                      </w:t>
      </w:r>
      <w:r w:rsidRPr="00244343">
        <w:rPr>
          <w:rFonts w:ascii="Times New Roman" w:eastAsia="Times New Roman" w:hAnsi="Times New Roman" w:cs="Times New Roman"/>
          <w:sz w:val="28"/>
          <w:szCs w:val="28"/>
          <w:lang w:val="en-US"/>
        </w:rPr>
        <w:t xml:space="preserve">(3) </w:t>
      </w:r>
    </w:p>
    <w:p w14:paraId="32975438" w14:textId="31E539EE" w:rsidR="00174CFF" w:rsidRDefault="00174CFF" w:rsidP="00600C79">
      <w:pPr>
        <w:pStyle w:val="af"/>
        <w:ind w:firstLine="720"/>
        <w:contextualSpacing/>
        <w:jc w:val="both"/>
        <w:rPr>
          <w:rFonts w:ascii="Times New Roman" w:hAnsi="Times New Roman" w:cs="Times New Roman"/>
          <w:sz w:val="28"/>
          <w:szCs w:val="28"/>
          <w:lang w:val="en-US"/>
        </w:rPr>
      </w:pPr>
    </w:p>
    <w:p w14:paraId="73E6E11E" w14:textId="77777777" w:rsidR="00950946" w:rsidRDefault="00950946" w:rsidP="00ED26A8">
      <w:pPr>
        <w:pStyle w:val="af"/>
        <w:contextualSpacing/>
        <w:jc w:val="both"/>
        <w:rPr>
          <w:rFonts w:ascii="Times New Roman" w:hAnsi="Times New Roman" w:cs="Times New Roman"/>
          <w:sz w:val="28"/>
          <w:szCs w:val="28"/>
          <w:lang w:val="en-US"/>
        </w:rPr>
      </w:pPr>
    </w:p>
    <w:p w14:paraId="0D1A9E2D" w14:textId="79970B3E" w:rsidR="00600C79" w:rsidRPr="00F70CBC" w:rsidRDefault="00600C79" w:rsidP="00600C79">
      <w:pPr>
        <w:pStyle w:val="af"/>
        <w:ind w:firstLine="720"/>
        <w:contextualSpacing/>
        <w:jc w:val="both"/>
        <w:rPr>
          <w:rFonts w:ascii="Times New Roman" w:hAnsi="Times New Roman" w:cs="Times New Roman"/>
          <w:sz w:val="28"/>
          <w:szCs w:val="28"/>
          <w:lang w:val="en-US"/>
        </w:rPr>
      </w:pPr>
      <w:r w:rsidRPr="00F70CBC">
        <w:rPr>
          <w:rFonts w:ascii="Times New Roman" w:hAnsi="Times New Roman" w:cs="Times New Roman"/>
          <w:sz w:val="28"/>
          <w:szCs w:val="28"/>
          <w:lang w:val="en-US"/>
        </w:rPr>
        <w:t>Where:</w:t>
      </w:r>
    </w:p>
    <w:p w14:paraId="5132E0E4" w14:textId="77777777" w:rsidR="00600C79" w:rsidRPr="00F70CBC" w:rsidRDefault="00600C79" w:rsidP="00600C79">
      <w:pPr>
        <w:pStyle w:val="af"/>
        <w:ind w:firstLine="720"/>
        <w:contextualSpacing/>
        <w:jc w:val="both"/>
        <w:rPr>
          <w:rFonts w:ascii="Times New Roman" w:hAnsi="Times New Roman" w:cs="Times New Roman"/>
          <w:sz w:val="28"/>
          <w:szCs w:val="28"/>
          <w:lang w:val="en-US"/>
        </w:rPr>
      </w:pPr>
      <m:oMath>
        <m:r>
          <w:rPr>
            <w:rFonts w:ascii="Cambria Math" w:hAnsi="Cambria Math" w:cs="Times New Roman"/>
            <w:sz w:val="28"/>
            <w:szCs w:val="28"/>
            <w:lang w:val="en-US"/>
          </w:rPr>
          <m:t>n</m:t>
        </m:r>
      </m:oMath>
      <w:r w:rsidRPr="00F70CBC">
        <w:rPr>
          <w:rFonts w:ascii="Times New Roman" w:hAnsi="Times New Roman" w:cs="Times New Roman"/>
          <w:sz w:val="28"/>
          <w:szCs w:val="28"/>
          <w:lang w:val="en-US"/>
        </w:rPr>
        <w:t xml:space="preserve"> is an estimated sample size;</w:t>
      </w:r>
    </w:p>
    <w:p w14:paraId="27EA5BAD" w14:textId="77777777" w:rsidR="00600C79" w:rsidRPr="00F70CBC" w:rsidRDefault="00600C79" w:rsidP="00600C79">
      <w:pPr>
        <w:pStyle w:val="af"/>
        <w:ind w:firstLine="720"/>
        <w:contextualSpacing/>
        <w:jc w:val="both"/>
        <w:rPr>
          <w:rFonts w:ascii="Times New Roman" w:hAnsi="Times New Roman" w:cs="Times New Roman"/>
          <w:sz w:val="28"/>
          <w:szCs w:val="28"/>
          <w:lang w:val="en-US"/>
        </w:rPr>
      </w:pPr>
      <m:oMath>
        <m:r>
          <w:rPr>
            <w:rFonts w:ascii="Cambria Math" w:hAnsi="Cambria Math" w:cs="Times New Roman"/>
            <w:sz w:val="28"/>
            <w:szCs w:val="28"/>
            <w:lang w:val="en-US"/>
          </w:rPr>
          <m:t>z</m:t>
        </m:r>
      </m:oMath>
      <w:r w:rsidRPr="00F70CBC">
        <w:rPr>
          <w:rFonts w:ascii="Times New Roman" w:hAnsi="Times New Roman" w:cs="Times New Roman"/>
          <w:sz w:val="28"/>
          <w:szCs w:val="28"/>
          <w:lang w:val="en-US"/>
        </w:rPr>
        <w:t xml:space="preserve"> denotes a requisite confidence level (in this case 95%);</w:t>
      </w:r>
    </w:p>
    <w:p w14:paraId="7AC33341" w14:textId="60C452B2" w:rsidR="00600C79" w:rsidRDefault="00600C79" w:rsidP="00ED26A8">
      <w:pPr>
        <w:pStyle w:val="af"/>
        <w:ind w:firstLine="720"/>
        <w:contextualSpacing/>
        <w:jc w:val="both"/>
        <w:rPr>
          <w:rFonts w:ascii="Times New Roman" w:hAnsi="Times New Roman" w:cs="Times New Roman"/>
          <w:sz w:val="28"/>
          <w:szCs w:val="28"/>
          <w:lang w:val="en-US"/>
        </w:rPr>
      </w:pPr>
      <m:oMath>
        <m:r>
          <w:rPr>
            <w:rFonts w:ascii="Cambria Math" w:hAnsi="Cambria Math" w:cs="Times New Roman"/>
            <w:sz w:val="28"/>
            <w:szCs w:val="28"/>
            <w:lang w:val="en-US"/>
          </w:rPr>
          <m:t>e</m:t>
        </m:r>
      </m:oMath>
      <w:r w:rsidRPr="00F70CBC">
        <w:rPr>
          <w:rFonts w:ascii="Times New Roman" w:hAnsi="Times New Roman" w:cs="Times New Roman"/>
          <w:sz w:val="28"/>
          <w:szCs w:val="28"/>
          <w:lang w:val="en-US"/>
        </w:rPr>
        <w:t xml:space="preserve"> is a represents an </w:t>
      </w:r>
      <w:r w:rsidRPr="003715CC">
        <w:rPr>
          <w:rFonts w:ascii="Times New Roman" w:hAnsi="Times New Roman" w:cs="Times New Roman"/>
          <w:sz w:val="28"/>
          <w:szCs w:val="28"/>
          <w:lang w:val="en-US"/>
        </w:rPr>
        <w:t>allowable</w:t>
      </w:r>
      <w:r w:rsidRPr="00F70CBC">
        <w:rPr>
          <w:rFonts w:ascii="Times New Roman" w:hAnsi="Times New Roman" w:cs="Times New Roman"/>
          <w:sz w:val="28"/>
          <w:szCs w:val="28"/>
          <w:lang w:val="en-US"/>
        </w:rPr>
        <w:t xml:space="preserve"> error of the sample (in this case 0.05);</w:t>
      </w:r>
    </w:p>
    <w:p w14:paraId="66A56747" w14:textId="77777777" w:rsidR="00ED26A8" w:rsidRPr="00F70CBC" w:rsidRDefault="00ED26A8" w:rsidP="00ED26A8">
      <w:pPr>
        <w:pStyle w:val="af"/>
        <w:ind w:firstLine="720"/>
        <w:contextualSpacing/>
        <w:jc w:val="both"/>
        <w:rPr>
          <w:rFonts w:ascii="Times New Roman" w:hAnsi="Times New Roman" w:cs="Times New Roman"/>
          <w:sz w:val="28"/>
          <w:szCs w:val="28"/>
          <w:lang w:val="en-US"/>
        </w:rPr>
      </w:pPr>
    </w:p>
    <w:p w14:paraId="70FD6E98" w14:textId="0BE5ABF5" w:rsidR="003715CC" w:rsidRPr="00313246" w:rsidRDefault="00600C79" w:rsidP="003715CC">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lastRenderedPageBreak/>
        <w:t xml:space="preserve">An online survey was conducted using a questionnaire designed using Google Forms, </w:t>
      </w:r>
      <w:r w:rsidRPr="003715CC">
        <w:rPr>
          <w:rFonts w:ascii="Times New Roman" w:hAnsi="Times New Roman" w:cs="Times New Roman"/>
          <w:sz w:val="28"/>
          <w:szCs w:val="28"/>
          <w:lang w:val="en-US"/>
        </w:rPr>
        <w:t>followed by posting it on social networks and sending it to email addresses</w:t>
      </w:r>
      <w:r w:rsidR="009F2A13">
        <w:rPr>
          <w:rFonts w:ascii="Times New Roman" w:hAnsi="Times New Roman" w:cs="Times New Roman"/>
          <w:sz w:val="28"/>
          <w:szCs w:val="28"/>
          <w:lang w:val="en-US"/>
        </w:rPr>
        <w:t xml:space="preserve"> </w:t>
      </w:r>
      <w:r w:rsidR="009F2A13" w:rsidRPr="009F2A13">
        <w:rPr>
          <w:rFonts w:ascii="Times New Roman" w:hAnsi="Times New Roman" w:cs="Times New Roman"/>
          <w:sz w:val="28"/>
          <w:szCs w:val="28"/>
          <w:lang w:val="en-US"/>
        </w:rPr>
        <w:t>of university alumni associations ensuring broad voluntary participation among graduates across Kazakhstan.</w:t>
      </w:r>
      <w:r w:rsidR="009F2A13">
        <w:rPr>
          <w:rFonts w:ascii="Times New Roman" w:hAnsi="Times New Roman" w:cs="Times New Roman"/>
          <w:sz w:val="28"/>
          <w:szCs w:val="28"/>
          <w:lang w:val="en-US"/>
        </w:rPr>
        <w:t xml:space="preserve"> </w:t>
      </w:r>
      <w:r w:rsidRPr="003715CC">
        <w:rPr>
          <w:rFonts w:ascii="Times New Roman" w:hAnsi="Times New Roman" w:cs="Times New Roman"/>
          <w:sz w:val="28"/>
          <w:szCs w:val="28"/>
          <w:lang w:val="en-US"/>
        </w:rPr>
        <w:t xml:space="preserve">Respondents' informed consent was received prior to the collection of their responses. The objective of a survey was explicitly defined. Responses were safeguarded in their confidentiality and anonymity (Appendix </w:t>
      </w:r>
      <w:r w:rsidR="0054045C">
        <w:rPr>
          <w:rFonts w:ascii="Times New Roman" w:hAnsi="Times New Roman" w:cs="Times New Roman"/>
          <w:sz w:val="28"/>
          <w:szCs w:val="28"/>
          <w:lang w:val="en-US"/>
        </w:rPr>
        <w:t>C</w:t>
      </w:r>
      <w:r w:rsidRPr="003715CC">
        <w:rPr>
          <w:rFonts w:ascii="Times New Roman" w:hAnsi="Times New Roman" w:cs="Times New Roman"/>
          <w:sz w:val="28"/>
          <w:szCs w:val="28"/>
          <w:lang w:val="en-US"/>
        </w:rPr>
        <w:t>).</w:t>
      </w:r>
      <w:r w:rsidR="00313246" w:rsidRPr="00313246">
        <w:rPr>
          <w:rFonts w:ascii="Times New Roman" w:hAnsi="Times New Roman" w:cs="Times New Roman"/>
          <w:sz w:val="28"/>
          <w:szCs w:val="28"/>
          <w:lang w:val="en-US"/>
        </w:rPr>
        <w:t xml:space="preserve"> The full text of the informed consent statement presented to participants before the survey is included at the beginning of the questionnaire in Appendix </w:t>
      </w:r>
      <w:r w:rsidR="0054045C">
        <w:rPr>
          <w:rFonts w:ascii="Times New Roman" w:hAnsi="Times New Roman" w:cs="Times New Roman"/>
          <w:sz w:val="28"/>
          <w:szCs w:val="28"/>
          <w:lang w:val="en-US"/>
        </w:rPr>
        <w:t>C</w:t>
      </w:r>
      <w:r w:rsidR="00313246" w:rsidRPr="00313246">
        <w:rPr>
          <w:rFonts w:ascii="Times New Roman" w:hAnsi="Times New Roman" w:cs="Times New Roman"/>
          <w:sz w:val="28"/>
          <w:szCs w:val="28"/>
          <w:lang w:val="en-US"/>
        </w:rPr>
        <w:t>.</w:t>
      </w:r>
    </w:p>
    <w:p w14:paraId="2D92329C" w14:textId="227E8782" w:rsidR="00600C79" w:rsidRPr="009C2334" w:rsidRDefault="009C2334" w:rsidP="003715CC">
      <w:pPr>
        <w:pStyle w:val="af"/>
        <w:ind w:firstLine="720"/>
        <w:contextualSpacing/>
        <w:jc w:val="both"/>
        <w:rPr>
          <w:rFonts w:ascii="Times New Roman" w:hAnsi="Times New Roman" w:cs="Times New Roman"/>
          <w:sz w:val="28"/>
          <w:szCs w:val="28"/>
          <w:lang w:val="en-US"/>
        </w:rPr>
      </w:pPr>
      <w:r w:rsidRPr="003715CC">
        <w:rPr>
          <w:rFonts w:ascii="Times New Roman" w:hAnsi="Times New Roman" w:cs="Times New Roman"/>
          <w:sz w:val="28"/>
          <w:szCs w:val="28"/>
          <w:lang w:val="en-US"/>
        </w:rPr>
        <w:t>The research was conducted using internationally recognized ethical standards for social science research. Participation in the survey was voluntary, and respondents were informed that they could decline or withdraw at any point without any consequences. Informed consent was obtained before data collection via an introductory statement in the online questionnaire. This statement specified the study's objective, guaranteed anonymity and confidentiality of replies, and included contact information for any withdrawals or inquiries. There was no sensitive or personal information gathered on the poll. Following a data-cleaning process, the study only included fully completed questionnaires; all responses were anonymous. The sampling approach was non-probability and non-stratified, based on voluntary participation through online distribution across all regions of Kazakhstan. As the study involved anonymous data from non-vulnerable participants and did not include sensitive topics, formal ethics committee approval was not required under general research ethics guidelines. Nevertheless, the study fully adhered to the core principles of academic integrity, including respect for participants, data protection, and responsible conduct of research.</w:t>
      </w:r>
      <w:r w:rsidR="003715CC" w:rsidRPr="00554D98">
        <w:rPr>
          <w:rFonts w:ascii="Times New Roman" w:hAnsi="Times New Roman" w:cs="Times New Roman"/>
          <w:sz w:val="28"/>
          <w:szCs w:val="28"/>
          <w:lang w:val="en-US"/>
        </w:rPr>
        <w:t xml:space="preserve"> </w:t>
      </w:r>
      <w:r w:rsidR="00554D98" w:rsidRPr="00554D98">
        <w:rPr>
          <w:rFonts w:ascii="Times New Roman" w:hAnsi="Times New Roman" w:cs="Times New Roman"/>
          <w:sz w:val="28"/>
          <w:szCs w:val="28"/>
          <w:lang w:val="en-US"/>
        </w:rPr>
        <w:t xml:space="preserve">This position aligns with standard international practices in survey-based social science research involving anonymized, low-risk human data. Upon completion of the data analysis, the original Google Forms survey and its linked response spreadsheet were permanently deleted from the cloud storage to ensure full data protection. An anonymized version of the dataset was securely stored on a password-protected local device, accessible only to the researcher, and used solely for academic purposes in accordance with institutional research data management guidelines. </w:t>
      </w:r>
      <w:r w:rsidR="00600C79" w:rsidRPr="003715CC">
        <w:rPr>
          <w:rFonts w:ascii="Times New Roman" w:hAnsi="Times New Roman" w:cs="Times New Roman"/>
          <w:sz w:val="28"/>
          <w:szCs w:val="28"/>
          <w:lang w:val="en-US"/>
        </w:rPr>
        <w:t>Data analysis and processing were conducted with IBM SPSS Statistics 23 (Statistical Package for Social</w:t>
      </w:r>
      <w:r w:rsidR="00E337D3">
        <w:rPr>
          <w:rFonts w:ascii="Times New Roman" w:hAnsi="Times New Roman" w:cs="Times New Roman"/>
          <w:sz w:val="28"/>
          <w:szCs w:val="28"/>
          <w:lang w:val="en-US"/>
        </w:rPr>
        <w:t>)</w:t>
      </w:r>
      <w:r w:rsidR="00600C79" w:rsidRPr="003715CC">
        <w:rPr>
          <w:rFonts w:ascii="Times New Roman" w:eastAsia="Times New Roman" w:hAnsi="Times New Roman" w:cs="Times New Roman"/>
          <w:sz w:val="28"/>
          <w:szCs w:val="28"/>
          <w:lang w:val="en-US"/>
        </w:rPr>
        <w:t>.</w:t>
      </w:r>
    </w:p>
    <w:p w14:paraId="5CAC5706" w14:textId="24A7DC08" w:rsidR="00600C79"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In statistical terms, a </w:t>
      </w:r>
      <w:r w:rsidRPr="00C0242D">
        <w:rPr>
          <w:rFonts w:ascii="Times New Roman" w:hAnsi="Times New Roman" w:cs="Times New Roman"/>
          <w:i/>
          <w:iCs/>
          <w:sz w:val="28"/>
          <w:szCs w:val="28"/>
          <w:lang w:val="en-US"/>
        </w:rPr>
        <w:t>sample of 300 respondents</w:t>
      </w:r>
      <w:r w:rsidRPr="00244343">
        <w:rPr>
          <w:rFonts w:ascii="Times New Roman" w:hAnsi="Times New Roman" w:cs="Times New Roman"/>
          <w:sz w:val="28"/>
          <w:szCs w:val="28"/>
          <w:lang w:val="en-US"/>
        </w:rPr>
        <w:t xml:space="preserve"> is often sufficient for detecting moderate effect sizes in many survey-based research designs.</w:t>
      </w:r>
      <w:r w:rsidRPr="00244343">
        <w:rPr>
          <w:rFonts w:ascii="Times New Roman" w:hAnsi="Times New Roman" w:cs="Times New Roman"/>
          <w:sz w:val="28"/>
          <w:szCs w:val="28"/>
          <w:lang w:val="en-US"/>
        </w:rPr>
        <w:br/>
        <w:t xml:space="preserve">The survey was distributed across all Kazakhstani universities. The final data results were taken after data cleansing. Data was cleaned due to the presence of unanswered questions; most of the students skipped the questions. Those answers that were full were taken as </w:t>
      </w:r>
      <w:r w:rsidRPr="003715CC">
        <w:rPr>
          <w:rFonts w:ascii="Times New Roman" w:hAnsi="Times New Roman" w:cs="Times New Roman"/>
          <w:sz w:val="28"/>
          <w:szCs w:val="28"/>
          <w:lang w:val="en-US"/>
        </w:rPr>
        <w:t xml:space="preserve">samples.  </w:t>
      </w:r>
      <w:r w:rsidR="00C0242D" w:rsidRPr="003715CC">
        <w:rPr>
          <w:rFonts w:ascii="Times New Roman" w:hAnsi="Times New Roman" w:cs="Times New Roman"/>
          <w:sz w:val="28"/>
          <w:szCs w:val="28"/>
          <w:lang w:val="en-US"/>
        </w:rPr>
        <w:t xml:space="preserve">Although a sample size of 300 typically yields </w:t>
      </w:r>
      <w:r w:rsidR="00C0242D" w:rsidRPr="003715CC">
        <w:rPr>
          <w:rFonts w:ascii="Times New Roman" w:hAnsi="Times New Roman" w:cs="Times New Roman"/>
          <w:i/>
          <w:iCs/>
          <w:sz w:val="28"/>
          <w:szCs w:val="28"/>
          <w:lang w:val="en-US"/>
        </w:rPr>
        <w:t>a margin of error (MOE) of ±5.6% at a 95% confidence level</w:t>
      </w:r>
      <w:r w:rsidR="00C0242D" w:rsidRPr="003715CC">
        <w:rPr>
          <w:rFonts w:ascii="Times New Roman" w:hAnsi="Times New Roman" w:cs="Times New Roman"/>
          <w:sz w:val="28"/>
          <w:szCs w:val="28"/>
          <w:lang w:val="en-US"/>
        </w:rPr>
        <w:t xml:space="preserve"> under the assumption of simple random sampling, the sampling procedure in this study was </w:t>
      </w:r>
      <w:r w:rsidR="00C0242D" w:rsidRPr="003715CC">
        <w:rPr>
          <w:rFonts w:ascii="Times New Roman" w:hAnsi="Times New Roman" w:cs="Times New Roman"/>
          <w:i/>
          <w:iCs/>
          <w:sz w:val="28"/>
          <w:szCs w:val="28"/>
          <w:lang w:val="en-US"/>
        </w:rPr>
        <w:t>non-probability</w:t>
      </w:r>
      <w:r w:rsidR="00C0242D" w:rsidRPr="003715CC">
        <w:rPr>
          <w:rFonts w:ascii="Times New Roman" w:hAnsi="Times New Roman" w:cs="Times New Roman"/>
          <w:sz w:val="28"/>
          <w:szCs w:val="28"/>
          <w:lang w:val="en-US"/>
        </w:rPr>
        <w:t xml:space="preserve">, non-stratified, and relied on voluntary online participation. This may have introduced self-selection bias—potentially overrepresenting more active or digitally connected graduates. </w:t>
      </w:r>
      <w:r w:rsidRPr="003715CC">
        <w:rPr>
          <w:rFonts w:ascii="Times New Roman" w:hAnsi="Times New Roman" w:cs="Times New Roman"/>
          <w:sz w:val="28"/>
          <w:szCs w:val="28"/>
          <w:lang w:val="en-US"/>
        </w:rPr>
        <w:t xml:space="preserve">The reliability of </w:t>
      </w:r>
      <w:r w:rsidRPr="003715CC">
        <w:rPr>
          <w:rFonts w:ascii="Times New Roman" w:hAnsi="Times New Roman" w:cs="Times New Roman"/>
          <w:i/>
          <w:iCs/>
          <w:sz w:val="28"/>
          <w:szCs w:val="28"/>
          <w:lang w:val="en-US"/>
        </w:rPr>
        <w:t>survey</w:t>
      </w:r>
      <w:r w:rsidRPr="00C0242D">
        <w:rPr>
          <w:rFonts w:ascii="Times New Roman" w:hAnsi="Times New Roman" w:cs="Times New Roman"/>
          <w:i/>
          <w:iCs/>
          <w:sz w:val="28"/>
          <w:szCs w:val="28"/>
          <w:lang w:val="en-US"/>
        </w:rPr>
        <w:t xml:space="preserve"> instruments can be assessed using Cronbach’s </w:t>
      </w:r>
      <w:r w:rsidRPr="00C0242D">
        <w:rPr>
          <w:rFonts w:ascii="Times New Roman" w:hAnsi="Times New Roman" w:cs="Times New Roman"/>
          <w:i/>
          <w:iCs/>
          <w:sz w:val="28"/>
          <w:szCs w:val="28"/>
          <w:lang w:val="en-US"/>
        </w:rPr>
        <w:lastRenderedPageBreak/>
        <w:t xml:space="preserve">alpha (α) </w:t>
      </w:r>
      <w:r w:rsidRPr="00244343">
        <w:rPr>
          <w:rFonts w:ascii="Times New Roman" w:hAnsi="Times New Roman" w:cs="Times New Roman"/>
          <w:sz w:val="28"/>
          <w:szCs w:val="28"/>
          <w:lang w:val="en-US"/>
        </w:rPr>
        <w:t>for multi-item scales. A number of 0.7 or above is typically deemed acceptable. </w:t>
      </w:r>
    </w:p>
    <w:p w14:paraId="5A935E8A" w14:textId="05B104B7"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32412">
        <w:rPr>
          <w:rFonts w:ascii="Times New Roman" w:hAnsi="Times New Roman" w:cs="Times New Roman"/>
          <w:sz w:val="28"/>
          <w:szCs w:val="28"/>
          <w:lang w:val="en-US"/>
        </w:rPr>
        <w:t xml:space="preserve">A modest sample size of 200 to 500 respondents is generally regarded sufficient to guarantee the generalizability of results in descriptive studies carried out among Kazakhstan's graduates. The sample size was determined via </w:t>
      </w:r>
      <w:r w:rsidRPr="00C0242D">
        <w:rPr>
          <w:rFonts w:ascii="Times New Roman" w:hAnsi="Times New Roman" w:cs="Times New Roman"/>
          <w:i/>
          <w:iCs/>
          <w:sz w:val="28"/>
          <w:szCs w:val="28"/>
          <w:lang w:val="en-US"/>
        </w:rPr>
        <w:t>Cochran's formula,</w:t>
      </w:r>
      <w:r w:rsidRPr="00232412">
        <w:rPr>
          <w:rFonts w:ascii="Times New Roman" w:hAnsi="Times New Roman" w:cs="Times New Roman"/>
          <w:sz w:val="28"/>
          <w:szCs w:val="28"/>
          <w:lang w:val="en-US"/>
        </w:rPr>
        <w:t xml:space="preserve"> which offers a statistically strong method for projecting the necessary number of survey respondents. </w:t>
      </w:r>
      <w:r w:rsidRPr="00C0242D">
        <w:rPr>
          <w:rFonts w:ascii="Times New Roman" w:hAnsi="Times New Roman" w:cs="Times New Roman"/>
          <w:i/>
          <w:iCs/>
          <w:sz w:val="28"/>
          <w:szCs w:val="28"/>
          <w:lang w:val="en-US"/>
        </w:rPr>
        <w:t>Our value was higher (289).</w:t>
      </w:r>
    </w:p>
    <w:p w14:paraId="164BA43B" w14:textId="77777777"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use of dichotomous logistic regression helps to predict the values of the dependent variable based on the values of one or more selected independent variables and calculate the probability of the occurrence of this event. The statistical procedure is beneficial when the outcome of interest is dichotomous or only has two possible values (such as success or failure, present or absent, or yes/no). Logistic regression is relatively robust to violations of assumptions, such as normality and homoscedasticity. In this case, it is the probability that, for certain values of independent variables, a university graduate will be able to get a job in his specialty within a year after graduation.</w:t>
      </w:r>
    </w:p>
    <w:p w14:paraId="6EE82B32" w14:textId="77777777"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Next, on the basis of the survey data, a micromodel of logistic regression was calculated, in which the fact of the student's employment in the specialty he received after graduation was indicated as a dependent variable.</w:t>
      </w:r>
    </w:p>
    <w:p w14:paraId="5BCE0D1B" w14:textId="1FA4C194" w:rsidR="00600C79" w:rsidRDefault="00600C79" w:rsidP="00600C79">
      <w:pPr>
        <w:pStyle w:val="af"/>
        <w:ind w:firstLine="720"/>
        <w:contextualSpacing/>
        <w:jc w:val="both"/>
        <w:rPr>
          <w:rFonts w:ascii="Times New Roman" w:hAnsi="Times New Roman" w:cs="Times New Roman"/>
          <w:sz w:val="28"/>
          <w:szCs w:val="28"/>
          <w:lang w:val="en-US"/>
        </w:rPr>
      </w:pPr>
      <w:r w:rsidRPr="00A40F2D">
        <w:rPr>
          <w:rFonts w:ascii="Times New Roman" w:hAnsi="Times New Roman" w:cs="Times New Roman"/>
          <w:sz w:val="28"/>
          <w:szCs w:val="28"/>
          <w:lang w:val="en-US"/>
        </w:rPr>
        <w:t>The decision-making process was carried out in four sequential steps, each incorporating one statistically significant variable into the model.</w:t>
      </w:r>
    </w:p>
    <w:p w14:paraId="0EA30164" w14:textId="52DEDA69" w:rsidR="00C76666" w:rsidRPr="00A40F2D" w:rsidRDefault="00C76666" w:rsidP="00600C79">
      <w:pPr>
        <w:pStyle w:val="af"/>
        <w:ind w:firstLine="720"/>
        <w:contextualSpacing/>
        <w:jc w:val="both"/>
        <w:rPr>
          <w:rFonts w:ascii="Times New Roman" w:hAnsi="Times New Roman" w:cs="Times New Roman"/>
          <w:sz w:val="28"/>
          <w:szCs w:val="28"/>
          <w:lang w:val="en-US"/>
        </w:rPr>
      </w:pPr>
      <w:r w:rsidRPr="003715CC">
        <w:rPr>
          <w:rFonts w:ascii="Times New Roman" w:hAnsi="Times New Roman" w:cs="Times New Roman"/>
          <w:sz w:val="28"/>
          <w:szCs w:val="28"/>
          <w:lang w:val="en-US"/>
        </w:rPr>
        <w:t xml:space="preserve">Prior to analyzing the survey data, it is essential to acknowledge certain methodological limitations. Despite the study's methodological </w:t>
      </w:r>
      <w:proofErr w:type="spellStart"/>
      <w:r w:rsidRPr="003715CC">
        <w:rPr>
          <w:rFonts w:ascii="Times New Roman" w:hAnsi="Times New Roman" w:cs="Times New Roman"/>
          <w:sz w:val="28"/>
          <w:szCs w:val="28"/>
          <w:lang w:val="en-US"/>
        </w:rPr>
        <w:t>rigour</w:t>
      </w:r>
      <w:proofErr w:type="spellEnd"/>
      <w:r w:rsidRPr="003715CC">
        <w:rPr>
          <w:rFonts w:ascii="Times New Roman" w:hAnsi="Times New Roman" w:cs="Times New Roman"/>
          <w:sz w:val="28"/>
          <w:szCs w:val="28"/>
          <w:lang w:val="en-US"/>
        </w:rPr>
        <w:t>, numerous limitations must be recognized. The sampling approach was non-probability and non-stratified, relying on voluntary graduate participation in an online survey. This creates the possibility of self-selection bias, in which more technologically connected or driven graduates may be disproportionately represented. While the sample size of 300 respondents satisfies Cochran's criteria and encompasses graduates from all administrative areas of Kazakhstan, complete demographic representativeness cannot be assured. Second, self-reported data may be subject to recall or social desirability bias, which could influence how graduates evaluate their employability experiences.</w:t>
      </w:r>
      <w:r w:rsidR="00554D98" w:rsidRPr="00554D98">
        <w:rPr>
          <w:rFonts w:ascii="Times New Roman" w:hAnsi="Times New Roman" w:cs="Times New Roman"/>
          <w:sz w:val="28"/>
          <w:szCs w:val="28"/>
          <w:lang w:val="en-US"/>
        </w:rPr>
        <w:t xml:space="preserve"> Given the cross-sectional nature of the study, the findings indicate statistical associations rather than proven causal effects. Future longitudinal research is recommended to explore causal mechanisms</w:t>
      </w:r>
      <w:r w:rsidRPr="003715CC">
        <w:rPr>
          <w:rFonts w:ascii="Times New Roman" w:hAnsi="Times New Roman" w:cs="Times New Roman"/>
          <w:sz w:val="28"/>
          <w:szCs w:val="28"/>
          <w:lang w:val="en-US"/>
        </w:rPr>
        <w:t>.</w:t>
      </w:r>
      <w:r w:rsidR="00554D98" w:rsidRPr="00554D98">
        <w:rPr>
          <w:rFonts w:ascii="Times New Roman" w:hAnsi="Times New Roman" w:cs="Times New Roman"/>
          <w:sz w:val="28"/>
          <w:szCs w:val="28"/>
          <w:lang w:val="en-US"/>
        </w:rPr>
        <w:t xml:space="preserve"> </w:t>
      </w:r>
      <w:r w:rsidRPr="003715CC">
        <w:rPr>
          <w:rFonts w:ascii="Times New Roman" w:hAnsi="Times New Roman" w:cs="Times New Roman"/>
          <w:sz w:val="28"/>
          <w:szCs w:val="28"/>
          <w:lang w:val="en-US"/>
        </w:rPr>
        <w:t>Notwithstanding the limitations, the study yields significant insights into the institutional factors that influence graduate employability and offers a foundation for future, more representative, or probably longitudinal research.</w:t>
      </w:r>
    </w:p>
    <w:p w14:paraId="0AD9AD0A" w14:textId="77777777" w:rsidR="00600C79" w:rsidRPr="00244343" w:rsidRDefault="00600C79" w:rsidP="00600C79">
      <w:pPr>
        <w:pStyle w:val="af"/>
        <w:ind w:firstLine="720"/>
        <w:contextualSpacing/>
        <w:jc w:val="both"/>
        <w:rPr>
          <w:rFonts w:ascii="Times New Roman" w:hAnsi="Times New Roman" w:cs="Times New Roman"/>
          <w:sz w:val="28"/>
          <w:szCs w:val="28"/>
          <w:lang w:val="en-US"/>
        </w:rPr>
      </w:pPr>
      <w:r w:rsidRPr="00A40F2D">
        <w:rPr>
          <w:rFonts w:ascii="Times New Roman" w:hAnsi="Times New Roman" w:cs="Times New Roman"/>
          <w:sz w:val="28"/>
          <w:szCs w:val="28"/>
          <w:lang w:val="en-US"/>
        </w:rPr>
        <w:t>The logistic regression analysis primarily yielded a table displaying the computed regression coefficients the program systematically selected.</w:t>
      </w:r>
      <w:r>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For the selection of significant variables, a direct, step-by-step (conditional) method of variable selection was used. With the help of these coefficients, it is possible to calculate the desired probability that a university graduate will be able to get a job in his specialty within a year after graduation.</w:t>
      </w:r>
    </w:p>
    <w:p w14:paraId="5BCFFF25" w14:textId="77777777"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lastRenderedPageBreak/>
        <w:t>To interpret the calculated regression coefficients, it must be remembered that the dependent variable was the question of whether the graduate got a job within 1 year after graduation or not: 0. No, he did not get a job; 1. Yes, I got a job. And as independent variables, various statements were used that expressed various obstacles that prevent students from getting a job in their specialty. The respondent could assess how each of these obstacles affects the student's ability to get a job on a 7-point scale, where 1 - does not affect, and 7 - very strongly affects.</w:t>
      </w:r>
    </w:p>
    <w:p w14:paraId="557C1637" w14:textId="77777777"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algorithm for selecting statistically significant variables settled on a four-factor model. Accordingly, only statistically significant variables were included in the micromodel. At the same time, the Q5.8 variable “Acquaintances, relatives, personal connections” has the greatest influence on the dependent variable compared to other variables due to the highest value of the Wald statistic. According to respondents, the presence of acquaintances, relatives and other personal connections has a positive effect on employment opportunities, the same applies to the development of research, technology, and innovation at the university. Their presence also has a positive effect on the employability of graduates. Conversely, lack of experience has a negative relationship with employability. The same applies to the insufficient availability of job offers in the specialty - this factor is negatively associated with the fact of employment.</w:t>
      </w:r>
    </w:p>
    <w:p w14:paraId="1034D148" w14:textId="77777777" w:rsidR="00950946" w:rsidRPr="00244343" w:rsidRDefault="00950946" w:rsidP="00E337D3">
      <w:pPr>
        <w:pStyle w:val="af"/>
        <w:contextualSpacing/>
        <w:jc w:val="both"/>
        <w:rPr>
          <w:rFonts w:ascii="Times New Roman" w:hAnsi="Times New Roman" w:cs="Times New Roman"/>
          <w:sz w:val="28"/>
          <w:szCs w:val="28"/>
          <w:lang w:val="en-US"/>
        </w:rPr>
      </w:pPr>
    </w:p>
    <w:p w14:paraId="3B352512" w14:textId="1287EC40" w:rsidR="00600C79" w:rsidRDefault="00600C79" w:rsidP="00600C79">
      <w:pPr>
        <w:pStyle w:val="af"/>
        <w:ind w:firstLine="720"/>
        <w:contextualSpacing/>
        <w:jc w:val="both"/>
        <w:rPr>
          <w:rFonts w:ascii="Times New Roman" w:hAnsi="Times New Roman" w:cs="Times New Roman"/>
          <w:sz w:val="28"/>
          <w:szCs w:val="28"/>
          <w:lang w:val="en-US"/>
        </w:rPr>
      </w:pPr>
      <w:bookmarkStart w:id="21" w:name="_Toc146656855"/>
      <w:r w:rsidRPr="00174CFF">
        <w:rPr>
          <w:rFonts w:ascii="Times New Roman" w:hAnsi="Times New Roman" w:cs="Times New Roman"/>
          <w:sz w:val="28"/>
          <w:szCs w:val="28"/>
          <w:lang w:val="en-US"/>
        </w:rPr>
        <w:t>Table 1</w:t>
      </w:r>
      <w:r w:rsidR="00E337D3">
        <w:rPr>
          <w:rFonts w:ascii="Times New Roman" w:hAnsi="Times New Roman" w:cs="Times New Roman"/>
          <w:sz w:val="28"/>
          <w:szCs w:val="28"/>
          <w:lang w:val="en-US"/>
        </w:rPr>
        <w:t>6</w:t>
      </w:r>
      <w:r w:rsidRPr="00174CFF">
        <w:rPr>
          <w:rFonts w:ascii="Times New Roman" w:hAnsi="Times New Roman" w:cs="Times New Roman"/>
          <w:sz w:val="28"/>
          <w:szCs w:val="28"/>
          <w:lang w:val="en-US"/>
        </w:rPr>
        <w:t xml:space="preserve"> </w:t>
      </w:r>
      <w:r w:rsidR="00950946">
        <w:rPr>
          <w:rFonts w:ascii="Times New Roman" w:hAnsi="Times New Roman" w:cs="Times New Roman"/>
          <w:sz w:val="28"/>
          <w:szCs w:val="28"/>
          <w:lang w:val="en-US"/>
        </w:rPr>
        <w:t>–</w:t>
      </w:r>
      <w:r w:rsidRPr="00174CFF">
        <w:rPr>
          <w:rFonts w:ascii="Times New Roman" w:hAnsi="Times New Roman" w:cs="Times New Roman"/>
          <w:sz w:val="28"/>
          <w:szCs w:val="28"/>
          <w:lang w:val="en-US"/>
        </w:rPr>
        <w:t xml:space="preserve"> Logistic model regression coefficients</w:t>
      </w:r>
      <w:bookmarkEnd w:id="21"/>
    </w:p>
    <w:p w14:paraId="2392FD52" w14:textId="77777777" w:rsidR="00956530" w:rsidRPr="00174CFF" w:rsidRDefault="00956530" w:rsidP="00600C79">
      <w:pPr>
        <w:pStyle w:val="af"/>
        <w:ind w:firstLine="720"/>
        <w:contextualSpacing/>
        <w:jc w:val="both"/>
        <w:rPr>
          <w:rFonts w:ascii="Times New Roman" w:hAnsi="Times New Roman" w:cs="Times New Roman"/>
          <w:sz w:val="28"/>
          <w:szCs w:val="28"/>
          <w:lang w:val="en-US"/>
        </w:rPr>
      </w:pPr>
    </w:p>
    <w:tbl>
      <w:tblPr>
        <w:tblW w:w="917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418"/>
        <w:gridCol w:w="1276"/>
        <w:gridCol w:w="1275"/>
        <w:gridCol w:w="901"/>
        <w:gridCol w:w="1041"/>
      </w:tblGrid>
      <w:tr w:rsidR="00600C79" w:rsidRPr="006466D8" w14:paraId="71A45772" w14:textId="77777777" w:rsidTr="006466D8">
        <w:trPr>
          <w:trHeight w:val="288"/>
        </w:trPr>
        <w:tc>
          <w:tcPr>
            <w:tcW w:w="3260" w:type="dxa"/>
            <w:shd w:val="clear" w:color="auto" w:fill="auto"/>
            <w:vAlign w:val="bottom"/>
            <w:hideMark/>
          </w:tcPr>
          <w:p w14:paraId="00DBEABA"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 </w:t>
            </w:r>
          </w:p>
        </w:tc>
        <w:tc>
          <w:tcPr>
            <w:tcW w:w="1418" w:type="dxa"/>
            <w:shd w:val="clear" w:color="auto" w:fill="auto"/>
            <w:vAlign w:val="bottom"/>
            <w:hideMark/>
          </w:tcPr>
          <w:p w14:paraId="0FC8841E"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B</w:t>
            </w:r>
          </w:p>
        </w:tc>
        <w:tc>
          <w:tcPr>
            <w:tcW w:w="1276" w:type="dxa"/>
            <w:shd w:val="clear" w:color="auto" w:fill="auto"/>
            <w:vAlign w:val="bottom"/>
            <w:hideMark/>
          </w:tcPr>
          <w:p w14:paraId="1A811C43"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S.E.</w:t>
            </w:r>
          </w:p>
        </w:tc>
        <w:tc>
          <w:tcPr>
            <w:tcW w:w="1275" w:type="dxa"/>
            <w:shd w:val="clear" w:color="auto" w:fill="auto"/>
            <w:vAlign w:val="bottom"/>
            <w:hideMark/>
          </w:tcPr>
          <w:p w14:paraId="6625FF81"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Wald</w:t>
            </w:r>
          </w:p>
        </w:tc>
        <w:tc>
          <w:tcPr>
            <w:tcW w:w="901" w:type="dxa"/>
            <w:shd w:val="clear" w:color="auto" w:fill="auto"/>
            <w:vAlign w:val="bottom"/>
            <w:hideMark/>
          </w:tcPr>
          <w:p w14:paraId="5AC7F328"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Sig.</w:t>
            </w:r>
          </w:p>
        </w:tc>
        <w:tc>
          <w:tcPr>
            <w:tcW w:w="1041" w:type="dxa"/>
            <w:shd w:val="clear" w:color="auto" w:fill="auto"/>
            <w:vAlign w:val="bottom"/>
            <w:hideMark/>
          </w:tcPr>
          <w:p w14:paraId="43C82E48"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Exp(B)</w:t>
            </w:r>
          </w:p>
        </w:tc>
      </w:tr>
      <w:tr w:rsidR="00600C79" w:rsidRPr="006466D8" w14:paraId="429C48F0" w14:textId="77777777" w:rsidTr="006466D8">
        <w:trPr>
          <w:trHeight w:val="276"/>
        </w:trPr>
        <w:tc>
          <w:tcPr>
            <w:tcW w:w="3260" w:type="dxa"/>
            <w:shd w:val="clear" w:color="auto" w:fill="auto"/>
            <w:hideMark/>
          </w:tcPr>
          <w:p w14:paraId="48BBA1B5"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Q3.1 Lack of experience</w:t>
            </w:r>
          </w:p>
        </w:tc>
        <w:tc>
          <w:tcPr>
            <w:tcW w:w="1418" w:type="dxa"/>
            <w:shd w:val="clear" w:color="auto" w:fill="auto"/>
            <w:noWrap/>
            <w:vAlign w:val="center"/>
            <w:hideMark/>
          </w:tcPr>
          <w:p w14:paraId="613768CE"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-1,341</w:t>
            </w:r>
          </w:p>
        </w:tc>
        <w:tc>
          <w:tcPr>
            <w:tcW w:w="1276" w:type="dxa"/>
            <w:shd w:val="clear" w:color="auto" w:fill="auto"/>
            <w:noWrap/>
            <w:vAlign w:val="center"/>
            <w:hideMark/>
          </w:tcPr>
          <w:p w14:paraId="25BC8EB0"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,317</w:t>
            </w:r>
          </w:p>
        </w:tc>
        <w:tc>
          <w:tcPr>
            <w:tcW w:w="1275" w:type="dxa"/>
            <w:shd w:val="clear" w:color="auto" w:fill="auto"/>
            <w:noWrap/>
            <w:vAlign w:val="center"/>
            <w:hideMark/>
          </w:tcPr>
          <w:p w14:paraId="4DBAC656"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17,874</w:t>
            </w:r>
          </w:p>
        </w:tc>
        <w:tc>
          <w:tcPr>
            <w:tcW w:w="901" w:type="dxa"/>
            <w:shd w:val="clear" w:color="auto" w:fill="auto"/>
            <w:noWrap/>
            <w:vAlign w:val="center"/>
            <w:hideMark/>
          </w:tcPr>
          <w:p w14:paraId="1157A743"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,000</w:t>
            </w:r>
          </w:p>
        </w:tc>
        <w:tc>
          <w:tcPr>
            <w:tcW w:w="1041" w:type="dxa"/>
            <w:shd w:val="clear" w:color="auto" w:fill="auto"/>
            <w:noWrap/>
            <w:vAlign w:val="center"/>
            <w:hideMark/>
          </w:tcPr>
          <w:p w14:paraId="6AB87CE5"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3,823</w:t>
            </w:r>
          </w:p>
        </w:tc>
      </w:tr>
      <w:tr w:rsidR="00600C79" w:rsidRPr="006466D8" w14:paraId="56C3E5C1" w14:textId="77777777" w:rsidTr="006466D8">
        <w:trPr>
          <w:trHeight w:val="200"/>
        </w:trPr>
        <w:tc>
          <w:tcPr>
            <w:tcW w:w="3260" w:type="dxa"/>
            <w:shd w:val="clear" w:color="auto" w:fill="auto"/>
            <w:hideMark/>
          </w:tcPr>
          <w:p w14:paraId="00A700AC"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Q3.7 Few places were offered in my specialty</w:t>
            </w:r>
          </w:p>
        </w:tc>
        <w:tc>
          <w:tcPr>
            <w:tcW w:w="1418" w:type="dxa"/>
            <w:shd w:val="clear" w:color="auto" w:fill="auto"/>
            <w:noWrap/>
            <w:vAlign w:val="center"/>
            <w:hideMark/>
          </w:tcPr>
          <w:p w14:paraId="21D18607"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-1,745</w:t>
            </w:r>
          </w:p>
        </w:tc>
        <w:tc>
          <w:tcPr>
            <w:tcW w:w="1276" w:type="dxa"/>
            <w:shd w:val="clear" w:color="auto" w:fill="auto"/>
            <w:noWrap/>
            <w:vAlign w:val="center"/>
            <w:hideMark/>
          </w:tcPr>
          <w:p w14:paraId="7E0F6F37"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,394</w:t>
            </w:r>
          </w:p>
        </w:tc>
        <w:tc>
          <w:tcPr>
            <w:tcW w:w="1275" w:type="dxa"/>
            <w:shd w:val="clear" w:color="auto" w:fill="auto"/>
            <w:noWrap/>
            <w:vAlign w:val="center"/>
            <w:hideMark/>
          </w:tcPr>
          <w:p w14:paraId="312A90EC"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19,641</w:t>
            </w:r>
          </w:p>
        </w:tc>
        <w:tc>
          <w:tcPr>
            <w:tcW w:w="901" w:type="dxa"/>
            <w:shd w:val="clear" w:color="auto" w:fill="auto"/>
            <w:noWrap/>
            <w:vAlign w:val="center"/>
            <w:hideMark/>
          </w:tcPr>
          <w:p w14:paraId="49067A3C"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,000</w:t>
            </w:r>
          </w:p>
        </w:tc>
        <w:tc>
          <w:tcPr>
            <w:tcW w:w="1041" w:type="dxa"/>
            <w:shd w:val="clear" w:color="auto" w:fill="auto"/>
            <w:noWrap/>
            <w:vAlign w:val="center"/>
            <w:hideMark/>
          </w:tcPr>
          <w:p w14:paraId="188C3B19"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5,725</w:t>
            </w:r>
          </w:p>
        </w:tc>
      </w:tr>
      <w:tr w:rsidR="00600C79" w:rsidRPr="006466D8" w14:paraId="048AA2E9" w14:textId="77777777" w:rsidTr="006466D8">
        <w:trPr>
          <w:trHeight w:val="264"/>
        </w:trPr>
        <w:tc>
          <w:tcPr>
            <w:tcW w:w="3260" w:type="dxa"/>
            <w:shd w:val="clear" w:color="auto" w:fill="auto"/>
            <w:hideMark/>
          </w:tcPr>
          <w:p w14:paraId="3451F561"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Q5.8 Friends, relatives, personal connections</w:t>
            </w:r>
          </w:p>
        </w:tc>
        <w:tc>
          <w:tcPr>
            <w:tcW w:w="1418" w:type="dxa"/>
            <w:shd w:val="clear" w:color="auto" w:fill="auto"/>
            <w:noWrap/>
            <w:vAlign w:val="center"/>
            <w:hideMark/>
          </w:tcPr>
          <w:p w14:paraId="473F6307"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5,908</w:t>
            </w:r>
          </w:p>
        </w:tc>
        <w:tc>
          <w:tcPr>
            <w:tcW w:w="1276" w:type="dxa"/>
            <w:shd w:val="clear" w:color="auto" w:fill="auto"/>
            <w:noWrap/>
            <w:vAlign w:val="center"/>
            <w:hideMark/>
          </w:tcPr>
          <w:p w14:paraId="65C6E6BF"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1,094</w:t>
            </w:r>
          </w:p>
        </w:tc>
        <w:tc>
          <w:tcPr>
            <w:tcW w:w="1275" w:type="dxa"/>
            <w:shd w:val="clear" w:color="auto" w:fill="auto"/>
            <w:noWrap/>
            <w:vAlign w:val="center"/>
            <w:hideMark/>
          </w:tcPr>
          <w:p w14:paraId="1A8F1A1C"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29,139</w:t>
            </w:r>
          </w:p>
        </w:tc>
        <w:tc>
          <w:tcPr>
            <w:tcW w:w="901" w:type="dxa"/>
            <w:shd w:val="clear" w:color="auto" w:fill="auto"/>
            <w:noWrap/>
            <w:vAlign w:val="center"/>
            <w:hideMark/>
          </w:tcPr>
          <w:p w14:paraId="7EE96D26"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,000</w:t>
            </w:r>
          </w:p>
        </w:tc>
        <w:tc>
          <w:tcPr>
            <w:tcW w:w="1041" w:type="dxa"/>
            <w:shd w:val="clear" w:color="auto" w:fill="auto"/>
            <w:noWrap/>
            <w:vAlign w:val="center"/>
            <w:hideMark/>
          </w:tcPr>
          <w:p w14:paraId="5C0D47DC"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,003</w:t>
            </w:r>
          </w:p>
        </w:tc>
      </w:tr>
      <w:tr w:rsidR="00600C79" w:rsidRPr="006466D8" w14:paraId="27349A19" w14:textId="77777777" w:rsidTr="006466D8">
        <w:trPr>
          <w:trHeight w:val="456"/>
        </w:trPr>
        <w:tc>
          <w:tcPr>
            <w:tcW w:w="3260" w:type="dxa"/>
            <w:shd w:val="clear" w:color="auto" w:fill="auto"/>
            <w:hideMark/>
          </w:tcPr>
          <w:p w14:paraId="55986BE8"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Q6.1 Development of research, technology, innovation and entrepreneurship</w:t>
            </w:r>
          </w:p>
        </w:tc>
        <w:tc>
          <w:tcPr>
            <w:tcW w:w="1418" w:type="dxa"/>
            <w:shd w:val="clear" w:color="auto" w:fill="auto"/>
            <w:noWrap/>
            <w:vAlign w:val="center"/>
            <w:hideMark/>
          </w:tcPr>
          <w:p w14:paraId="53708403"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1,361</w:t>
            </w:r>
          </w:p>
        </w:tc>
        <w:tc>
          <w:tcPr>
            <w:tcW w:w="1276" w:type="dxa"/>
            <w:shd w:val="clear" w:color="auto" w:fill="auto"/>
            <w:noWrap/>
            <w:vAlign w:val="center"/>
            <w:hideMark/>
          </w:tcPr>
          <w:p w14:paraId="1E85540A"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,277</w:t>
            </w:r>
          </w:p>
        </w:tc>
        <w:tc>
          <w:tcPr>
            <w:tcW w:w="1275" w:type="dxa"/>
            <w:shd w:val="clear" w:color="auto" w:fill="auto"/>
            <w:noWrap/>
            <w:vAlign w:val="center"/>
            <w:hideMark/>
          </w:tcPr>
          <w:p w14:paraId="7BF5BB27"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24,146</w:t>
            </w:r>
          </w:p>
        </w:tc>
        <w:tc>
          <w:tcPr>
            <w:tcW w:w="901" w:type="dxa"/>
            <w:shd w:val="clear" w:color="auto" w:fill="auto"/>
            <w:noWrap/>
            <w:vAlign w:val="center"/>
            <w:hideMark/>
          </w:tcPr>
          <w:p w14:paraId="1D19B7DD"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,000</w:t>
            </w:r>
          </w:p>
        </w:tc>
        <w:tc>
          <w:tcPr>
            <w:tcW w:w="1041" w:type="dxa"/>
            <w:shd w:val="clear" w:color="auto" w:fill="auto"/>
            <w:noWrap/>
            <w:vAlign w:val="center"/>
            <w:hideMark/>
          </w:tcPr>
          <w:p w14:paraId="7EAF53F3"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,256</w:t>
            </w:r>
          </w:p>
        </w:tc>
      </w:tr>
      <w:tr w:rsidR="00600C79" w:rsidRPr="006466D8" w14:paraId="68D9401C" w14:textId="77777777" w:rsidTr="00CE483A">
        <w:trPr>
          <w:trHeight w:val="300"/>
        </w:trPr>
        <w:tc>
          <w:tcPr>
            <w:tcW w:w="3260" w:type="dxa"/>
            <w:shd w:val="clear" w:color="auto" w:fill="auto"/>
            <w:hideMark/>
          </w:tcPr>
          <w:p w14:paraId="28087EA2"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Constant</w:t>
            </w:r>
          </w:p>
        </w:tc>
        <w:tc>
          <w:tcPr>
            <w:tcW w:w="1418" w:type="dxa"/>
            <w:shd w:val="clear" w:color="auto" w:fill="auto"/>
            <w:noWrap/>
            <w:vAlign w:val="center"/>
            <w:hideMark/>
          </w:tcPr>
          <w:p w14:paraId="68EEE69D"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-26,838</w:t>
            </w:r>
          </w:p>
        </w:tc>
        <w:tc>
          <w:tcPr>
            <w:tcW w:w="1276" w:type="dxa"/>
            <w:shd w:val="clear" w:color="auto" w:fill="auto"/>
            <w:noWrap/>
            <w:vAlign w:val="center"/>
            <w:hideMark/>
          </w:tcPr>
          <w:p w14:paraId="3012061A"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5,228</w:t>
            </w:r>
          </w:p>
        </w:tc>
        <w:tc>
          <w:tcPr>
            <w:tcW w:w="1275" w:type="dxa"/>
            <w:shd w:val="clear" w:color="auto" w:fill="auto"/>
            <w:noWrap/>
            <w:vAlign w:val="center"/>
            <w:hideMark/>
          </w:tcPr>
          <w:p w14:paraId="3E80F0F5"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26,353</w:t>
            </w:r>
          </w:p>
        </w:tc>
        <w:tc>
          <w:tcPr>
            <w:tcW w:w="901" w:type="dxa"/>
            <w:shd w:val="clear" w:color="auto" w:fill="auto"/>
            <w:noWrap/>
            <w:vAlign w:val="center"/>
            <w:hideMark/>
          </w:tcPr>
          <w:p w14:paraId="73A8B4DA"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,000</w:t>
            </w:r>
          </w:p>
        </w:tc>
        <w:tc>
          <w:tcPr>
            <w:tcW w:w="1041" w:type="dxa"/>
            <w:shd w:val="clear" w:color="auto" w:fill="auto"/>
            <w:noWrap/>
            <w:vAlign w:val="center"/>
            <w:hideMark/>
          </w:tcPr>
          <w:p w14:paraId="2A2F04D6" w14:textId="77777777" w:rsidR="00600C79" w:rsidRPr="006466D8" w:rsidRDefault="00600C79"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5E+11</w:t>
            </w:r>
          </w:p>
        </w:tc>
      </w:tr>
      <w:tr w:rsidR="00600C79" w:rsidRPr="000E0481" w14:paraId="71B6DFC8" w14:textId="77777777" w:rsidTr="00CE483A">
        <w:trPr>
          <w:trHeight w:val="350"/>
        </w:trPr>
        <w:tc>
          <w:tcPr>
            <w:tcW w:w="9171" w:type="dxa"/>
            <w:gridSpan w:val="6"/>
            <w:shd w:val="clear" w:color="auto" w:fill="auto"/>
          </w:tcPr>
          <w:p w14:paraId="717D5F1D" w14:textId="18EC3735" w:rsidR="00600C79" w:rsidRPr="006466D8" w:rsidRDefault="00174CFF" w:rsidP="006466D8">
            <w:pPr>
              <w:rPr>
                <w:rFonts w:ascii="Times New Roman" w:hAnsi="Times New Roman" w:cs="Times New Roman"/>
                <w:sz w:val="28"/>
                <w:szCs w:val="28"/>
                <w:lang w:val="en-US"/>
              </w:rPr>
            </w:pPr>
            <w:r w:rsidRPr="006466D8">
              <w:rPr>
                <w:rFonts w:ascii="Times New Roman" w:hAnsi="Times New Roman" w:cs="Times New Roman"/>
                <w:sz w:val="28"/>
                <w:szCs w:val="28"/>
                <w:lang w:val="en-US"/>
              </w:rPr>
              <w:t xml:space="preserve">       </w:t>
            </w:r>
            <w:r w:rsidR="00600C79" w:rsidRPr="00950946">
              <w:rPr>
                <w:rFonts w:ascii="Times New Roman" w:hAnsi="Times New Roman" w:cs="Times New Roman"/>
                <w:sz w:val="24"/>
                <w:szCs w:val="24"/>
                <w:lang w:val="en-US"/>
              </w:rPr>
              <w:t>Note – Compiled by author based on [</w:t>
            </w:r>
            <w:r w:rsidR="001D41CA" w:rsidRPr="00950946">
              <w:rPr>
                <w:rFonts w:ascii="Times New Roman" w:hAnsi="Times New Roman" w:cs="Times New Roman"/>
                <w:sz w:val="24"/>
                <w:szCs w:val="24"/>
                <w:lang w:val="en-US"/>
              </w:rPr>
              <w:t>218</w:t>
            </w:r>
            <w:r w:rsidR="00600C79" w:rsidRPr="00950946">
              <w:rPr>
                <w:rFonts w:ascii="Times New Roman" w:hAnsi="Times New Roman" w:cs="Times New Roman"/>
                <w:sz w:val="24"/>
                <w:szCs w:val="24"/>
                <w:lang w:val="en-US"/>
              </w:rPr>
              <w:t>]</w:t>
            </w:r>
          </w:p>
        </w:tc>
      </w:tr>
    </w:tbl>
    <w:p w14:paraId="0FB3EC6D" w14:textId="77777777" w:rsidR="00600C79" w:rsidRPr="00174CFF" w:rsidRDefault="00600C79" w:rsidP="00CE483A">
      <w:pPr>
        <w:pStyle w:val="af"/>
        <w:contextualSpacing/>
        <w:jc w:val="both"/>
        <w:rPr>
          <w:rFonts w:ascii="Times New Roman" w:hAnsi="Times New Roman" w:cs="Times New Roman"/>
          <w:sz w:val="28"/>
          <w:szCs w:val="28"/>
          <w:lang w:val="en-US"/>
        </w:rPr>
      </w:pPr>
    </w:p>
    <w:p w14:paraId="0481D350" w14:textId="3EEC344E" w:rsidR="00600C79" w:rsidRPr="00174CFF" w:rsidRDefault="00600C79" w:rsidP="00600C79">
      <w:pPr>
        <w:spacing w:after="0" w:line="240" w:lineRule="auto"/>
        <w:ind w:firstLine="720"/>
        <w:contextualSpacing/>
        <w:jc w:val="both"/>
        <w:rPr>
          <w:rFonts w:ascii="Times New Roman" w:hAnsi="Times New Roman" w:cs="Times New Roman"/>
          <w:sz w:val="28"/>
          <w:szCs w:val="28"/>
          <w:lang w:val="en-US"/>
        </w:rPr>
      </w:pPr>
      <w:r w:rsidRPr="00174CFF">
        <w:rPr>
          <w:rFonts w:ascii="Times New Roman" w:hAnsi="Times New Roman" w:cs="Times New Roman"/>
          <w:sz w:val="28"/>
          <w:szCs w:val="28"/>
          <w:lang w:val="en-US"/>
        </w:rPr>
        <w:t>Thus, the algorithm for selecting statistically significant variables settled on a four-factor model. All coefficients are statistically significant. At the same time, the Q5.8 variable “Acquaintances, relatives, personal connections” has the greatest influence on the dependent variable compared to other variables due to the highest value of the Wald statistic (table 1</w:t>
      </w:r>
      <w:r w:rsidR="00E337D3">
        <w:rPr>
          <w:rFonts w:ascii="Times New Roman" w:hAnsi="Times New Roman" w:cs="Times New Roman"/>
          <w:sz w:val="28"/>
          <w:szCs w:val="28"/>
          <w:lang w:val="en-US"/>
        </w:rPr>
        <w:t>6</w:t>
      </w:r>
      <w:r w:rsidRPr="00174CFF">
        <w:rPr>
          <w:rFonts w:ascii="Times New Roman" w:hAnsi="Times New Roman" w:cs="Times New Roman"/>
          <w:sz w:val="28"/>
          <w:szCs w:val="28"/>
          <w:lang w:val="en-US"/>
        </w:rPr>
        <w:t>).</w:t>
      </w:r>
    </w:p>
    <w:p w14:paraId="03946302"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bookmarkStart w:id="22" w:name="_Hlk182201207"/>
      <w:r w:rsidRPr="00174CFF">
        <w:rPr>
          <w:rFonts w:ascii="Times New Roman" w:hAnsi="Times New Roman" w:cs="Times New Roman"/>
          <w:sz w:val="28"/>
          <w:szCs w:val="28"/>
          <w:lang w:val="en-US"/>
        </w:rPr>
        <w:lastRenderedPageBreak/>
        <w:t>Variables Q3.1 “Lack of experience” and Q3.7 “There were few places offered in my specialty” have positive signs with regression coefficients, which indicates a directly proportional relationship between these variables and the probability of student employment, that is, the more participants respondents agree with these statements, the less likely they are to get a job. Variables Q5.8 "Acquaintances, relatives, personal connections" and Q6.1 "Development of research, technology, innovation and entrepreneurship</w:t>
      </w:r>
      <w:r w:rsidRPr="00244343">
        <w:rPr>
          <w:rFonts w:ascii="Times New Roman" w:hAnsi="Times New Roman" w:cs="Times New Roman"/>
          <w:sz w:val="28"/>
          <w:szCs w:val="28"/>
          <w:lang w:val="en-US"/>
        </w:rPr>
        <w:t>" have a negative regression coefficient, which indicates an inversely proportional relationship, that is, the more respondents agree with these statements, the more likely they are to get a job.</w:t>
      </w:r>
    </w:p>
    <w:p w14:paraId="6EA6E704" w14:textId="7ADA6B1F" w:rsidR="00600C79"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In practice, the logistic regression model can be used to predict the probability of university graduates getting a job in their specialty. The predictive value is determined by substituting the corresponding values of the independent variables into the regression equation. </w:t>
      </w:r>
      <w:bookmarkEnd w:id="22"/>
      <w:r w:rsidRPr="00244343">
        <w:rPr>
          <w:rFonts w:ascii="Times New Roman" w:hAnsi="Times New Roman" w:cs="Times New Roman"/>
          <w:sz w:val="28"/>
          <w:szCs w:val="28"/>
          <w:lang w:val="en-US"/>
        </w:rPr>
        <w:t>So, for example, if a student in question Q3.1 marked 3 points, in question Q3.7 marked 7 points, in question Q5.8 marked 7 points, and in question Q6.1 marked 1 point, substituting these values into the model, the equation will look like this:</w:t>
      </w:r>
    </w:p>
    <w:p w14:paraId="284C843E" w14:textId="77777777" w:rsidR="003715CC" w:rsidRPr="00244343" w:rsidRDefault="003715CC" w:rsidP="00600C79">
      <w:pPr>
        <w:spacing w:after="0" w:line="240" w:lineRule="auto"/>
        <w:ind w:firstLine="720"/>
        <w:contextualSpacing/>
        <w:jc w:val="both"/>
        <w:rPr>
          <w:rFonts w:ascii="Times New Roman" w:hAnsi="Times New Roman" w:cs="Times New Roman"/>
          <w:sz w:val="28"/>
          <w:szCs w:val="28"/>
          <w:lang w:val="en-US"/>
        </w:rPr>
      </w:pPr>
    </w:p>
    <w:p w14:paraId="13F97380" w14:textId="79457C8A" w:rsidR="00600C79" w:rsidRPr="00244343" w:rsidRDefault="00600C79" w:rsidP="00EC52F2">
      <w:pPr>
        <w:spacing w:after="0" w:line="240" w:lineRule="auto"/>
        <w:ind w:firstLine="720"/>
        <w:contextualSpacing/>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Y= 26,838 + </w:t>
      </w:r>
      <w:r w:rsidRPr="00244343">
        <w:rPr>
          <w:rFonts w:ascii="Times New Roman" w:eastAsia="Times New Roman" w:hAnsi="Times New Roman" w:cs="Times New Roman"/>
          <w:sz w:val="28"/>
          <w:szCs w:val="28"/>
          <w:lang w:val="en-US"/>
        </w:rPr>
        <w:t>1,341</w:t>
      </w:r>
      <w:r w:rsidRPr="00244343">
        <w:rPr>
          <w:rFonts w:ascii="Times New Roman" w:hAnsi="Times New Roman" w:cs="Times New Roman"/>
          <w:sz w:val="28"/>
          <w:szCs w:val="28"/>
          <w:lang w:val="en-US"/>
        </w:rPr>
        <w:t>*</w:t>
      </w:r>
      <w:r w:rsidRPr="00244343">
        <w:rPr>
          <w:rFonts w:ascii="Times New Roman" w:hAnsi="Times New Roman" w:cs="Times New Roman"/>
          <w:i/>
          <w:iCs/>
          <w:sz w:val="28"/>
          <w:szCs w:val="28"/>
          <w:lang w:val="en-US"/>
        </w:rPr>
        <w:t>Q3.1</w:t>
      </w:r>
      <w:r w:rsidRPr="00244343">
        <w:rPr>
          <w:rFonts w:ascii="Times New Roman" w:hAnsi="Times New Roman" w:cs="Times New Roman"/>
          <w:sz w:val="28"/>
          <w:szCs w:val="28"/>
          <w:lang w:val="en-US"/>
        </w:rPr>
        <w:t xml:space="preserve"> + </w:t>
      </w:r>
      <w:r w:rsidRPr="00244343">
        <w:rPr>
          <w:rFonts w:ascii="Times New Roman" w:eastAsia="Times New Roman" w:hAnsi="Times New Roman" w:cs="Times New Roman"/>
          <w:sz w:val="28"/>
          <w:szCs w:val="28"/>
          <w:lang w:val="en-US"/>
        </w:rPr>
        <w:t>1,745</w:t>
      </w:r>
      <w:r w:rsidRPr="00244343">
        <w:rPr>
          <w:rFonts w:ascii="Times New Roman" w:hAnsi="Times New Roman" w:cs="Times New Roman"/>
          <w:sz w:val="28"/>
          <w:szCs w:val="28"/>
          <w:lang w:val="en-US"/>
        </w:rPr>
        <w:t>*</w:t>
      </w:r>
      <w:r w:rsidRPr="00244343">
        <w:rPr>
          <w:rFonts w:ascii="Times New Roman" w:hAnsi="Times New Roman" w:cs="Times New Roman"/>
          <w:i/>
          <w:iCs/>
          <w:sz w:val="28"/>
          <w:szCs w:val="28"/>
          <w:lang w:val="en-US"/>
        </w:rPr>
        <w:t>Q3.7</w:t>
      </w:r>
      <w:r w:rsidRPr="00244343">
        <w:rPr>
          <w:rFonts w:ascii="Times New Roman" w:hAnsi="Times New Roman" w:cs="Times New Roman"/>
          <w:sz w:val="28"/>
          <w:szCs w:val="28"/>
          <w:lang w:val="en-US"/>
        </w:rPr>
        <w:t xml:space="preserve"> - </w:t>
      </w:r>
      <w:r w:rsidRPr="00244343">
        <w:rPr>
          <w:rFonts w:ascii="Times New Roman" w:eastAsia="Times New Roman" w:hAnsi="Times New Roman" w:cs="Times New Roman"/>
          <w:sz w:val="28"/>
          <w:szCs w:val="28"/>
          <w:lang w:val="en-US"/>
        </w:rPr>
        <w:t>5,908</w:t>
      </w:r>
      <w:r w:rsidRPr="00244343">
        <w:rPr>
          <w:rFonts w:ascii="Times New Roman" w:hAnsi="Times New Roman" w:cs="Times New Roman"/>
          <w:sz w:val="28"/>
          <w:szCs w:val="28"/>
          <w:lang w:val="en-US"/>
        </w:rPr>
        <w:t>*</w:t>
      </w:r>
      <w:r w:rsidRPr="00244343">
        <w:rPr>
          <w:rFonts w:ascii="Times New Roman" w:hAnsi="Times New Roman" w:cs="Times New Roman"/>
          <w:i/>
          <w:iCs/>
          <w:sz w:val="28"/>
          <w:szCs w:val="28"/>
          <w:lang w:val="en-US"/>
        </w:rPr>
        <w:t>Q5.8</w:t>
      </w:r>
      <w:r w:rsidRPr="00244343">
        <w:rPr>
          <w:rFonts w:ascii="Times New Roman" w:hAnsi="Times New Roman" w:cs="Times New Roman"/>
          <w:sz w:val="28"/>
          <w:szCs w:val="28"/>
          <w:lang w:val="en-US"/>
        </w:rPr>
        <w:t xml:space="preserve"> - 1,361*</w:t>
      </w:r>
      <w:r w:rsidRPr="00244343">
        <w:rPr>
          <w:rFonts w:ascii="Times New Roman" w:hAnsi="Times New Roman" w:cs="Times New Roman"/>
          <w:i/>
          <w:iCs/>
          <w:sz w:val="28"/>
          <w:szCs w:val="28"/>
          <w:lang w:val="en-US"/>
        </w:rPr>
        <w:t xml:space="preserve">Q6.1  </w:t>
      </w:r>
      <w:r w:rsidR="00EC52F2">
        <w:rPr>
          <w:rFonts w:ascii="Times New Roman" w:hAnsi="Times New Roman" w:cs="Times New Roman"/>
          <w:i/>
          <w:iCs/>
          <w:sz w:val="28"/>
          <w:szCs w:val="28"/>
          <w:lang w:val="en-US"/>
        </w:rPr>
        <w:t xml:space="preserve">    </w:t>
      </w:r>
      <w:proofErr w:type="gramStart"/>
      <w:r w:rsidR="00EC52F2">
        <w:rPr>
          <w:rFonts w:ascii="Times New Roman" w:hAnsi="Times New Roman" w:cs="Times New Roman"/>
          <w:i/>
          <w:iCs/>
          <w:sz w:val="28"/>
          <w:szCs w:val="28"/>
          <w:lang w:val="en-US"/>
        </w:rPr>
        <w:t xml:space="preserve">   </w:t>
      </w:r>
      <w:r w:rsidR="00EC52F2" w:rsidRPr="00244343">
        <w:rPr>
          <w:rFonts w:ascii="Times New Roman" w:hAnsi="Times New Roman" w:cs="Times New Roman"/>
          <w:sz w:val="28"/>
          <w:szCs w:val="28"/>
          <w:lang w:val="en-US"/>
        </w:rPr>
        <w:t>(</w:t>
      </w:r>
      <w:proofErr w:type="gramEnd"/>
      <w:r w:rsidR="00EC52F2" w:rsidRPr="00244343">
        <w:rPr>
          <w:rFonts w:ascii="Times New Roman" w:hAnsi="Times New Roman" w:cs="Times New Roman"/>
          <w:sz w:val="28"/>
          <w:szCs w:val="28"/>
          <w:lang w:val="en-US"/>
        </w:rPr>
        <w:t>4)</w:t>
      </w:r>
      <w:r w:rsidRPr="00244343">
        <w:rPr>
          <w:rFonts w:ascii="Times New Roman" w:hAnsi="Times New Roman" w:cs="Times New Roman"/>
          <w:i/>
          <w:iCs/>
          <w:sz w:val="28"/>
          <w:szCs w:val="28"/>
          <w:lang w:val="en-US"/>
        </w:rPr>
        <w:t xml:space="preserve">           </w:t>
      </w:r>
      <w:r w:rsidRPr="00244343">
        <w:rPr>
          <w:rFonts w:ascii="Times New Roman" w:hAnsi="Times New Roman" w:cs="Times New Roman"/>
          <w:sz w:val="28"/>
          <w:szCs w:val="28"/>
          <w:lang w:val="en-US"/>
        </w:rPr>
        <w:t xml:space="preserve">      </w:t>
      </w:r>
    </w:p>
    <w:p w14:paraId="5B3AAEAF" w14:textId="77777777" w:rsidR="00EC52F2" w:rsidRDefault="00EC52F2" w:rsidP="00EC52F2">
      <w:pPr>
        <w:spacing w:after="0" w:line="240" w:lineRule="auto"/>
        <w:ind w:firstLine="720"/>
        <w:contextualSpacing/>
        <w:rPr>
          <w:rFonts w:ascii="Times New Roman" w:hAnsi="Times New Roman" w:cs="Times New Roman"/>
          <w:sz w:val="28"/>
          <w:szCs w:val="28"/>
          <w:lang w:val="en-US"/>
        </w:rPr>
      </w:pPr>
    </w:p>
    <w:p w14:paraId="63D0B077" w14:textId="44D284BA" w:rsidR="00600C79" w:rsidRPr="00244343" w:rsidRDefault="00600C79" w:rsidP="00EC52F2">
      <w:pPr>
        <w:spacing w:after="0" w:line="240" w:lineRule="auto"/>
        <w:ind w:firstLine="720"/>
        <w:contextualSpacing/>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Y= 26,838 + </w:t>
      </w:r>
      <w:r w:rsidRPr="00244343">
        <w:rPr>
          <w:rFonts w:ascii="Times New Roman" w:eastAsia="Times New Roman" w:hAnsi="Times New Roman" w:cs="Times New Roman"/>
          <w:sz w:val="28"/>
          <w:szCs w:val="28"/>
          <w:lang w:val="en-US"/>
        </w:rPr>
        <w:t>1,341</w:t>
      </w:r>
      <w:r w:rsidRPr="00244343">
        <w:rPr>
          <w:rFonts w:ascii="Times New Roman" w:hAnsi="Times New Roman" w:cs="Times New Roman"/>
          <w:sz w:val="28"/>
          <w:szCs w:val="28"/>
          <w:lang w:val="en-US"/>
        </w:rPr>
        <w:t>*</w:t>
      </w:r>
      <w:r w:rsidRPr="00244343">
        <w:rPr>
          <w:rFonts w:ascii="Times New Roman" w:hAnsi="Times New Roman" w:cs="Times New Roman"/>
          <w:i/>
          <w:iCs/>
          <w:sz w:val="28"/>
          <w:szCs w:val="28"/>
          <w:lang w:val="en-US"/>
        </w:rPr>
        <w:t>3</w:t>
      </w:r>
      <w:r w:rsidRPr="00244343">
        <w:rPr>
          <w:rFonts w:ascii="Times New Roman" w:hAnsi="Times New Roman" w:cs="Times New Roman"/>
          <w:sz w:val="28"/>
          <w:szCs w:val="28"/>
          <w:lang w:val="en-US"/>
        </w:rPr>
        <w:t xml:space="preserve"> + </w:t>
      </w:r>
      <w:r w:rsidRPr="00244343">
        <w:rPr>
          <w:rFonts w:ascii="Times New Roman" w:eastAsia="Times New Roman" w:hAnsi="Times New Roman" w:cs="Times New Roman"/>
          <w:sz w:val="28"/>
          <w:szCs w:val="28"/>
          <w:lang w:val="en-US"/>
        </w:rPr>
        <w:t>1,745</w:t>
      </w:r>
      <w:r w:rsidRPr="00244343">
        <w:rPr>
          <w:rFonts w:ascii="Times New Roman" w:hAnsi="Times New Roman" w:cs="Times New Roman"/>
          <w:sz w:val="28"/>
          <w:szCs w:val="28"/>
          <w:lang w:val="en-US"/>
        </w:rPr>
        <w:t>*</w:t>
      </w:r>
      <w:r w:rsidRPr="00244343">
        <w:rPr>
          <w:rFonts w:ascii="Times New Roman" w:hAnsi="Times New Roman" w:cs="Times New Roman"/>
          <w:i/>
          <w:iCs/>
          <w:sz w:val="28"/>
          <w:szCs w:val="28"/>
          <w:lang w:val="en-US"/>
        </w:rPr>
        <w:t>7</w:t>
      </w:r>
      <w:r w:rsidRPr="00244343">
        <w:rPr>
          <w:rFonts w:ascii="Times New Roman" w:hAnsi="Times New Roman" w:cs="Times New Roman"/>
          <w:sz w:val="28"/>
          <w:szCs w:val="28"/>
          <w:lang w:val="en-US"/>
        </w:rPr>
        <w:t xml:space="preserve"> - </w:t>
      </w:r>
      <w:r w:rsidRPr="00244343">
        <w:rPr>
          <w:rFonts w:ascii="Times New Roman" w:eastAsia="Times New Roman" w:hAnsi="Times New Roman" w:cs="Times New Roman"/>
          <w:sz w:val="28"/>
          <w:szCs w:val="28"/>
          <w:lang w:val="en-US"/>
        </w:rPr>
        <w:t>5,908</w:t>
      </w:r>
      <w:r w:rsidRPr="00244343">
        <w:rPr>
          <w:rFonts w:ascii="Times New Roman" w:hAnsi="Times New Roman" w:cs="Times New Roman"/>
          <w:sz w:val="28"/>
          <w:szCs w:val="28"/>
          <w:lang w:val="en-US"/>
        </w:rPr>
        <w:t>*</w:t>
      </w:r>
      <w:r w:rsidRPr="00244343">
        <w:rPr>
          <w:rFonts w:ascii="Times New Roman" w:hAnsi="Times New Roman" w:cs="Times New Roman"/>
          <w:i/>
          <w:iCs/>
          <w:sz w:val="28"/>
          <w:szCs w:val="28"/>
          <w:lang w:val="en-US"/>
        </w:rPr>
        <w:t>7</w:t>
      </w:r>
      <w:r w:rsidRPr="00244343">
        <w:rPr>
          <w:rFonts w:ascii="Times New Roman" w:hAnsi="Times New Roman" w:cs="Times New Roman"/>
          <w:sz w:val="28"/>
          <w:szCs w:val="28"/>
          <w:lang w:val="en-US"/>
        </w:rPr>
        <w:t xml:space="preserve"> - 1,361*</w:t>
      </w:r>
      <w:r w:rsidRPr="00244343">
        <w:rPr>
          <w:rFonts w:ascii="Times New Roman" w:hAnsi="Times New Roman" w:cs="Times New Roman"/>
          <w:i/>
          <w:iCs/>
          <w:sz w:val="28"/>
          <w:szCs w:val="28"/>
          <w:lang w:val="en-US"/>
        </w:rPr>
        <w:t xml:space="preserve">1                     </w:t>
      </w:r>
      <w:r w:rsidR="00EC52F2">
        <w:rPr>
          <w:rFonts w:ascii="Times New Roman" w:hAnsi="Times New Roman" w:cs="Times New Roman"/>
          <w:i/>
          <w:iCs/>
          <w:sz w:val="28"/>
          <w:szCs w:val="28"/>
          <w:lang w:val="en-US"/>
        </w:rPr>
        <w:t xml:space="preserve">         </w:t>
      </w:r>
      <w:proofErr w:type="gramStart"/>
      <w:r w:rsidR="00EC52F2">
        <w:rPr>
          <w:rFonts w:ascii="Times New Roman" w:hAnsi="Times New Roman" w:cs="Times New Roman"/>
          <w:i/>
          <w:iCs/>
          <w:sz w:val="28"/>
          <w:szCs w:val="28"/>
          <w:lang w:val="en-US"/>
        </w:rPr>
        <w:t xml:space="preserve">   </w:t>
      </w:r>
      <w:r w:rsidRPr="00244343">
        <w:rPr>
          <w:rFonts w:ascii="Times New Roman" w:hAnsi="Times New Roman" w:cs="Times New Roman"/>
          <w:sz w:val="28"/>
          <w:szCs w:val="28"/>
          <w:lang w:val="en-US"/>
        </w:rPr>
        <w:t>(</w:t>
      </w:r>
      <w:proofErr w:type="gramEnd"/>
      <w:r w:rsidRPr="00244343">
        <w:rPr>
          <w:rFonts w:ascii="Times New Roman" w:hAnsi="Times New Roman" w:cs="Times New Roman"/>
          <w:sz w:val="28"/>
          <w:szCs w:val="28"/>
          <w:lang w:val="en-US"/>
        </w:rPr>
        <w:t>5)</w:t>
      </w:r>
    </w:p>
    <w:p w14:paraId="580EC38F"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Y value is 0.359. This value must be substituted into the logistic function, which has the following form:</w:t>
      </w:r>
    </w:p>
    <w:p w14:paraId="4971283B" w14:textId="77777777" w:rsidR="00600C79" w:rsidRPr="00244343" w:rsidRDefault="00600C79" w:rsidP="00600C79">
      <w:pPr>
        <w:spacing w:after="0" w:line="240" w:lineRule="auto"/>
        <w:ind w:firstLine="720"/>
        <w:contextualSpacing/>
        <w:jc w:val="both"/>
        <w:rPr>
          <w:rFonts w:ascii="Times New Roman" w:eastAsiaTheme="minorEastAsia" w:hAnsi="Times New Roman" w:cs="Times New Roman"/>
          <w:sz w:val="28"/>
          <w:szCs w:val="28"/>
          <w:lang w:val="en-US"/>
        </w:rPr>
      </w:pPr>
    </w:p>
    <w:p w14:paraId="15212CC3"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m:oMath>
        <m:r>
          <w:rPr>
            <w:rFonts w:ascii="Cambria Math" w:hAnsi="Cambria Math" w:cs="Times New Roman"/>
            <w:sz w:val="28"/>
            <w:szCs w:val="28"/>
            <w:lang w:val="en-US"/>
          </w:rPr>
          <m:t xml:space="preserve">                                                              p=</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1+</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-y</m:t>
                </m:r>
              </m:sup>
            </m:sSup>
          </m:den>
        </m:f>
      </m:oMath>
      <w:r w:rsidRPr="00244343">
        <w:rPr>
          <w:rFonts w:ascii="Times New Roman" w:eastAsiaTheme="minorEastAsia" w:hAnsi="Times New Roman" w:cs="Times New Roman"/>
          <w:sz w:val="28"/>
          <w:szCs w:val="28"/>
          <w:lang w:val="en-US"/>
        </w:rPr>
        <w:t xml:space="preserve">                                                               (6)</w:t>
      </w:r>
    </w:p>
    <w:p w14:paraId="34BEF9B3"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p>
    <w:p w14:paraId="1D7E1F19"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To calculate the probability of an event occurring, it is necessary to substitute the obtained value into the formula</w:t>
      </w:r>
    </w:p>
    <w:p w14:paraId="0A7BB81C"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p>
    <w:p w14:paraId="7B816766" w14:textId="77777777" w:rsidR="003715CC" w:rsidRDefault="00600C79" w:rsidP="00600C79">
      <w:pPr>
        <w:spacing w:after="0" w:line="240" w:lineRule="auto"/>
        <w:ind w:firstLine="720"/>
        <w:contextualSpacing/>
        <w:jc w:val="both"/>
        <w:rPr>
          <w:rFonts w:ascii="Times New Roman" w:eastAsiaTheme="minorEastAsia" w:hAnsi="Times New Roman" w:cs="Times New Roman"/>
          <w:sz w:val="28"/>
          <w:szCs w:val="28"/>
          <w:lang w:val="en-US"/>
        </w:rPr>
      </w:pPr>
      <m:oMath>
        <m:r>
          <w:rPr>
            <w:rFonts w:ascii="Cambria Math" w:hAnsi="Cambria Math" w:cs="Times New Roman"/>
            <w:sz w:val="28"/>
            <w:szCs w:val="28"/>
            <w:lang w:val="en-US"/>
          </w:rPr>
          <m:t xml:space="preserve">                                                              p=</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1+</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-0,359</m:t>
                </m:r>
              </m:sup>
            </m:sSup>
          </m:den>
        </m:f>
      </m:oMath>
      <w:r w:rsidRPr="00244343">
        <w:rPr>
          <w:rFonts w:ascii="Times New Roman" w:eastAsiaTheme="minorEastAsia" w:hAnsi="Times New Roman" w:cs="Times New Roman"/>
          <w:sz w:val="28"/>
          <w:szCs w:val="28"/>
          <w:lang w:val="en-US"/>
        </w:rPr>
        <w:t xml:space="preserve">                                                           </w:t>
      </w:r>
    </w:p>
    <w:p w14:paraId="4C0BBD6F" w14:textId="3C17BE92" w:rsidR="00600C79" w:rsidRDefault="00600C79" w:rsidP="00644EE2">
      <w:pPr>
        <w:spacing w:after="0" w:line="240" w:lineRule="auto"/>
        <w:ind w:firstLine="720"/>
        <w:contextualSpacing/>
        <w:jc w:val="right"/>
        <w:rPr>
          <w:rFonts w:ascii="Times New Roman" w:hAnsi="Times New Roman" w:cs="Times New Roman"/>
          <w:sz w:val="28"/>
          <w:szCs w:val="28"/>
          <w:lang w:val="en-US"/>
        </w:rPr>
      </w:pPr>
      <w:r w:rsidRPr="00244343">
        <w:rPr>
          <w:rFonts w:ascii="Times New Roman" w:eastAsiaTheme="minorEastAsia" w:hAnsi="Times New Roman" w:cs="Times New Roman"/>
          <w:sz w:val="28"/>
          <w:szCs w:val="28"/>
          <w:lang w:val="en-US"/>
        </w:rPr>
        <w:t>(7)</w:t>
      </w:r>
    </w:p>
    <w:p w14:paraId="75F6B869" w14:textId="77777777" w:rsidR="00644EE2" w:rsidRPr="00244343" w:rsidRDefault="00644EE2" w:rsidP="00644EE2">
      <w:pPr>
        <w:spacing w:after="0" w:line="240" w:lineRule="auto"/>
        <w:ind w:firstLine="720"/>
        <w:contextualSpacing/>
        <w:jc w:val="right"/>
        <w:rPr>
          <w:rFonts w:ascii="Times New Roman" w:hAnsi="Times New Roman" w:cs="Times New Roman"/>
          <w:sz w:val="28"/>
          <w:szCs w:val="28"/>
          <w:lang w:val="en-US"/>
        </w:rPr>
      </w:pPr>
    </w:p>
    <w:p w14:paraId="796F2649"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result is 0.589. This probability is greater than 0.5, which is the default cutoff point. Accordingly, such a graduate must be attributed to the second group, that is, to the group of graduates who most likely will not be able to get a job in their specialty within a year after graduation.</w:t>
      </w:r>
    </w:p>
    <w:p w14:paraId="381CABFE"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following figure is a graph of the classification of correctly and incorrectly predicted cases of two event groups. The horizontal axis shows the probability of the event occurring, the vertical axis shows the frequency of the event. Ideally, to the left of the point 0.5 there should be only those graduates who were able to find a job, and to the right - those who could not find a job. However, although the model has a high predictive ability, it sometimes makes erroneous predictions, which were displayed in the model classification table. This graph shows this visually. So, for example, in the probabilistic range from 0.2 to 0.3, there were 17 </w:t>
      </w:r>
      <w:r w:rsidRPr="00244343">
        <w:rPr>
          <w:rFonts w:ascii="Times New Roman" w:hAnsi="Times New Roman" w:cs="Times New Roman"/>
          <w:sz w:val="28"/>
          <w:szCs w:val="28"/>
          <w:lang w:val="en-US"/>
        </w:rPr>
        <w:lastRenderedPageBreak/>
        <w:t>graduates who were erroneously assigned by the model to the group of those who were employed, although in fact they could not find a job.</w:t>
      </w:r>
    </w:p>
    <w:p w14:paraId="3EFEF149" w14:textId="207298B2"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rPr>
        <w:t xml:space="preserve">Figure 36 </w:t>
      </w:r>
      <w:r w:rsidRPr="00244343">
        <w:rPr>
          <w:rFonts w:ascii="Times New Roman" w:eastAsia="Times New Roman" w:hAnsi="Times New Roman" w:cs="Times New Roman"/>
          <w:sz w:val="28"/>
          <w:szCs w:val="28"/>
          <w:lang w:val="en-US"/>
        </w:rPr>
        <w:t>The frequency of yes/no responses from survey respondents to the question, "Could you get a job right after graduation (Yes/No)?" is illustrated in the graph. A classification graph of correctly and incorrectly predicted cases of two categories of event occurrence is depicted in Figure 3</w:t>
      </w:r>
      <w:r w:rsidR="00B2633D">
        <w:rPr>
          <w:rFonts w:ascii="Times New Roman" w:eastAsia="Times New Roman" w:hAnsi="Times New Roman" w:cs="Times New Roman"/>
          <w:sz w:val="28"/>
          <w:szCs w:val="28"/>
          <w:lang w:val="en-US"/>
        </w:rPr>
        <w:t>7</w:t>
      </w:r>
      <w:r w:rsidRPr="00244343">
        <w:rPr>
          <w:rFonts w:ascii="Times New Roman" w:eastAsia="Times New Roman" w:hAnsi="Times New Roman" w:cs="Times New Roman"/>
          <w:sz w:val="28"/>
          <w:szCs w:val="28"/>
          <w:lang w:val="en-US"/>
        </w:rPr>
        <w:t xml:space="preserve">. The horizontal axis </w:t>
      </w:r>
      <w:proofErr w:type="spellStart"/>
      <w:r w:rsidRPr="00244343">
        <w:rPr>
          <w:rFonts w:ascii="Times New Roman" w:eastAsia="Times New Roman" w:hAnsi="Times New Roman" w:cs="Times New Roman"/>
          <w:sz w:val="28"/>
          <w:szCs w:val="28"/>
          <w:lang w:val="en-US"/>
        </w:rPr>
        <w:t>characterises</w:t>
      </w:r>
      <w:proofErr w:type="spellEnd"/>
      <w:r w:rsidRPr="00244343">
        <w:rPr>
          <w:rFonts w:ascii="Times New Roman" w:eastAsia="Times New Roman" w:hAnsi="Times New Roman" w:cs="Times New Roman"/>
          <w:sz w:val="28"/>
          <w:szCs w:val="28"/>
          <w:lang w:val="en-US"/>
        </w:rPr>
        <w:t xml:space="preserve"> the probability, while the vertical axis </w:t>
      </w:r>
      <w:proofErr w:type="spellStart"/>
      <w:r w:rsidRPr="00244343">
        <w:rPr>
          <w:rFonts w:ascii="Times New Roman" w:eastAsia="Times New Roman" w:hAnsi="Times New Roman" w:cs="Times New Roman"/>
          <w:sz w:val="28"/>
          <w:szCs w:val="28"/>
          <w:lang w:val="en-US"/>
        </w:rPr>
        <w:t>characterises</w:t>
      </w:r>
      <w:proofErr w:type="spellEnd"/>
      <w:r w:rsidRPr="00244343">
        <w:rPr>
          <w:rFonts w:ascii="Times New Roman" w:eastAsia="Times New Roman" w:hAnsi="Times New Roman" w:cs="Times New Roman"/>
          <w:sz w:val="28"/>
          <w:szCs w:val="28"/>
          <w:lang w:val="en-US"/>
        </w:rPr>
        <w:t xml:space="preserve"> the frequency of an event. Although the model possesses a high predictive capacity, it occasionally generates inaccurate predictions, as illustrated in Table 1</w:t>
      </w:r>
      <w:r>
        <w:rPr>
          <w:rFonts w:ascii="Times New Roman" w:eastAsia="Times New Roman" w:hAnsi="Times New Roman" w:cs="Times New Roman"/>
          <w:sz w:val="28"/>
          <w:szCs w:val="28"/>
          <w:lang w:val="en-US"/>
        </w:rPr>
        <w:t>3</w:t>
      </w:r>
      <w:r w:rsidRPr="00244343">
        <w:rPr>
          <w:rFonts w:ascii="Times New Roman" w:eastAsia="Times New Roman" w:hAnsi="Times New Roman" w:cs="Times New Roman"/>
          <w:sz w:val="28"/>
          <w:szCs w:val="28"/>
          <w:lang w:val="en-US"/>
        </w:rPr>
        <w:t xml:space="preserve">. Visibly, this is illustrated in the accompanying graph. For instance, the model incorrectly classified 17 graduates as employed, even though they could not secure employment. The correlation coefficients were calculated to demonstrate the correlation between the categories of responses to queries regarding student employment, the characteristics of universities and the employment of students in their </w:t>
      </w:r>
      <w:proofErr w:type="spellStart"/>
      <w:r w:rsidRPr="00244343">
        <w:rPr>
          <w:rFonts w:ascii="Times New Roman" w:eastAsia="Times New Roman" w:hAnsi="Times New Roman" w:cs="Times New Roman"/>
          <w:sz w:val="28"/>
          <w:szCs w:val="28"/>
          <w:lang w:val="en-US"/>
        </w:rPr>
        <w:t>speciality</w:t>
      </w:r>
      <w:proofErr w:type="spellEnd"/>
      <w:r w:rsidRPr="00244343">
        <w:rPr>
          <w:rFonts w:ascii="Times New Roman" w:eastAsia="Times New Roman" w:hAnsi="Times New Roman" w:cs="Times New Roman"/>
          <w:sz w:val="28"/>
          <w:szCs w:val="28"/>
          <w:lang w:val="en-US"/>
        </w:rPr>
        <w:t xml:space="preserve"> within a year of graduation.</w:t>
      </w:r>
    </w:p>
    <w:p w14:paraId="557B5855" w14:textId="6E12FDCE" w:rsidR="00600C79"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Consequently, the micro-model demonstrated that the employment of university graduates was either facilitated or impeded by the availability of practical experience and positions in their specialty, social connections, and the development of technology and entrepreneurship.</w:t>
      </w:r>
    </w:p>
    <w:p w14:paraId="699FC916" w14:textId="77777777" w:rsidR="00644EE2" w:rsidRPr="00244343" w:rsidRDefault="00644EE2" w:rsidP="00600C79">
      <w:pPr>
        <w:spacing w:after="0" w:line="240" w:lineRule="auto"/>
        <w:ind w:firstLine="720"/>
        <w:contextualSpacing/>
        <w:jc w:val="both"/>
        <w:rPr>
          <w:rFonts w:ascii="Times New Roman" w:eastAsia="Times New Roman" w:hAnsi="Times New Roman" w:cs="Times New Roman"/>
          <w:sz w:val="28"/>
          <w:szCs w:val="28"/>
          <w:lang w:val="en-US"/>
        </w:rPr>
      </w:pPr>
    </w:p>
    <w:p w14:paraId="166270B1" w14:textId="77777777" w:rsidR="00600C79" w:rsidRPr="00244343" w:rsidRDefault="00600C79" w:rsidP="00644EE2">
      <w:pPr>
        <w:pStyle w:val="af"/>
        <w:jc w:val="center"/>
        <w:rPr>
          <w:lang w:val="en-US"/>
        </w:rPr>
      </w:pPr>
      <w:r w:rsidRPr="00244343">
        <w:rPr>
          <w:noProof/>
          <w:lang w:eastAsia="ru-RU"/>
        </w:rPr>
        <w:drawing>
          <wp:inline distT="0" distB="0" distL="0" distR="0" wp14:anchorId="60D40848" wp14:editId="38F02AE6">
            <wp:extent cx="5783284" cy="2932430"/>
            <wp:effectExtent l="0" t="0" r="8255" b="1270"/>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2"/>
                    <a:srcRect/>
                    <a:stretch>
                      <a:fillRect/>
                    </a:stretch>
                  </pic:blipFill>
                  <pic:spPr>
                    <a:xfrm>
                      <a:off x="0" y="0"/>
                      <a:ext cx="5825108" cy="2953637"/>
                    </a:xfrm>
                    <a:prstGeom prst="rect">
                      <a:avLst/>
                    </a:prstGeom>
                    <a:ln/>
                  </pic:spPr>
                </pic:pic>
              </a:graphicData>
            </a:graphic>
          </wp:inline>
        </w:drawing>
      </w:r>
    </w:p>
    <w:p w14:paraId="5989E32E"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p>
    <w:p w14:paraId="19DD5459" w14:textId="686D5E28" w:rsidR="00600C79" w:rsidRPr="00950946" w:rsidRDefault="00600C79" w:rsidP="00950946">
      <w:pPr>
        <w:pStyle w:val="af"/>
        <w:ind w:firstLine="720"/>
        <w:jc w:val="center"/>
        <w:rPr>
          <w:rFonts w:ascii="Times New Roman" w:hAnsi="Times New Roman" w:cs="Times New Roman"/>
          <w:sz w:val="28"/>
          <w:szCs w:val="28"/>
          <w:lang w:val="en-US"/>
        </w:rPr>
      </w:pPr>
      <w:bookmarkStart w:id="23" w:name="_Toc146656881"/>
      <w:r w:rsidRPr="00950946">
        <w:rPr>
          <w:rFonts w:ascii="Times New Roman" w:hAnsi="Times New Roman" w:cs="Times New Roman"/>
          <w:sz w:val="28"/>
          <w:szCs w:val="28"/>
          <w:lang w:val="en-US"/>
        </w:rPr>
        <w:t>Figure 3</w:t>
      </w:r>
      <w:r w:rsidR="00B2633D" w:rsidRPr="00950946">
        <w:rPr>
          <w:rFonts w:ascii="Times New Roman" w:hAnsi="Times New Roman" w:cs="Times New Roman"/>
          <w:sz w:val="28"/>
          <w:szCs w:val="28"/>
          <w:lang w:val="en-US"/>
        </w:rPr>
        <w:t>7</w:t>
      </w:r>
      <w:r w:rsidRPr="00950946">
        <w:rPr>
          <w:rFonts w:ascii="Times New Roman" w:hAnsi="Times New Roman" w:cs="Times New Roman"/>
          <w:sz w:val="28"/>
          <w:szCs w:val="28"/>
          <w:lang w:val="en-US"/>
        </w:rPr>
        <w:t xml:space="preserve"> - Classification Graph</w:t>
      </w:r>
      <w:bookmarkEnd w:id="23"/>
    </w:p>
    <w:p w14:paraId="5AF99EBE" w14:textId="77777777" w:rsidR="00600C79" w:rsidRPr="00244343" w:rsidRDefault="00600C79" w:rsidP="00DF0E36">
      <w:pPr>
        <w:pStyle w:val="aa"/>
      </w:pPr>
    </w:p>
    <w:p w14:paraId="354BB2A5" w14:textId="77777777" w:rsidR="00600C79" w:rsidRPr="00950946" w:rsidRDefault="00600C79" w:rsidP="001F349A">
      <w:pPr>
        <w:pStyle w:val="aa"/>
        <w:jc w:val="left"/>
      </w:pPr>
      <w:r w:rsidRPr="00950946">
        <w:t>Note – Compiled by author based on [5]</w:t>
      </w:r>
    </w:p>
    <w:p w14:paraId="341132B1" w14:textId="77777777" w:rsidR="00600C79" w:rsidRPr="008B3D29" w:rsidRDefault="00600C79" w:rsidP="00600C79">
      <w:pPr>
        <w:spacing w:after="0" w:line="240" w:lineRule="auto"/>
        <w:ind w:firstLine="720"/>
        <w:contextualSpacing/>
        <w:jc w:val="both"/>
        <w:rPr>
          <w:rFonts w:ascii="Times New Roman" w:hAnsi="Times New Roman" w:cs="Times New Roman"/>
          <w:sz w:val="28"/>
          <w:szCs w:val="28"/>
          <w:lang w:val="en-US"/>
        </w:rPr>
      </w:pPr>
    </w:p>
    <w:p w14:paraId="12D28679" w14:textId="77777777" w:rsidR="00600C79" w:rsidRPr="003715CC" w:rsidRDefault="00600C79" w:rsidP="003F5BF1">
      <w:pPr>
        <w:pStyle w:val="af"/>
        <w:ind w:firstLine="720"/>
        <w:rPr>
          <w:rFonts w:ascii="Times New Roman" w:hAnsi="Times New Roman" w:cs="Times New Roman"/>
          <w:sz w:val="28"/>
          <w:szCs w:val="28"/>
          <w:lang w:val="en-US"/>
        </w:rPr>
      </w:pPr>
      <w:r w:rsidRPr="003715CC">
        <w:rPr>
          <w:rFonts w:ascii="Times New Roman" w:hAnsi="Times New Roman" w:cs="Times New Roman"/>
          <w:sz w:val="28"/>
          <w:szCs w:val="28"/>
          <w:lang w:val="en-US"/>
        </w:rPr>
        <w:t>Several important criteria allow one to assess the quality and predictive capability of the built model:</w:t>
      </w:r>
    </w:p>
    <w:p w14:paraId="317D7F17" w14:textId="77777777" w:rsidR="00600C79" w:rsidRPr="003715CC" w:rsidRDefault="00600C79" w:rsidP="003715CC">
      <w:pPr>
        <w:pStyle w:val="af"/>
        <w:rPr>
          <w:rFonts w:ascii="Times New Roman" w:hAnsi="Times New Roman" w:cs="Times New Roman"/>
          <w:sz w:val="28"/>
          <w:szCs w:val="28"/>
          <w:lang w:val="en-US"/>
        </w:rPr>
      </w:pPr>
      <w:r w:rsidRPr="003715CC">
        <w:rPr>
          <w:rFonts w:ascii="Times New Roman" w:hAnsi="Times New Roman" w:cs="Times New Roman"/>
          <w:sz w:val="28"/>
          <w:szCs w:val="28"/>
          <w:lang w:val="en-US"/>
        </w:rPr>
        <w:t>Relative R-squared values</w:t>
      </w:r>
    </w:p>
    <w:p w14:paraId="3681527F" w14:textId="77777777" w:rsidR="00600C79" w:rsidRPr="003715CC" w:rsidRDefault="00600C79" w:rsidP="003715CC">
      <w:pPr>
        <w:pStyle w:val="af"/>
        <w:rPr>
          <w:rFonts w:ascii="Times New Roman" w:hAnsi="Times New Roman" w:cs="Times New Roman"/>
          <w:sz w:val="28"/>
          <w:szCs w:val="28"/>
          <w:lang w:val="en-US"/>
        </w:rPr>
      </w:pPr>
      <w:r w:rsidRPr="003715CC">
        <w:rPr>
          <w:rFonts w:ascii="Times New Roman" w:hAnsi="Times New Roman" w:cs="Times New Roman"/>
          <w:sz w:val="28"/>
          <w:szCs w:val="28"/>
          <w:lang w:val="en-US"/>
        </w:rPr>
        <w:t>Accuracy percentage of the cases predicted</w:t>
      </w:r>
    </w:p>
    <w:p w14:paraId="25825902" w14:textId="61C26ED0" w:rsidR="00600C79" w:rsidRPr="003F5BF1" w:rsidRDefault="00600C79" w:rsidP="003F5BF1">
      <w:pPr>
        <w:pStyle w:val="af"/>
        <w:rPr>
          <w:rFonts w:ascii="Times New Roman" w:hAnsi="Times New Roman" w:cs="Times New Roman"/>
          <w:sz w:val="28"/>
          <w:szCs w:val="28"/>
          <w:lang w:val="en-US"/>
        </w:rPr>
      </w:pPr>
      <w:r w:rsidRPr="003715CC">
        <w:rPr>
          <w:rFonts w:ascii="Times New Roman" w:hAnsi="Times New Roman" w:cs="Times New Roman"/>
          <w:sz w:val="28"/>
          <w:szCs w:val="28"/>
          <w:lang w:val="en-US"/>
        </w:rPr>
        <w:t>ROC curve for receiver operating characteristics</w:t>
      </w:r>
    </w:p>
    <w:p w14:paraId="63F2765A" w14:textId="36BDE094" w:rsidR="003F5BF1" w:rsidRPr="00647D5B" w:rsidRDefault="00600C79" w:rsidP="00164015">
      <w:pPr>
        <w:spacing w:after="240" w:line="240" w:lineRule="auto"/>
        <w:ind w:firstLine="720"/>
        <w:contextualSpacing/>
        <w:jc w:val="both"/>
        <w:rPr>
          <w:rFonts w:ascii="Times New Roman" w:hAnsi="Times New Roman" w:cs="Times New Roman"/>
          <w:bCs/>
          <w:sz w:val="28"/>
          <w:szCs w:val="28"/>
          <w:lang w:val="en-US"/>
        </w:rPr>
      </w:pPr>
      <w:r w:rsidRPr="00647D5B">
        <w:rPr>
          <w:rFonts w:ascii="Times New Roman" w:hAnsi="Times New Roman" w:cs="Times New Roman"/>
          <w:bCs/>
          <w:sz w:val="28"/>
          <w:szCs w:val="28"/>
          <w:lang w:val="en-US"/>
        </w:rPr>
        <w:lastRenderedPageBreak/>
        <w:t>R- square:</w:t>
      </w:r>
    </w:p>
    <w:p w14:paraId="2D5D6FD9" w14:textId="77777777" w:rsidR="00647D5B" w:rsidRPr="00244343" w:rsidRDefault="00647D5B" w:rsidP="00164015">
      <w:pPr>
        <w:spacing w:after="240" w:line="240" w:lineRule="auto"/>
        <w:ind w:firstLine="720"/>
        <w:contextualSpacing/>
        <w:jc w:val="both"/>
        <w:rPr>
          <w:rFonts w:ascii="Times New Roman" w:hAnsi="Times New Roman" w:cs="Times New Roman"/>
          <w:b/>
          <w:sz w:val="28"/>
          <w:szCs w:val="28"/>
          <w:lang w:val="en-US"/>
        </w:rPr>
      </w:pPr>
    </w:p>
    <w:p w14:paraId="785AFE31" w14:textId="0311E7D9" w:rsidR="00600C79" w:rsidRDefault="00600C79" w:rsidP="00600C79">
      <w:pPr>
        <w:spacing w:after="0" w:line="240" w:lineRule="auto"/>
        <w:ind w:firstLine="720"/>
        <w:contextualSpacing/>
        <w:jc w:val="both"/>
        <w:rPr>
          <w:rFonts w:ascii="Times New Roman" w:hAnsi="Times New Roman" w:cs="Times New Roman"/>
          <w:sz w:val="28"/>
          <w:szCs w:val="28"/>
          <w:lang w:val="en-US"/>
        </w:rPr>
      </w:pPr>
      <w:bookmarkStart w:id="24" w:name="_Toc146656856"/>
      <w:r w:rsidRPr="008B3D29">
        <w:rPr>
          <w:rFonts w:ascii="Times New Roman" w:hAnsi="Times New Roman" w:cs="Times New Roman"/>
          <w:sz w:val="28"/>
          <w:szCs w:val="28"/>
          <w:lang w:val="en-US"/>
        </w:rPr>
        <w:t>Table 1</w:t>
      </w:r>
      <w:r w:rsidR="001F349A">
        <w:rPr>
          <w:rFonts w:ascii="Times New Roman" w:hAnsi="Times New Roman" w:cs="Times New Roman"/>
          <w:sz w:val="28"/>
          <w:szCs w:val="28"/>
          <w:lang w:val="en-US"/>
        </w:rPr>
        <w:t>7</w:t>
      </w:r>
      <w:r w:rsidRPr="008B3D29">
        <w:rPr>
          <w:rFonts w:ascii="Times New Roman" w:hAnsi="Times New Roman" w:cs="Times New Roman"/>
          <w:sz w:val="28"/>
          <w:szCs w:val="28"/>
          <w:lang w:val="en-US"/>
        </w:rPr>
        <w:t xml:space="preserve"> </w:t>
      </w:r>
      <w:r w:rsidR="00950946">
        <w:rPr>
          <w:rFonts w:ascii="Times New Roman" w:hAnsi="Times New Roman" w:cs="Times New Roman"/>
          <w:sz w:val="28"/>
          <w:szCs w:val="28"/>
          <w:lang w:val="en-US"/>
        </w:rPr>
        <w:t>–</w:t>
      </w:r>
      <w:r w:rsidRPr="008B3D29">
        <w:rPr>
          <w:rFonts w:ascii="Times New Roman" w:hAnsi="Times New Roman" w:cs="Times New Roman"/>
          <w:sz w:val="28"/>
          <w:szCs w:val="28"/>
          <w:lang w:val="en-US"/>
        </w:rPr>
        <w:t xml:space="preserve"> Summary for Model</w:t>
      </w:r>
      <w:bookmarkEnd w:id="24"/>
    </w:p>
    <w:p w14:paraId="12376FB7" w14:textId="77777777" w:rsidR="00146723" w:rsidRPr="008B3D29" w:rsidRDefault="00146723" w:rsidP="00600C79">
      <w:pPr>
        <w:spacing w:after="0" w:line="240" w:lineRule="auto"/>
        <w:ind w:firstLine="720"/>
        <w:contextualSpacing/>
        <w:jc w:val="both"/>
        <w:rPr>
          <w:rFonts w:ascii="Times New Roman" w:hAnsi="Times New Roman" w:cs="Times New Roman"/>
          <w:sz w:val="28"/>
          <w:szCs w:val="28"/>
          <w:lang w:val="en-US"/>
        </w:rPr>
      </w:pPr>
    </w:p>
    <w:tbl>
      <w:tblPr>
        <w:tblW w:w="95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2693"/>
        <w:gridCol w:w="3544"/>
      </w:tblGrid>
      <w:tr w:rsidR="00600C79" w:rsidRPr="00244343" w14:paraId="1CF08032" w14:textId="77777777" w:rsidTr="00647D5B">
        <w:trPr>
          <w:trHeight w:val="404"/>
        </w:trPr>
        <w:tc>
          <w:tcPr>
            <w:tcW w:w="3271" w:type="dxa"/>
            <w:shd w:val="clear" w:color="auto" w:fill="auto"/>
            <w:vAlign w:val="bottom"/>
            <w:hideMark/>
          </w:tcPr>
          <w:p w14:paraId="55D68520"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-2 Log likelihood</w:t>
            </w:r>
          </w:p>
        </w:tc>
        <w:tc>
          <w:tcPr>
            <w:tcW w:w="2693" w:type="dxa"/>
            <w:shd w:val="clear" w:color="auto" w:fill="auto"/>
            <w:vAlign w:val="bottom"/>
            <w:hideMark/>
          </w:tcPr>
          <w:p w14:paraId="21BE090C" w14:textId="77777777" w:rsidR="00600C79" w:rsidRPr="00244343" w:rsidRDefault="00600C79" w:rsidP="000F1270">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Cox &amp; Snell R Square</w:t>
            </w:r>
          </w:p>
        </w:tc>
        <w:tc>
          <w:tcPr>
            <w:tcW w:w="3544" w:type="dxa"/>
            <w:shd w:val="clear" w:color="auto" w:fill="auto"/>
            <w:vAlign w:val="bottom"/>
            <w:hideMark/>
          </w:tcPr>
          <w:p w14:paraId="126DE4D5"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proofErr w:type="spellStart"/>
            <w:r w:rsidRPr="00244343">
              <w:rPr>
                <w:rFonts w:ascii="Times New Roman" w:eastAsia="Times New Roman" w:hAnsi="Times New Roman" w:cs="Times New Roman"/>
                <w:sz w:val="28"/>
                <w:szCs w:val="28"/>
                <w:lang w:val="en-US"/>
              </w:rPr>
              <w:t>Nagelkerke</w:t>
            </w:r>
            <w:proofErr w:type="spellEnd"/>
            <w:r w:rsidRPr="00244343">
              <w:rPr>
                <w:rFonts w:ascii="Times New Roman" w:eastAsia="Times New Roman" w:hAnsi="Times New Roman" w:cs="Times New Roman"/>
                <w:sz w:val="28"/>
                <w:szCs w:val="28"/>
                <w:lang w:val="en-US"/>
              </w:rPr>
              <w:t xml:space="preserve"> R Square</w:t>
            </w:r>
          </w:p>
        </w:tc>
      </w:tr>
      <w:tr w:rsidR="00600C79" w:rsidRPr="00244343" w14:paraId="6B8DF02B" w14:textId="77777777" w:rsidTr="00647D5B">
        <w:trPr>
          <w:trHeight w:val="410"/>
        </w:trPr>
        <w:tc>
          <w:tcPr>
            <w:tcW w:w="3271" w:type="dxa"/>
            <w:shd w:val="clear" w:color="auto" w:fill="auto"/>
            <w:noWrap/>
            <w:vAlign w:val="center"/>
            <w:hideMark/>
          </w:tcPr>
          <w:p w14:paraId="5172B636"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111,767</w:t>
            </w:r>
          </w:p>
        </w:tc>
        <w:tc>
          <w:tcPr>
            <w:tcW w:w="2693" w:type="dxa"/>
            <w:shd w:val="clear" w:color="auto" w:fill="auto"/>
            <w:noWrap/>
            <w:vAlign w:val="center"/>
            <w:hideMark/>
          </w:tcPr>
          <w:p w14:paraId="38C50A5D"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,604</w:t>
            </w:r>
          </w:p>
        </w:tc>
        <w:tc>
          <w:tcPr>
            <w:tcW w:w="3544" w:type="dxa"/>
            <w:shd w:val="clear" w:color="auto" w:fill="auto"/>
            <w:noWrap/>
            <w:vAlign w:val="center"/>
            <w:hideMark/>
          </w:tcPr>
          <w:p w14:paraId="7A2B55F7"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,831</w:t>
            </w:r>
          </w:p>
        </w:tc>
      </w:tr>
      <w:tr w:rsidR="00600C79" w:rsidRPr="000E0481" w14:paraId="20D7AB13" w14:textId="77777777" w:rsidTr="004524BE">
        <w:trPr>
          <w:trHeight w:val="412"/>
        </w:trPr>
        <w:tc>
          <w:tcPr>
            <w:tcW w:w="9508" w:type="dxa"/>
            <w:gridSpan w:val="3"/>
            <w:shd w:val="clear" w:color="auto" w:fill="auto"/>
            <w:noWrap/>
            <w:vAlign w:val="center"/>
          </w:tcPr>
          <w:p w14:paraId="3F43A32C" w14:textId="655AFAF6" w:rsidR="00600C79" w:rsidRPr="00244343" w:rsidRDefault="001D5658" w:rsidP="001D5658">
            <w:pPr>
              <w:spacing w:after="0" w:line="240" w:lineRule="auto"/>
              <w:contextualSpacing/>
              <w:jc w:val="both"/>
              <w:rPr>
                <w:rFonts w:ascii="Times New Roman" w:eastAsia="Times New Roman" w:hAnsi="Times New Roman" w:cs="Times New Roman"/>
                <w:sz w:val="28"/>
                <w:szCs w:val="28"/>
                <w:lang w:val="en-US"/>
              </w:rPr>
            </w:pPr>
            <w:r w:rsidRPr="001D5658">
              <w:rPr>
                <w:rFonts w:ascii="Times New Roman" w:hAnsi="Times New Roman" w:cs="Times New Roman"/>
                <w:sz w:val="28"/>
                <w:szCs w:val="28"/>
                <w:lang w:val="en-US"/>
              </w:rPr>
              <w:t xml:space="preserve">         </w:t>
            </w:r>
            <w:r w:rsidR="00600C79" w:rsidRPr="00950946">
              <w:rPr>
                <w:rFonts w:ascii="Times New Roman" w:hAnsi="Times New Roman" w:cs="Times New Roman"/>
                <w:sz w:val="24"/>
                <w:szCs w:val="24"/>
                <w:lang w:val="en-US"/>
              </w:rPr>
              <w:t>Note – Compiled by author on the basis of [4]</w:t>
            </w:r>
          </w:p>
        </w:tc>
      </w:tr>
    </w:tbl>
    <w:p w14:paraId="0CCAB473"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p>
    <w:p w14:paraId="57794A43" w14:textId="298C4998" w:rsidR="00600C79" w:rsidRDefault="00600C79" w:rsidP="00600C79">
      <w:pPr>
        <w:spacing w:after="0" w:line="240" w:lineRule="auto"/>
        <w:ind w:firstLine="720"/>
        <w:contextualSpacing/>
        <w:jc w:val="both"/>
        <w:rPr>
          <w:rFonts w:ascii="Times New Roman" w:hAnsi="Times New Roman" w:cs="Times New Roman"/>
          <w:sz w:val="28"/>
          <w:szCs w:val="28"/>
          <w:lang w:val="en-US"/>
        </w:rPr>
      </w:pPr>
      <w:r w:rsidRPr="002247B7">
        <w:rPr>
          <w:rFonts w:ascii="Times New Roman" w:hAnsi="Times New Roman" w:cs="Times New Roman"/>
          <w:sz w:val="28"/>
          <w:szCs w:val="28"/>
          <w:lang w:val="en-US"/>
        </w:rPr>
        <w:t xml:space="preserve">Key markers of the quality of the models, the summary table for the models shows measurements of goodness-of-fit: R-squared for Cox-Snell and </w:t>
      </w:r>
      <w:proofErr w:type="spellStart"/>
      <w:r w:rsidRPr="002247B7">
        <w:rPr>
          <w:rFonts w:ascii="Times New Roman" w:hAnsi="Times New Roman" w:cs="Times New Roman"/>
          <w:sz w:val="28"/>
          <w:szCs w:val="28"/>
          <w:lang w:val="en-US"/>
        </w:rPr>
        <w:t>Nagelkerke</w:t>
      </w:r>
      <w:proofErr w:type="spellEnd"/>
      <w:r w:rsidRPr="002247B7">
        <w:rPr>
          <w:rFonts w:ascii="Times New Roman" w:hAnsi="Times New Roman" w:cs="Times New Roman"/>
          <w:sz w:val="28"/>
          <w:szCs w:val="28"/>
          <w:lang w:val="en-US"/>
        </w:rPr>
        <w:t>.</w:t>
      </w:r>
      <w:r w:rsidR="00B37A69" w:rsidRPr="00B37A69">
        <w:rPr>
          <w:rFonts w:ascii="Times New Roman" w:hAnsi="Times New Roman" w:cs="Times New Roman"/>
          <w:sz w:val="28"/>
          <w:szCs w:val="28"/>
          <w:lang w:val="en-US"/>
        </w:rPr>
        <w:t xml:space="preserve"> </w:t>
      </w:r>
      <w:r w:rsidRPr="002247B7">
        <w:rPr>
          <w:rFonts w:ascii="Times New Roman" w:hAnsi="Times New Roman" w:cs="Times New Roman"/>
          <w:sz w:val="28"/>
          <w:szCs w:val="28"/>
          <w:lang w:val="en-US"/>
        </w:rPr>
        <w:t xml:space="preserve">These values reflect the degree to which the model explains variation in the dependent variable and are like R-squared in linear regression models. Among these, </w:t>
      </w:r>
      <w:proofErr w:type="spellStart"/>
      <w:r w:rsidRPr="002247B7">
        <w:rPr>
          <w:rFonts w:ascii="Times New Roman" w:hAnsi="Times New Roman" w:cs="Times New Roman"/>
          <w:sz w:val="28"/>
          <w:szCs w:val="28"/>
          <w:lang w:val="en-US"/>
        </w:rPr>
        <w:t>Nagelkerke</w:t>
      </w:r>
      <w:proofErr w:type="spellEnd"/>
      <w:r w:rsidRPr="002247B7">
        <w:rPr>
          <w:rFonts w:ascii="Times New Roman" w:hAnsi="Times New Roman" w:cs="Times New Roman"/>
          <w:sz w:val="28"/>
          <w:szCs w:val="28"/>
          <w:lang w:val="en-US"/>
        </w:rPr>
        <w:t xml:space="preserve"> R-squared is considered more refined, indicating that the model obtained in the final step explains 83.1% of the variation in the dependent variable (see Table 1</w:t>
      </w:r>
      <w:r w:rsidR="001F349A">
        <w:rPr>
          <w:rFonts w:ascii="Times New Roman" w:hAnsi="Times New Roman" w:cs="Times New Roman"/>
          <w:sz w:val="28"/>
          <w:szCs w:val="28"/>
          <w:lang w:val="en-US"/>
        </w:rPr>
        <w:t>7</w:t>
      </w:r>
      <w:r w:rsidRPr="002247B7">
        <w:rPr>
          <w:rFonts w:ascii="Times New Roman" w:hAnsi="Times New Roman" w:cs="Times New Roman"/>
          <w:sz w:val="28"/>
          <w:szCs w:val="28"/>
          <w:lang w:val="en-US"/>
        </w:rPr>
        <w:t>).</w:t>
      </w:r>
    </w:p>
    <w:p w14:paraId="6322C5CD" w14:textId="77777777" w:rsidR="00600C79" w:rsidRPr="00B2633D" w:rsidRDefault="00600C79" w:rsidP="00600C79">
      <w:pPr>
        <w:spacing w:after="0" w:line="240" w:lineRule="auto"/>
        <w:ind w:firstLine="720"/>
        <w:contextualSpacing/>
        <w:jc w:val="both"/>
        <w:rPr>
          <w:rFonts w:ascii="Times New Roman" w:hAnsi="Times New Roman" w:cs="Times New Roman"/>
          <w:bCs/>
          <w:i/>
          <w:iCs/>
          <w:sz w:val="28"/>
          <w:szCs w:val="28"/>
          <w:lang w:val="en-US"/>
        </w:rPr>
      </w:pPr>
      <w:r w:rsidRPr="00B2633D">
        <w:rPr>
          <w:rFonts w:ascii="Times New Roman" w:hAnsi="Times New Roman" w:cs="Times New Roman"/>
          <w:bCs/>
          <w:i/>
          <w:iCs/>
          <w:sz w:val="28"/>
          <w:szCs w:val="28"/>
          <w:lang w:val="en-US"/>
        </w:rPr>
        <w:t>Percentage of correctly predicted cases</w:t>
      </w:r>
    </w:p>
    <w:p w14:paraId="480B4507" w14:textId="639E5C6B"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following classification table 1</w:t>
      </w:r>
      <w:r w:rsidR="001F349A">
        <w:rPr>
          <w:rFonts w:ascii="Times New Roman" w:hAnsi="Times New Roman" w:cs="Times New Roman"/>
          <w:sz w:val="28"/>
          <w:szCs w:val="28"/>
          <w:lang w:val="en-US"/>
        </w:rPr>
        <w:t>8</w:t>
      </w:r>
      <w:r w:rsidRPr="00244343">
        <w:rPr>
          <w:rFonts w:ascii="Times New Roman" w:hAnsi="Times New Roman" w:cs="Times New Roman"/>
          <w:sz w:val="28"/>
          <w:szCs w:val="28"/>
          <w:lang w:val="en-US"/>
        </w:rPr>
        <w:t xml:space="preserve"> can also be called a measure of the quality of the constructed model. It shows the number and percentage of correctly predicted values of the dependent variable (figure 38). For the final model, the percentage of correctly predicted values was 88.3%. At the same time, at the initial step, when the model included only one constant, without independent variables, the percentage of correctly predicted values was 64.7%. As a result, the percentage of correctly predicted values increased by 23.7%.</w:t>
      </w:r>
    </w:p>
    <w:p w14:paraId="73640B89"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p>
    <w:p w14:paraId="601B797C" w14:textId="08AA31C9" w:rsidR="00600C79" w:rsidRDefault="00600C79" w:rsidP="00600C79">
      <w:pPr>
        <w:spacing w:after="0" w:line="240" w:lineRule="auto"/>
        <w:ind w:firstLine="720"/>
        <w:contextualSpacing/>
        <w:jc w:val="both"/>
        <w:rPr>
          <w:rFonts w:ascii="Times New Roman" w:hAnsi="Times New Roman" w:cs="Times New Roman"/>
          <w:sz w:val="28"/>
          <w:szCs w:val="28"/>
          <w:lang w:val="en-US"/>
        </w:rPr>
      </w:pPr>
      <w:bookmarkStart w:id="25" w:name="_Toc146656857"/>
      <w:r w:rsidRPr="008B3D29">
        <w:rPr>
          <w:rFonts w:ascii="Times New Roman" w:hAnsi="Times New Roman" w:cs="Times New Roman"/>
          <w:sz w:val="28"/>
          <w:szCs w:val="28"/>
          <w:lang w:val="en-US"/>
        </w:rPr>
        <w:t>Table 1</w:t>
      </w:r>
      <w:r w:rsidR="001F349A">
        <w:rPr>
          <w:rFonts w:ascii="Times New Roman" w:hAnsi="Times New Roman" w:cs="Times New Roman"/>
          <w:sz w:val="28"/>
          <w:szCs w:val="28"/>
          <w:lang w:val="en-US"/>
        </w:rPr>
        <w:t>8</w:t>
      </w:r>
      <w:r w:rsidRPr="008B3D29">
        <w:rPr>
          <w:rFonts w:ascii="Times New Roman" w:hAnsi="Times New Roman" w:cs="Times New Roman"/>
          <w:sz w:val="28"/>
          <w:szCs w:val="28"/>
          <w:lang w:val="en-US"/>
        </w:rPr>
        <w:t xml:space="preserve"> </w:t>
      </w:r>
      <w:r w:rsidR="003151EB">
        <w:rPr>
          <w:rFonts w:ascii="Times New Roman" w:hAnsi="Times New Roman" w:cs="Times New Roman"/>
          <w:sz w:val="28"/>
          <w:szCs w:val="28"/>
          <w:lang w:val="en-US"/>
        </w:rPr>
        <w:t>–</w:t>
      </w:r>
      <w:r w:rsidRPr="008B3D29">
        <w:rPr>
          <w:rFonts w:ascii="Times New Roman" w:hAnsi="Times New Roman" w:cs="Times New Roman"/>
          <w:sz w:val="28"/>
          <w:szCs w:val="28"/>
          <w:lang w:val="en-US"/>
        </w:rPr>
        <w:t xml:space="preserve"> Model classification table</w:t>
      </w:r>
      <w:bookmarkEnd w:id="25"/>
    </w:p>
    <w:p w14:paraId="4535BAC6" w14:textId="77777777" w:rsidR="00B37A69" w:rsidRPr="008B3D29" w:rsidRDefault="00B37A69" w:rsidP="00600C79">
      <w:pPr>
        <w:spacing w:after="0" w:line="240" w:lineRule="auto"/>
        <w:ind w:firstLine="720"/>
        <w:contextualSpacing/>
        <w:jc w:val="both"/>
        <w:rPr>
          <w:rFonts w:ascii="Times New Roman" w:hAnsi="Times New Roman" w:cs="Times New Roman"/>
          <w:sz w:val="28"/>
          <w:szCs w:val="28"/>
          <w:lang w:val="en-US"/>
        </w:rPr>
      </w:pPr>
    </w:p>
    <w:tbl>
      <w:tblPr>
        <w:tblW w:w="8789" w:type="dxa"/>
        <w:tblInd w:w="-5" w:type="dxa"/>
        <w:tblLook w:val="04A0" w:firstRow="1" w:lastRow="0" w:firstColumn="1" w:lastColumn="0" w:noHBand="0" w:noVBand="1"/>
      </w:tblPr>
      <w:tblGrid>
        <w:gridCol w:w="970"/>
        <w:gridCol w:w="1139"/>
        <w:gridCol w:w="1801"/>
        <w:gridCol w:w="1498"/>
        <w:gridCol w:w="1216"/>
        <w:gridCol w:w="2165"/>
      </w:tblGrid>
      <w:tr w:rsidR="00600C79" w:rsidRPr="00244343" w14:paraId="40026BDB" w14:textId="77777777" w:rsidTr="004524BE">
        <w:trPr>
          <w:trHeight w:val="300"/>
        </w:trPr>
        <w:tc>
          <w:tcPr>
            <w:tcW w:w="411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910677C"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Observed</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55EC6EE"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Predicted</w:t>
            </w:r>
          </w:p>
        </w:tc>
      </w:tr>
      <w:tr w:rsidR="00600C79" w:rsidRPr="00244343" w14:paraId="4C6840D4" w14:textId="77777777" w:rsidTr="004524BE">
        <w:trPr>
          <w:trHeight w:val="288"/>
        </w:trPr>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37F090C4"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p>
        </w:tc>
        <w:tc>
          <w:tcPr>
            <w:tcW w:w="265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2EE91BC"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Y</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559ADAB" w14:textId="77777777" w:rsidR="00600C79" w:rsidRPr="00244343" w:rsidRDefault="00600C79" w:rsidP="004524BE">
            <w:pPr>
              <w:spacing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Percentage Correct</w:t>
            </w:r>
          </w:p>
        </w:tc>
      </w:tr>
      <w:tr w:rsidR="00600C79" w:rsidRPr="00244343" w14:paraId="1F662B64" w14:textId="77777777" w:rsidTr="004524BE">
        <w:trPr>
          <w:trHeight w:val="300"/>
        </w:trPr>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568BD856"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7347B"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0</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53956"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w:t>
            </w:r>
          </w:p>
        </w:tc>
        <w:tc>
          <w:tcPr>
            <w:tcW w:w="2026" w:type="dxa"/>
            <w:vMerge/>
            <w:tcBorders>
              <w:top w:val="single" w:sz="4" w:space="0" w:color="auto"/>
              <w:left w:val="single" w:sz="4" w:space="0" w:color="auto"/>
              <w:bottom w:val="single" w:sz="4" w:space="0" w:color="auto"/>
              <w:right w:val="single" w:sz="4" w:space="0" w:color="auto"/>
            </w:tcBorders>
            <w:vAlign w:val="center"/>
            <w:hideMark/>
          </w:tcPr>
          <w:p w14:paraId="20956C3D"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p>
        </w:tc>
      </w:tr>
      <w:tr w:rsidR="00600C79" w:rsidRPr="00244343" w14:paraId="4C483766" w14:textId="77777777" w:rsidTr="004524BE">
        <w:trPr>
          <w:trHeight w:val="288"/>
        </w:trPr>
        <w:tc>
          <w:tcPr>
            <w:tcW w:w="140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8369E00" w14:textId="77777777" w:rsidR="00600C79"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p>
          <w:p w14:paraId="5F22C670" w14:textId="5423AC53" w:rsidR="003324B8" w:rsidRDefault="003324B8" w:rsidP="003324B8">
            <w:pPr>
              <w:tabs>
                <w:tab w:val="left" w:pos="705"/>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r>
          </w:p>
          <w:p w14:paraId="2D9B5CE4" w14:textId="12584383" w:rsidR="003324B8" w:rsidRPr="003324B8" w:rsidRDefault="003324B8" w:rsidP="003324B8">
            <w:pPr>
              <w:rPr>
                <w:rFonts w:ascii="Times New Roman" w:eastAsia="Times New Roman" w:hAnsi="Times New Roman" w:cs="Times New Roman"/>
                <w:sz w:val="28"/>
                <w:szCs w:val="28"/>
                <w:lang w:val="en-US"/>
              </w:rPr>
            </w:pP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C476E32"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Y</w:t>
            </w:r>
          </w:p>
        </w:tc>
        <w:tc>
          <w:tcPr>
            <w:tcW w:w="1801" w:type="dxa"/>
            <w:tcBorders>
              <w:top w:val="single" w:sz="4" w:space="0" w:color="auto"/>
              <w:left w:val="single" w:sz="4" w:space="0" w:color="auto"/>
              <w:bottom w:val="single" w:sz="4" w:space="0" w:color="auto"/>
              <w:right w:val="single" w:sz="4" w:space="0" w:color="auto"/>
            </w:tcBorders>
            <w:shd w:val="clear" w:color="auto" w:fill="auto"/>
            <w:noWrap/>
            <w:hideMark/>
          </w:tcPr>
          <w:p w14:paraId="1B5B4610"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0</w:t>
            </w:r>
          </w:p>
        </w:tc>
        <w:tc>
          <w:tcPr>
            <w:tcW w:w="1498" w:type="dxa"/>
            <w:tcBorders>
              <w:top w:val="single" w:sz="4" w:space="0" w:color="auto"/>
              <w:left w:val="single" w:sz="4" w:space="0" w:color="auto"/>
              <w:bottom w:val="single" w:sz="4" w:space="0" w:color="auto"/>
              <w:right w:val="single" w:sz="4" w:space="0" w:color="auto"/>
            </w:tcBorders>
            <w:shd w:val="clear" w:color="auto" w:fill="auto"/>
            <w:noWrap/>
            <w:hideMark/>
          </w:tcPr>
          <w:p w14:paraId="179B9BBF"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rPr>
              <w:t>177</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47B2B040"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rPr>
              <w:t>17</w:t>
            </w:r>
          </w:p>
        </w:tc>
        <w:tc>
          <w:tcPr>
            <w:tcW w:w="2026" w:type="dxa"/>
            <w:tcBorders>
              <w:top w:val="single" w:sz="4" w:space="0" w:color="auto"/>
              <w:left w:val="single" w:sz="4" w:space="0" w:color="auto"/>
              <w:bottom w:val="single" w:sz="4" w:space="0" w:color="auto"/>
              <w:right w:val="single" w:sz="4" w:space="0" w:color="auto"/>
            </w:tcBorders>
            <w:shd w:val="clear" w:color="auto" w:fill="auto"/>
            <w:noWrap/>
            <w:hideMark/>
          </w:tcPr>
          <w:p w14:paraId="2D205421"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rPr>
              <w:t>91,2</w:t>
            </w:r>
          </w:p>
        </w:tc>
      </w:tr>
      <w:tr w:rsidR="00600C79" w:rsidRPr="00244343" w14:paraId="348AF0F1" w14:textId="77777777" w:rsidTr="004524BE">
        <w:trPr>
          <w:trHeight w:val="288"/>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098233DA"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14:paraId="630BE5F8"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p>
        </w:tc>
        <w:tc>
          <w:tcPr>
            <w:tcW w:w="1801" w:type="dxa"/>
            <w:tcBorders>
              <w:top w:val="single" w:sz="4" w:space="0" w:color="auto"/>
              <w:left w:val="single" w:sz="4" w:space="0" w:color="auto"/>
              <w:bottom w:val="single" w:sz="4" w:space="0" w:color="auto"/>
              <w:right w:val="single" w:sz="4" w:space="0" w:color="auto"/>
            </w:tcBorders>
            <w:shd w:val="clear" w:color="auto" w:fill="auto"/>
            <w:noWrap/>
            <w:hideMark/>
          </w:tcPr>
          <w:p w14:paraId="5A8248A3"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w:t>
            </w:r>
          </w:p>
        </w:tc>
        <w:tc>
          <w:tcPr>
            <w:tcW w:w="1498" w:type="dxa"/>
            <w:tcBorders>
              <w:top w:val="single" w:sz="4" w:space="0" w:color="auto"/>
              <w:left w:val="single" w:sz="4" w:space="0" w:color="auto"/>
              <w:bottom w:val="single" w:sz="4" w:space="0" w:color="auto"/>
              <w:right w:val="single" w:sz="4" w:space="0" w:color="auto"/>
            </w:tcBorders>
            <w:shd w:val="clear" w:color="auto" w:fill="auto"/>
            <w:noWrap/>
            <w:hideMark/>
          </w:tcPr>
          <w:p w14:paraId="5329847C"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rPr>
              <w:t>18</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7ACC58C4"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rPr>
              <w:t>88</w:t>
            </w:r>
          </w:p>
        </w:tc>
        <w:tc>
          <w:tcPr>
            <w:tcW w:w="2026" w:type="dxa"/>
            <w:tcBorders>
              <w:top w:val="single" w:sz="4" w:space="0" w:color="auto"/>
              <w:left w:val="single" w:sz="4" w:space="0" w:color="auto"/>
              <w:bottom w:val="single" w:sz="4" w:space="0" w:color="auto"/>
              <w:right w:val="single" w:sz="4" w:space="0" w:color="auto"/>
            </w:tcBorders>
            <w:shd w:val="clear" w:color="auto" w:fill="auto"/>
            <w:noWrap/>
            <w:hideMark/>
          </w:tcPr>
          <w:p w14:paraId="0C766199"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hAnsi="Times New Roman" w:cs="Times New Roman"/>
                <w:sz w:val="28"/>
                <w:szCs w:val="28"/>
                <w:lang w:val="en-US"/>
              </w:rPr>
              <w:t>83,0</w:t>
            </w:r>
          </w:p>
        </w:tc>
      </w:tr>
      <w:tr w:rsidR="00600C79" w:rsidRPr="00244343" w14:paraId="1C070EA3" w14:textId="77777777" w:rsidTr="004524BE">
        <w:trPr>
          <w:trHeight w:val="300"/>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514A1688"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p>
        </w:tc>
        <w:tc>
          <w:tcPr>
            <w:tcW w:w="27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4F361A"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Overall Percentage</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B3CFD"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FA2EF"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w:t>
            </w:r>
          </w:p>
        </w:tc>
        <w:tc>
          <w:tcPr>
            <w:tcW w:w="2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A6950"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88,3</w:t>
            </w:r>
          </w:p>
        </w:tc>
      </w:tr>
      <w:tr w:rsidR="00600C79" w:rsidRPr="000E0481" w14:paraId="246928C9" w14:textId="77777777" w:rsidTr="004524BE">
        <w:trPr>
          <w:trHeight w:val="300"/>
        </w:trPr>
        <w:tc>
          <w:tcPr>
            <w:tcW w:w="8789" w:type="dxa"/>
            <w:gridSpan w:val="6"/>
            <w:tcBorders>
              <w:top w:val="single" w:sz="4" w:space="0" w:color="auto"/>
              <w:left w:val="single" w:sz="4" w:space="0" w:color="auto"/>
              <w:bottom w:val="single" w:sz="4" w:space="0" w:color="auto"/>
              <w:right w:val="single" w:sz="4" w:space="0" w:color="auto"/>
            </w:tcBorders>
            <w:vAlign w:val="center"/>
          </w:tcPr>
          <w:p w14:paraId="55C93E55"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a. The cut value is ,500</w:t>
            </w:r>
          </w:p>
        </w:tc>
      </w:tr>
      <w:tr w:rsidR="00600C79" w:rsidRPr="000E0481" w14:paraId="662089BD" w14:textId="77777777" w:rsidTr="004524BE">
        <w:trPr>
          <w:trHeight w:val="300"/>
        </w:trPr>
        <w:tc>
          <w:tcPr>
            <w:tcW w:w="8789" w:type="dxa"/>
            <w:gridSpan w:val="6"/>
            <w:tcBorders>
              <w:top w:val="single" w:sz="4" w:space="0" w:color="auto"/>
              <w:left w:val="single" w:sz="4" w:space="0" w:color="auto"/>
              <w:bottom w:val="single" w:sz="4" w:space="0" w:color="auto"/>
              <w:right w:val="single" w:sz="4" w:space="0" w:color="auto"/>
            </w:tcBorders>
            <w:vAlign w:val="center"/>
          </w:tcPr>
          <w:p w14:paraId="714E5BB1" w14:textId="77777777" w:rsidR="00600C79" w:rsidRPr="003151EB" w:rsidRDefault="00600C79" w:rsidP="004524BE">
            <w:pPr>
              <w:spacing w:after="0" w:line="240" w:lineRule="auto"/>
              <w:ind w:firstLine="720"/>
              <w:contextualSpacing/>
              <w:jc w:val="both"/>
              <w:rPr>
                <w:rFonts w:ascii="Times New Roman" w:eastAsia="Times New Roman" w:hAnsi="Times New Roman" w:cs="Times New Roman"/>
                <w:sz w:val="24"/>
                <w:szCs w:val="24"/>
                <w:lang w:val="en-US"/>
              </w:rPr>
            </w:pPr>
            <w:r w:rsidRPr="003151EB">
              <w:rPr>
                <w:rFonts w:ascii="Times New Roman" w:hAnsi="Times New Roman" w:cs="Times New Roman"/>
                <w:sz w:val="24"/>
                <w:szCs w:val="24"/>
                <w:lang w:val="en-US"/>
              </w:rPr>
              <w:t>Note – Compiled by on the basis of [4]</w:t>
            </w:r>
          </w:p>
        </w:tc>
      </w:tr>
    </w:tbl>
    <w:p w14:paraId="0950FBFE" w14:textId="77777777" w:rsidR="00600C79" w:rsidRDefault="00600C79" w:rsidP="00600C79">
      <w:pPr>
        <w:pStyle w:val="af"/>
        <w:ind w:firstLine="720"/>
        <w:contextualSpacing/>
        <w:jc w:val="both"/>
        <w:rPr>
          <w:rFonts w:ascii="Times New Roman" w:hAnsi="Times New Roman" w:cs="Times New Roman"/>
          <w:b/>
          <w:sz w:val="28"/>
          <w:szCs w:val="28"/>
          <w:lang w:val="en-US"/>
        </w:rPr>
      </w:pPr>
    </w:p>
    <w:p w14:paraId="02DFFB12" w14:textId="77777777" w:rsidR="00600C79" w:rsidRPr="003324B8" w:rsidRDefault="00600C79" w:rsidP="00600C79">
      <w:pPr>
        <w:pStyle w:val="af"/>
        <w:ind w:firstLine="720"/>
        <w:contextualSpacing/>
        <w:jc w:val="both"/>
        <w:rPr>
          <w:rFonts w:ascii="Times New Roman" w:hAnsi="Times New Roman" w:cs="Times New Roman"/>
          <w:bCs/>
          <w:i/>
          <w:iCs/>
          <w:sz w:val="28"/>
          <w:szCs w:val="28"/>
          <w:lang w:val="en-US"/>
        </w:rPr>
      </w:pPr>
      <w:r w:rsidRPr="003324B8">
        <w:rPr>
          <w:rFonts w:ascii="Times New Roman" w:hAnsi="Times New Roman" w:cs="Times New Roman"/>
          <w:bCs/>
          <w:i/>
          <w:iCs/>
          <w:sz w:val="28"/>
          <w:szCs w:val="28"/>
          <w:lang w:val="en-US"/>
        </w:rPr>
        <w:t>ROC curve</w:t>
      </w:r>
    </w:p>
    <w:p w14:paraId="65AF9311" w14:textId="77777777" w:rsidR="00600C79" w:rsidRPr="00A40F2D" w:rsidRDefault="00600C79" w:rsidP="00600C79">
      <w:pPr>
        <w:pStyle w:val="af"/>
        <w:ind w:firstLine="720"/>
        <w:contextualSpacing/>
        <w:jc w:val="both"/>
        <w:rPr>
          <w:rFonts w:ascii="Times New Roman" w:hAnsi="Times New Roman" w:cs="Times New Roman"/>
          <w:sz w:val="28"/>
          <w:szCs w:val="28"/>
          <w:lang w:val="en-US"/>
        </w:rPr>
      </w:pPr>
      <w:r w:rsidRPr="00A40F2D">
        <w:rPr>
          <w:rFonts w:ascii="Times New Roman" w:hAnsi="Times New Roman" w:cs="Times New Roman"/>
          <w:sz w:val="28"/>
          <w:szCs w:val="28"/>
          <w:lang w:val="en-US"/>
        </w:rPr>
        <w:t xml:space="preserve">Another key indicator for assessing the discriminatory power of logistic regression is the Receiver Operating Characteristic (ROC) curve. This curve evaluates the performance of a binary classifier and helps determine the optimal cutoff threshold for classification. Variable the probability threshold represents the trade-off between accurate </w:t>
      </w:r>
      <w:proofErr w:type="spellStart"/>
      <w:r w:rsidRPr="00A40F2D">
        <w:rPr>
          <w:rFonts w:ascii="Times New Roman" w:hAnsi="Times New Roman" w:cs="Times New Roman"/>
          <w:sz w:val="28"/>
          <w:szCs w:val="28"/>
          <w:lang w:val="en-US"/>
        </w:rPr>
        <w:t>favourable</w:t>
      </w:r>
      <w:proofErr w:type="spellEnd"/>
      <w:r w:rsidRPr="00A40F2D">
        <w:rPr>
          <w:rFonts w:ascii="Times New Roman" w:hAnsi="Times New Roman" w:cs="Times New Roman"/>
          <w:sz w:val="28"/>
          <w:szCs w:val="28"/>
          <w:lang w:val="en-US"/>
        </w:rPr>
        <w:t xml:space="preserve"> rates (sensitivity) and false </w:t>
      </w:r>
      <w:proofErr w:type="spellStart"/>
      <w:r w:rsidRPr="00A40F2D">
        <w:rPr>
          <w:rFonts w:ascii="Times New Roman" w:hAnsi="Times New Roman" w:cs="Times New Roman"/>
          <w:sz w:val="28"/>
          <w:szCs w:val="28"/>
          <w:lang w:val="en-US"/>
        </w:rPr>
        <w:t>favourable</w:t>
      </w:r>
      <w:proofErr w:type="spellEnd"/>
      <w:r w:rsidRPr="00A40F2D">
        <w:rPr>
          <w:rFonts w:ascii="Times New Roman" w:hAnsi="Times New Roman" w:cs="Times New Roman"/>
          <w:sz w:val="28"/>
          <w:szCs w:val="28"/>
          <w:lang w:val="en-US"/>
        </w:rPr>
        <w:t xml:space="preserve"> rates (1 - specificity). By default, the cutoff value is set at 0.5, which was also applied in </w:t>
      </w:r>
      <w:r w:rsidRPr="00A40F2D">
        <w:rPr>
          <w:rFonts w:ascii="Times New Roman" w:hAnsi="Times New Roman" w:cs="Times New Roman"/>
          <w:sz w:val="28"/>
          <w:szCs w:val="28"/>
          <w:lang w:val="en-US"/>
        </w:rPr>
        <w:lastRenderedPageBreak/>
        <w:t>this logistic regression analysis. Notably, altering the cutoff threshold does not affect the regression coefficient values.</w:t>
      </w:r>
    </w:p>
    <w:p w14:paraId="1BA9CF7E" w14:textId="77777777" w:rsidR="00600C79" w:rsidRPr="00A40F2D" w:rsidRDefault="00600C79" w:rsidP="00600C79">
      <w:pPr>
        <w:pStyle w:val="af"/>
        <w:ind w:firstLine="720"/>
        <w:contextualSpacing/>
        <w:jc w:val="both"/>
        <w:rPr>
          <w:rFonts w:ascii="Times New Roman" w:hAnsi="Times New Roman" w:cs="Times New Roman"/>
          <w:sz w:val="28"/>
          <w:szCs w:val="28"/>
          <w:lang w:val="en-US"/>
        </w:rPr>
      </w:pPr>
      <w:r w:rsidRPr="00A40F2D">
        <w:rPr>
          <w:rFonts w:ascii="Times New Roman" w:hAnsi="Times New Roman" w:cs="Times New Roman"/>
          <w:sz w:val="28"/>
          <w:szCs w:val="28"/>
          <w:lang w:val="en-US"/>
        </w:rPr>
        <w:t>Plotting several ROC curves on a single graph allows the author to evaluate several models, therefore helping to guide the choice of the most accurate and dependable model. Constructed as follows, the ROC curve has false positive cases (1 - specificity) on the x-axis and true positive cases (sensitivity) on the y-axis. In an ideal classification scenario, the ROC curve would pass through the upper left corner, the + rate is 100%, and the false rate is 0%. The closer the curve is to this corner, the greater the model’s discriminative ability. Conversely, a curve that aligns with the diagonal line represents a non-informative classifier with minimal predictive power.</w:t>
      </w:r>
    </w:p>
    <w:p w14:paraId="5C89D6DC" w14:textId="320893F8" w:rsidR="00600C79" w:rsidRDefault="00600C79" w:rsidP="00600C79">
      <w:pPr>
        <w:pStyle w:val="af"/>
        <w:ind w:firstLine="720"/>
        <w:contextualSpacing/>
        <w:jc w:val="both"/>
        <w:rPr>
          <w:rFonts w:ascii="Times New Roman" w:hAnsi="Times New Roman" w:cs="Times New Roman"/>
          <w:sz w:val="28"/>
          <w:szCs w:val="28"/>
          <w:lang w:val="en-US"/>
        </w:rPr>
      </w:pPr>
      <w:r w:rsidRPr="00A40F2D">
        <w:rPr>
          <w:rFonts w:ascii="Times New Roman" w:hAnsi="Times New Roman" w:cs="Times New Roman"/>
          <w:sz w:val="28"/>
          <w:szCs w:val="28"/>
          <w:lang w:val="en-US"/>
        </w:rPr>
        <w:t xml:space="preserve">While an optimal model would achieve 100% sensitivity and 100% specificity, this is not feasible in practice. Instead, a ROC curve is generated, displaying the relationship between accurate </w:t>
      </w:r>
      <w:proofErr w:type="spellStart"/>
      <w:r w:rsidRPr="00A40F2D">
        <w:rPr>
          <w:rFonts w:ascii="Times New Roman" w:hAnsi="Times New Roman" w:cs="Times New Roman"/>
          <w:sz w:val="28"/>
          <w:szCs w:val="28"/>
          <w:lang w:val="en-US"/>
        </w:rPr>
        <w:t>favourable</w:t>
      </w:r>
      <w:proofErr w:type="spellEnd"/>
      <w:r w:rsidRPr="00A40F2D">
        <w:rPr>
          <w:rFonts w:ascii="Times New Roman" w:hAnsi="Times New Roman" w:cs="Times New Roman"/>
          <w:sz w:val="28"/>
          <w:szCs w:val="28"/>
          <w:lang w:val="en-US"/>
        </w:rPr>
        <w:t xml:space="preserve"> rates (sensitivity) and false </w:t>
      </w:r>
      <w:proofErr w:type="spellStart"/>
      <w:r w:rsidRPr="00A40F2D">
        <w:rPr>
          <w:rFonts w:ascii="Times New Roman" w:hAnsi="Times New Roman" w:cs="Times New Roman"/>
          <w:sz w:val="28"/>
          <w:szCs w:val="28"/>
          <w:lang w:val="en-US"/>
        </w:rPr>
        <w:t>favourable</w:t>
      </w:r>
      <w:proofErr w:type="spellEnd"/>
      <w:r w:rsidRPr="00A40F2D">
        <w:rPr>
          <w:rFonts w:ascii="Times New Roman" w:hAnsi="Times New Roman" w:cs="Times New Roman"/>
          <w:sz w:val="28"/>
          <w:szCs w:val="28"/>
          <w:lang w:val="en-US"/>
        </w:rPr>
        <w:t xml:space="preserve"> rates (1 - specificity) across various cutoff thresholds. The objective is to find a threshold that guarantees the most remarkable balance between sensitivity and specificity, which guarantees ideal model performance.</w:t>
      </w:r>
    </w:p>
    <w:p w14:paraId="1AB7A195" w14:textId="77777777" w:rsidR="00DF0E36" w:rsidRDefault="00DF0E36" w:rsidP="00312FE6">
      <w:pPr>
        <w:pStyle w:val="af"/>
        <w:contextualSpacing/>
        <w:jc w:val="both"/>
        <w:rPr>
          <w:rFonts w:ascii="Times New Roman" w:hAnsi="Times New Roman" w:cs="Times New Roman"/>
          <w:sz w:val="28"/>
          <w:szCs w:val="28"/>
          <w:lang w:val="en-US"/>
        </w:rPr>
      </w:pPr>
    </w:p>
    <w:p w14:paraId="2F81EDAE" w14:textId="1DCED53A" w:rsidR="00312FE6" w:rsidRPr="00312FE6" w:rsidRDefault="00600C79" w:rsidP="00164015">
      <w:pPr>
        <w:pStyle w:val="af"/>
        <w:jc w:val="center"/>
        <w:rPr>
          <w:lang w:val="en-US"/>
        </w:rPr>
      </w:pPr>
      <w:r w:rsidRPr="00244343">
        <w:rPr>
          <w:noProof/>
          <w:lang w:eastAsia="ru-RU"/>
        </w:rPr>
        <w:drawing>
          <wp:inline distT="0" distB="0" distL="0" distR="0" wp14:anchorId="0259CDE4" wp14:editId="1915C8D6">
            <wp:extent cx="5557520" cy="3443844"/>
            <wp:effectExtent l="0" t="0" r="5080"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3">
                      <a:extLst>
                        <a:ext uri="{28A0092B-C50C-407E-A947-70E740481C1C}">
                          <a14:useLocalDpi xmlns:a14="http://schemas.microsoft.com/office/drawing/2010/main" val="0"/>
                        </a:ext>
                      </a:extLst>
                    </a:blip>
                    <a:srcRect t="5742"/>
                    <a:stretch/>
                  </pic:blipFill>
                  <pic:spPr bwMode="auto">
                    <a:xfrm>
                      <a:off x="0" y="0"/>
                      <a:ext cx="5630575" cy="3489114"/>
                    </a:xfrm>
                    <a:prstGeom prst="rect">
                      <a:avLst/>
                    </a:prstGeom>
                    <a:noFill/>
                    <a:ln>
                      <a:noFill/>
                    </a:ln>
                    <a:extLst>
                      <a:ext uri="{53640926-AAD7-44D8-BBD7-CCE9431645EC}">
                        <a14:shadowObscured xmlns:a14="http://schemas.microsoft.com/office/drawing/2010/main"/>
                      </a:ext>
                    </a:extLst>
                  </pic:spPr>
                </pic:pic>
              </a:graphicData>
            </a:graphic>
          </wp:inline>
        </w:drawing>
      </w:r>
      <w:bookmarkStart w:id="26" w:name="_Toc146656882"/>
    </w:p>
    <w:p w14:paraId="59313C63" w14:textId="11BE8D39" w:rsidR="00600C79" w:rsidRPr="00DF0E36" w:rsidRDefault="00600C79" w:rsidP="00DF0E36">
      <w:pPr>
        <w:pStyle w:val="af"/>
        <w:ind w:firstLine="720"/>
        <w:contextualSpacing/>
        <w:jc w:val="center"/>
        <w:rPr>
          <w:rFonts w:ascii="Times New Roman" w:hAnsi="Times New Roman" w:cs="Times New Roman"/>
          <w:sz w:val="28"/>
          <w:szCs w:val="28"/>
          <w:lang w:val="en-US"/>
        </w:rPr>
      </w:pPr>
      <w:r w:rsidRPr="00DF0E36">
        <w:rPr>
          <w:rFonts w:ascii="Times New Roman" w:hAnsi="Times New Roman" w:cs="Times New Roman"/>
          <w:sz w:val="28"/>
          <w:szCs w:val="28"/>
          <w:lang w:val="en-US"/>
        </w:rPr>
        <w:t>Figure 3</w:t>
      </w:r>
      <w:r w:rsidR="00B2633D" w:rsidRPr="00DF0E36">
        <w:rPr>
          <w:rFonts w:ascii="Times New Roman" w:hAnsi="Times New Roman" w:cs="Times New Roman"/>
          <w:sz w:val="28"/>
          <w:szCs w:val="28"/>
          <w:lang w:val="en-US"/>
        </w:rPr>
        <w:t>8</w:t>
      </w:r>
      <w:r w:rsidRPr="00DF0E36">
        <w:rPr>
          <w:rFonts w:ascii="Times New Roman" w:hAnsi="Times New Roman" w:cs="Times New Roman"/>
          <w:sz w:val="28"/>
          <w:szCs w:val="28"/>
          <w:lang w:val="en-US"/>
        </w:rPr>
        <w:t xml:space="preserve"> - ROC curve</w:t>
      </w:r>
      <w:bookmarkEnd w:id="26"/>
    </w:p>
    <w:p w14:paraId="50E697E7" w14:textId="77777777" w:rsidR="00600C79" w:rsidRPr="00244343" w:rsidRDefault="00600C79" w:rsidP="00DF0E36">
      <w:pPr>
        <w:pStyle w:val="aa"/>
      </w:pPr>
    </w:p>
    <w:p w14:paraId="395E4F03" w14:textId="39414F4D" w:rsidR="00600C79" w:rsidRDefault="00600C79" w:rsidP="00DF0E36">
      <w:pPr>
        <w:pStyle w:val="aa"/>
        <w:jc w:val="left"/>
      </w:pPr>
      <w:r w:rsidRPr="00244343">
        <w:t>Note – Compiled by author based on [</w:t>
      </w:r>
      <w:r>
        <w:t>5</w:t>
      </w:r>
      <w:r w:rsidRPr="00244343">
        <w:t>]</w:t>
      </w:r>
    </w:p>
    <w:p w14:paraId="198C1B4F" w14:textId="77777777" w:rsidR="003F5BF1" w:rsidRPr="00244343" w:rsidRDefault="003F5BF1" w:rsidP="00DF0E36">
      <w:pPr>
        <w:pStyle w:val="aa"/>
      </w:pPr>
    </w:p>
    <w:p w14:paraId="04ED3A04" w14:textId="02C19DBC" w:rsidR="00DF0E36" w:rsidRDefault="00600C79" w:rsidP="00F44B8C">
      <w:pPr>
        <w:pStyle w:val="af"/>
        <w:ind w:firstLine="720"/>
        <w:contextualSpacing/>
        <w:jc w:val="both"/>
        <w:rPr>
          <w:rFonts w:ascii="Times New Roman" w:hAnsi="Times New Roman" w:cs="Times New Roman"/>
          <w:sz w:val="28"/>
          <w:szCs w:val="28"/>
          <w:lang w:val="en-US"/>
        </w:rPr>
      </w:pPr>
      <w:r w:rsidRPr="00852D47">
        <w:rPr>
          <w:rFonts w:ascii="Times New Roman" w:hAnsi="Times New Roman" w:cs="Times New Roman"/>
          <w:sz w:val="28"/>
          <w:szCs w:val="28"/>
          <w:lang w:val="en-US"/>
        </w:rPr>
        <w:t>The graph (Figure 3</w:t>
      </w:r>
      <w:r w:rsidR="00B2633D">
        <w:rPr>
          <w:rFonts w:ascii="Times New Roman" w:hAnsi="Times New Roman" w:cs="Times New Roman"/>
          <w:sz w:val="28"/>
          <w:szCs w:val="28"/>
          <w:lang w:val="en-US"/>
        </w:rPr>
        <w:t>8</w:t>
      </w:r>
      <w:r w:rsidRPr="00852D47">
        <w:rPr>
          <w:rFonts w:ascii="Times New Roman" w:hAnsi="Times New Roman" w:cs="Times New Roman"/>
          <w:sz w:val="28"/>
          <w:szCs w:val="28"/>
          <w:lang w:val="en-US"/>
        </w:rPr>
        <w:t xml:space="preserve">) shows that the ROC curve deviates from the diagonal line, therefore demonstrating a significant discriminating capacity of the model. The area under the ROC curve (AUC), where 0.5 denotes a model with no predictive ability, is a main indicator of this capacity. By contrast, a value of 1 denotes a model with ideal predictive capacity. The obtained AUC value of 0.971 indicates quite good performance of the model. This result refutes the null hypothesis, according to </w:t>
      </w:r>
      <w:r w:rsidRPr="00852D47">
        <w:rPr>
          <w:rFonts w:ascii="Times New Roman" w:hAnsi="Times New Roman" w:cs="Times New Roman"/>
          <w:sz w:val="28"/>
          <w:szCs w:val="28"/>
          <w:lang w:val="en-US"/>
        </w:rPr>
        <w:lastRenderedPageBreak/>
        <w:t>which the AUC does not vary from 0.5 and the model has no predictive ability (Table 1</w:t>
      </w:r>
      <w:r w:rsidR="003F5BF1">
        <w:rPr>
          <w:rFonts w:ascii="Times New Roman" w:hAnsi="Times New Roman" w:cs="Times New Roman"/>
          <w:sz w:val="28"/>
          <w:szCs w:val="28"/>
          <w:lang w:val="en-US"/>
        </w:rPr>
        <w:t>7</w:t>
      </w:r>
      <w:r w:rsidRPr="00852D47">
        <w:rPr>
          <w:rFonts w:ascii="Times New Roman" w:hAnsi="Times New Roman" w:cs="Times New Roman"/>
          <w:sz w:val="28"/>
          <w:szCs w:val="28"/>
          <w:lang w:val="en-US"/>
        </w:rPr>
        <w:t>). Instead, we accept the alternative hypothesis, confirming that the model effectively explains variations in the dependent variable and demonstrates high predictive accuracy.</w:t>
      </w:r>
    </w:p>
    <w:p w14:paraId="58CCD4C4" w14:textId="77777777" w:rsidR="00F44B8C" w:rsidRPr="00244343" w:rsidRDefault="00F44B8C" w:rsidP="00F44B8C">
      <w:pPr>
        <w:pStyle w:val="af"/>
        <w:ind w:firstLine="720"/>
        <w:contextualSpacing/>
        <w:jc w:val="both"/>
        <w:rPr>
          <w:rFonts w:ascii="Times New Roman" w:hAnsi="Times New Roman" w:cs="Times New Roman"/>
          <w:sz w:val="28"/>
          <w:szCs w:val="28"/>
          <w:lang w:val="en-US"/>
        </w:rPr>
      </w:pPr>
    </w:p>
    <w:p w14:paraId="4EAABF53" w14:textId="504186BF" w:rsidR="00600C79" w:rsidRDefault="00600C79" w:rsidP="00600C79">
      <w:pPr>
        <w:pStyle w:val="af"/>
        <w:ind w:firstLine="720"/>
        <w:contextualSpacing/>
        <w:jc w:val="both"/>
        <w:rPr>
          <w:rFonts w:ascii="Times New Roman" w:hAnsi="Times New Roman" w:cs="Times New Roman"/>
          <w:sz w:val="28"/>
          <w:szCs w:val="28"/>
          <w:lang w:val="en-US"/>
        </w:rPr>
      </w:pPr>
      <w:bookmarkStart w:id="27" w:name="_Toc146656858"/>
      <w:r w:rsidRPr="008B3D29">
        <w:rPr>
          <w:rFonts w:ascii="Times New Roman" w:hAnsi="Times New Roman" w:cs="Times New Roman"/>
          <w:sz w:val="28"/>
          <w:szCs w:val="28"/>
          <w:lang w:val="en-US"/>
        </w:rPr>
        <w:t>Table 1</w:t>
      </w:r>
      <w:r w:rsidR="0024375D">
        <w:rPr>
          <w:rFonts w:ascii="Times New Roman" w:hAnsi="Times New Roman" w:cs="Times New Roman"/>
          <w:sz w:val="28"/>
          <w:szCs w:val="28"/>
          <w:lang w:val="en-US"/>
        </w:rPr>
        <w:t>9</w:t>
      </w:r>
      <w:r w:rsidRPr="008B3D29">
        <w:rPr>
          <w:rFonts w:ascii="Times New Roman" w:hAnsi="Times New Roman" w:cs="Times New Roman"/>
          <w:sz w:val="28"/>
          <w:szCs w:val="28"/>
          <w:lang w:val="en-US"/>
        </w:rPr>
        <w:t xml:space="preserve"> </w:t>
      </w:r>
      <w:r w:rsidR="00DF0E36">
        <w:rPr>
          <w:rFonts w:ascii="Times New Roman" w:hAnsi="Times New Roman" w:cs="Times New Roman"/>
          <w:sz w:val="28"/>
          <w:szCs w:val="28"/>
          <w:lang w:val="en-US"/>
        </w:rPr>
        <w:t>–</w:t>
      </w:r>
      <w:r w:rsidRPr="008B3D29">
        <w:rPr>
          <w:rFonts w:ascii="Times New Roman" w:hAnsi="Times New Roman" w:cs="Times New Roman"/>
          <w:sz w:val="28"/>
          <w:szCs w:val="28"/>
          <w:lang w:val="en-US"/>
        </w:rPr>
        <w:t xml:space="preserve"> Area under the ROC curve</w:t>
      </w:r>
      <w:bookmarkEnd w:id="27"/>
      <w:r w:rsidRPr="008B3D29">
        <w:rPr>
          <w:rFonts w:ascii="Times New Roman" w:hAnsi="Times New Roman" w:cs="Times New Roman"/>
          <w:sz w:val="28"/>
          <w:szCs w:val="28"/>
          <w:lang w:val="en-US"/>
        </w:rPr>
        <w:t xml:space="preserve"> </w:t>
      </w:r>
    </w:p>
    <w:p w14:paraId="014CE415" w14:textId="77777777" w:rsidR="00116F6A" w:rsidRPr="008B3D29" w:rsidRDefault="00116F6A" w:rsidP="00600C79">
      <w:pPr>
        <w:pStyle w:val="af"/>
        <w:ind w:firstLine="720"/>
        <w:contextualSpacing/>
        <w:jc w:val="both"/>
        <w:rPr>
          <w:rFonts w:ascii="Times New Roman" w:hAnsi="Times New Roman" w:cs="Times New Roman"/>
          <w:sz w:val="28"/>
          <w:szCs w:val="28"/>
          <w:lang w:val="en-US"/>
        </w:rPr>
      </w:pPr>
    </w:p>
    <w:tbl>
      <w:tblPr>
        <w:tblW w:w="8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32"/>
        <w:gridCol w:w="1670"/>
        <w:gridCol w:w="1701"/>
        <w:gridCol w:w="1544"/>
      </w:tblGrid>
      <w:tr w:rsidR="00600C79" w:rsidRPr="00244343" w14:paraId="56680FD8" w14:textId="77777777" w:rsidTr="004524BE">
        <w:trPr>
          <w:trHeight w:val="315"/>
        </w:trPr>
        <w:tc>
          <w:tcPr>
            <w:tcW w:w="1418" w:type="dxa"/>
            <w:vMerge w:val="restart"/>
            <w:shd w:val="clear" w:color="auto" w:fill="auto"/>
            <w:vAlign w:val="bottom"/>
            <w:hideMark/>
          </w:tcPr>
          <w:p w14:paraId="077ABC82" w14:textId="77777777" w:rsidR="00600C79" w:rsidRPr="00244343" w:rsidRDefault="00600C79" w:rsidP="00DF0E36">
            <w:pPr>
              <w:spacing w:after="0" w:line="240" w:lineRule="auto"/>
              <w:contextualSpacing/>
              <w:jc w:val="center"/>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Area</w:t>
            </w:r>
          </w:p>
        </w:tc>
        <w:tc>
          <w:tcPr>
            <w:tcW w:w="1732" w:type="dxa"/>
            <w:vMerge w:val="restart"/>
            <w:shd w:val="clear" w:color="auto" w:fill="auto"/>
            <w:vAlign w:val="bottom"/>
            <w:hideMark/>
          </w:tcPr>
          <w:p w14:paraId="0A9E7A2E" w14:textId="77777777" w:rsidR="00600C79" w:rsidRPr="00244343" w:rsidRDefault="00600C79" w:rsidP="00DF0E36">
            <w:pPr>
              <w:spacing w:after="0" w:line="240" w:lineRule="auto"/>
              <w:contextualSpacing/>
              <w:jc w:val="center"/>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Standard error</w:t>
            </w:r>
          </w:p>
        </w:tc>
        <w:tc>
          <w:tcPr>
            <w:tcW w:w="1670" w:type="dxa"/>
            <w:vMerge w:val="restart"/>
            <w:shd w:val="clear" w:color="auto" w:fill="auto"/>
            <w:vAlign w:val="bottom"/>
            <w:hideMark/>
          </w:tcPr>
          <w:p w14:paraId="7CC1FDF7" w14:textId="77777777" w:rsidR="00600C79" w:rsidRPr="00244343" w:rsidRDefault="00600C79" w:rsidP="00DF0E36">
            <w:pPr>
              <w:spacing w:after="0" w:line="240" w:lineRule="auto"/>
              <w:contextualSpacing/>
              <w:jc w:val="center"/>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Asymptotic Sig.</w:t>
            </w:r>
          </w:p>
        </w:tc>
        <w:tc>
          <w:tcPr>
            <w:tcW w:w="3245" w:type="dxa"/>
            <w:gridSpan w:val="2"/>
            <w:shd w:val="clear" w:color="auto" w:fill="auto"/>
            <w:vAlign w:val="bottom"/>
            <w:hideMark/>
          </w:tcPr>
          <w:p w14:paraId="086F95A9" w14:textId="3BCD1CA2" w:rsidR="00DF0E36" w:rsidRDefault="00600C79" w:rsidP="00DF0E36">
            <w:pPr>
              <w:spacing w:after="0" w:line="240" w:lineRule="auto"/>
              <w:contextualSpacing/>
              <w:jc w:val="center"/>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Asymptotic</w:t>
            </w:r>
          </w:p>
          <w:p w14:paraId="3938E2F8" w14:textId="1F9A95BF" w:rsidR="00600C79" w:rsidRPr="00244343" w:rsidRDefault="00600C79" w:rsidP="00DF0E36">
            <w:pPr>
              <w:spacing w:after="0" w:line="240" w:lineRule="auto"/>
              <w:contextualSpacing/>
              <w:jc w:val="center"/>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95% confidence interval</w:t>
            </w:r>
          </w:p>
        </w:tc>
      </w:tr>
      <w:tr w:rsidR="00600C79" w:rsidRPr="00244343" w14:paraId="558A57C0" w14:textId="77777777" w:rsidTr="004524BE">
        <w:trPr>
          <w:trHeight w:val="510"/>
        </w:trPr>
        <w:tc>
          <w:tcPr>
            <w:tcW w:w="1418" w:type="dxa"/>
            <w:vMerge/>
            <w:vAlign w:val="center"/>
            <w:hideMark/>
          </w:tcPr>
          <w:p w14:paraId="7134C3CF" w14:textId="77777777" w:rsidR="00600C79" w:rsidRPr="00244343" w:rsidRDefault="00600C79" w:rsidP="00DF0E36">
            <w:pPr>
              <w:spacing w:after="0" w:line="240" w:lineRule="auto"/>
              <w:ind w:firstLine="720"/>
              <w:contextualSpacing/>
              <w:jc w:val="center"/>
              <w:rPr>
                <w:rFonts w:ascii="Times New Roman" w:eastAsia="Times New Roman" w:hAnsi="Times New Roman" w:cs="Times New Roman"/>
                <w:sz w:val="28"/>
                <w:szCs w:val="28"/>
                <w:lang w:val="en-US" w:eastAsia="ru-RU"/>
              </w:rPr>
            </w:pPr>
          </w:p>
        </w:tc>
        <w:tc>
          <w:tcPr>
            <w:tcW w:w="1732" w:type="dxa"/>
            <w:vMerge/>
            <w:vAlign w:val="center"/>
            <w:hideMark/>
          </w:tcPr>
          <w:p w14:paraId="1048BD16" w14:textId="77777777" w:rsidR="00600C79" w:rsidRPr="00244343" w:rsidRDefault="00600C79" w:rsidP="00DF0E36">
            <w:pPr>
              <w:spacing w:after="0" w:line="240" w:lineRule="auto"/>
              <w:ind w:firstLine="720"/>
              <w:contextualSpacing/>
              <w:jc w:val="center"/>
              <w:rPr>
                <w:rFonts w:ascii="Times New Roman" w:eastAsia="Times New Roman" w:hAnsi="Times New Roman" w:cs="Times New Roman"/>
                <w:sz w:val="28"/>
                <w:szCs w:val="28"/>
                <w:lang w:val="en-US" w:eastAsia="ru-RU"/>
              </w:rPr>
            </w:pPr>
          </w:p>
        </w:tc>
        <w:tc>
          <w:tcPr>
            <w:tcW w:w="1670" w:type="dxa"/>
            <w:vMerge/>
            <w:vAlign w:val="center"/>
            <w:hideMark/>
          </w:tcPr>
          <w:p w14:paraId="518AA339" w14:textId="77777777" w:rsidR="00600C79" w:rsidRPr="00244343" w:rsidRDefault="00600C79" w:rsidP="00DF0E36">
            <w:pPr>
              <w:spacing w:after="0" w:line="240" w:lineRule="auto"/>
              <w:ind w:firstLine="720"/>
              <w:contextualSpacing/>
              <w:jc w:val="center"/>
              <w:rPr>
                <w:rFonts w:ascii="Times New Roman" w:eastAsia="Times New Roman" w:hAnsi="Times New Roman" w:cs="Times New Roman"/>
                <w:sz w:val="28"/>
                <w:szCs w:val="28"/>
                <w:lang w:val="en-US" w:eastAsia="ru-RU"/>
              </w:rPr>
            </w:pPr>
          </w:p>
        </w:tc>
        <w:tc>
          <w:tcPr>
            <w:tcW w:w="1701" w:type="dxa"/>
            <w:shd w:val="clear" w:color="auto" w:fill="auto"/>
            <w:vAlign w:val="bottom"/>
            <w:hideMark/>
          </w:tcPr>
          <w:p w14:paraId="4EA49E51" w14:textId="77777777" w:rsidR="00600C79" w:rsidRPr="00244343" w:rsidRDefault="00600C79" w:rsidP="00DF0E36">
            <w:pPr>
              <w:spacing w:after="0" w:line="240" w:lineRule="auto"/>
              <w:contextualSpacing/>
              <w:jc w:val="center"/>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Lower bound</w:t>
            </w:r>
          </w:p>
        </w:tc>
        <w:tc>
          <w:tcPr>
            <w:tcW w:w="1544" w:type="dxa"/>
            <w:shd w:val="clear" w:color="auto" w:fill="auto"/>
            <w:vAlign w:val="bottom"/>
            <w:hideMark/>
          </w:tcPr>
          <w:p w14:paraId="1C5A76C0" w14:textId="77777777" w:rsidR="00600C79" w:rsidRPr="00244343" w:rsidRDefault="00600C79" w:rsidP="00DF0E36">
            <w:pPr>
              <w:spacing w:after="0" w:line="240" w:lineRule="auto"/>
              <w:contextualSpacing/>
              <w:jc w:val="center"/>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Upper bound</w:t>
            </w:r>
          </w:p>
        </w:tc>
      </w:tr>
      <w:tr w:rsidR="00600C79" w:rsidRPr="00244343" w14:paraId="53E7EDFD" w14:textId="77777777" w:rsidTr="004524BE">
        <w:trPr>
          <w:trHeight w:val="315"/>
        </w:trPr>
        <w:tc>
          <w:tcPr>
            <w:tcW w:w="1418" w:type="dxa"/>
            <w:shd w:val="clear" w:color="auto" w:fill="auto"/>
            <w:noWrap/>
            <w:vAlign w:val="center"/>
            <w:hideMark/>
          </w:tcPr>
          <w:p w14:paraId="37553CD6" w14:textId="77777777" w:rsidR="00600C79" w:rsidRPr="00244343" w:rsidRDefault="00600C79" w:rsidP="00DF0E36">
            <w:pPr>
              <w:spacing w:after="0" w:line="240" w:lineRule="auto"/>
              <w:contextualSpacing/>
              <w:jc w:val="center"/>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,971</w:t>
            </w:r>
          </w:p>
        </w:tc>
        <w:tc>
          <w:tcPr>
            <w:tcW w:w="1732" w:type="dxa"/>
            <w:shd w:val="clear" w:color="auto" w:fill="auto"/>
            <w:noWrap/>
            <w:vAlign w:val="center"/>
            <w:hideMark/>
          </w:tcPr>
          <w:p w14:paraId="5C0BC0A5" w14:textId="77777777" w:rsidR="00600C79" w:rsidRPr="00244343" w:rsidRDefault="00600C79" w:rsidP="00DF0E36">
            <w:pPr>
              <w:spacing w:after="0" w:line="240" w:lineRule="auto"/>
              <w:contextualSpacing/>
              <w:jc w:val="center"/>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,008</w:t>
            </w:r>
          </w:p>
        </w:tc>
        <w:tc>
          <w:tcPr>
            <w:tcW w:w="1670" w:type="dxa"/>
            <w:shd w:val="clear" w:color="auto" w:fill="auto"/>
            <w:noWrap/>
            <w:vAlign w:val="center"/>
            <w:hideMark/>
          </w:tcPr>
          <w:p w14:paraId="49EA7127" w14:textId="77777777" w:rsidR="00600C79" w:rsidRPr="00244343" w:rsidRDefault="00600C79" w:rsidP="00DF0E36">
            <w:pPr>
              <w:spacing w:after="0" w:line="240" w:lineRule="auto"/>
              <w:contextualSpacing/>
              <w:jc w:val="center"/>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,000</w:t>
            </w:r>
          </w:p>
        </w:tc>
        <w:tc>
          <w:tcPr>
            <w:tcW w:w="1701" w:type="dxa"/>
            <w:shd w:val="clear" w:color="auto" w:fill="auto"/>
            <w:noWrap/>
            <w:vAlign w:val="center"/>
            <w:hideMark/>
          </w:tcPr>
          <w:p w14:paraId="4203BEA2" w14:textId="77777777" w:rsidR="00600C79" w:rsidRPr="00244343" w:rsidRDefault="00600C79" w:rsidP="00DF0E36">
            <w:pPr>
              <w:spacing w:after="0" w:line="240" w:lineRule="auto"/>
              <w:contextualSpacing/>
              <w:jc w:val="center"/>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,956</w:t>
            </w:r>
          </w:p>
        </w:tc>
        <w:tc>
          <w:tcPr>
            <w:tcW w:w="1544" w:type="dxa"/>
            <w:shd w:val="clear" w:color="auto" w:fill="auto"/>
            <w:noWrap/>
            <w:vAlign w:val="center"/>
            <w:hideMark/>
          </w:tcPr>
          <w:p w14:paraId="24B5220C" w14:textId="77777777" w:rsidR="00600C79" w:rsidRPr="00244343" w:rsidRDefault="00600C79" w:rsidP="00DF0E36">
            <w:pPr>
              <w:spacing w:after="0" w:line="240" w:lineRule="auto"/>
              <w:contextualSpacing/>
              <w:jc w:val="center"/>
              <w:rPr>
                <w:rFonts w:ascii="Times New Roman" w:eastAsia="Times New Roman" w:hAnsi="Times New Roman" w:cs="Times New Roman"/>
                <w:sz w:val="28"/>
                <w:szCs w:val="28"/>
                <w:lang w:val="en-US" w:eastAsia="ru-RU"/>
              </w:rPr>
            </w:pPr>
            <w:r w:rsidRPr="00244343">
              <w:rPr>
                <w:rFonts w:ascii="Times New Roman" w:eastAsia="Times New Roman" w:hAnsi="Times New Roman" w:cs="Times New Roman"/>
                <w:sz w:val="28"/>
                <w:szCs w:val="28"/>
                <w:lang w:val="en-US" w:eastAsia="ru-RU"/>
              </w:rPr>
              <w:t>,986</w:t>
            </w:r>
          </w:p>
        </w:tc>
      </w:tr>
      <w:tr w:rsidR="00600C79" w:rsidRPr="000E0481" w14:paraId="7758D87C" w14:textId="77777777" w:rsidTr="004524BE">
        <w:trPr>
          <w:trHeight w:val="315"/>
        </w:trPr>
        <w:tc>
          <w:tcPr>
            <w:tcW w:w="8065" w:type="dxa"/>
            <w:gridSpan w:val="5"/>
            <w:shd w:val="clear" w:color="auto" w:fill="auto"/>
            <w:noWrap/>
            <w:vAlign w:val="center"/>
          </w:tcPr>
          <w:p w14:paraId="03A1F5A1"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eastAsia="ru-RU"/>
              </w:rPr>
            </w:pPr>
            <w:r w:rsidRPr="00DF0E36">
              <w:rPr>
                <w:rFonts w:ascii="Times New Roman" w:hAnsi="Times New Roman" w:cs="Times New Roman"/>
                <w:sz w:val="24"/>
                <w:szCs w:val="24"/>
                <w:lang w:val="en-US"/>
              </w:rPr>
              <w:t>Note – Compiled by author on the basis of [4]</w:t>
            </w:r>
          </w:p>
        </w:tc>
      </w:tr>
    </w:tbl>
    <w:p w14:paraId="2675F353" w14:textId="77777777" w:rsidR="00600C79" w:rsidRPr="00244343" w:rsidRDefault="00600C79" w:rsidP="00600C79">
      <w:pPr>
        <w:pStyle w:val="af"/>
        <w:ind w:firstLine="720"/>
        <w:contextualSpacing/>
        <w:jc w:val="both"/>
        <w:rPr>
          <w:rFonts w:ascii="Times New Roman" w:hAnsi="Times New Roman" w:cs="Times New Roman"/>
          <w:sz w:val="28"/>
          <w:szCs w:val="28"/>
          <w:lang w:val="en-US"/>
        </w:rPr>
      </w:pPr>
    </w:p>
    <w:p w14:paraId="16048EBF" w14:textId="77777777" w:rsidR="00600C79" w:rsidRDefault="00600C79" w:rsidP="00600C79">
      <w:pPr>
        <w:pStyle w:val="af0"/>
        <w:ind w:firstLine="720"/>
        <w:jc w:val="both"/>
        <w:rPr>
          <w:rFonts w:eastAsiaTheme="minorHAnsi"/>
          <w:szCs w:val="28"/>
          <w:lang w:val="en-US" w:eastAsia="en-US"/>
        </w:rPr>
      </w:pPr>
      <w:bookmarkStart w:id="28" w:name="_Toc146656859"/>
      <w:r>
        <w:rPr>
          <w:rFonts w:eastAsiaTheme="minorHAnsi"/>
          <w:szCs w:val="28"/>
          <w:lang w:val="en-US" w:eastAsia="en-US"/>
        </w:rPr>
        <w:tab/>
      </w:r>
      <w:r w:rsidRPr="00852D47">
        <w:rPr>
          <w:rFonts w:eastAsiaTheme="minorHAnsi"/>
          <w:szCs w:val="28"/>
          <w:lang w:val="en-US" w:eastAsia="en-US"/>
        </w:rPr>
        <w:t>The values for "Sensitivity" and "1 - Specificity" are below. Our logistic regression model decided on a default cut-off value of 0.5. With it, the sensitivity value—IPS—is 0.912, meaning that the model accurately predicted 91.2% of cases but misidentified 7.8% of them.</w:t>
      </w:r>
      <w:r>
        <w:rPr>
          <w:rFonts w:eastAsiaTheme="minorHAnsi"/>
          <w:szCs w:val="28"/>
          <w:lang w:val="en-US" w:eastAsia="en-US"/>
        </w:rPr>
        <w:t xml:space="preserve"> </w:t>
      </w:r>
    </w:p>
    <w:p w14:paraId="35B78196" w14:textId="69C9B865" w:rsidR="00600C79" w:rsidRDefault="00600C79" w:rsidP="00600C79">
      <w:pPr>
        <w:pStyle w:val="af"/>
        <w:ind w:firstLine="720"/>
        <w:contextualSpacing/>
        <w:jc w:val="both"/>
        <w:rPr>
          <w:rFonts w:ascii="Times New Roman" w:hAnsi="Times New Roman" w:cs="Times New Roman"/>
          <w:sz w:val="28"/>
          <w:szCs w:val="28"/>
          <w:lang w:val="en-US"/>
        </w:rPr>
      </w:pPr>
      <w:r w:rsidRPr="008B3D29">
        <w:rPr>
          <w:rFonts w:ascii="Times New Roman" w:hAnsi="Times New Roman" w:cs="Times New Roman"/>
          <w:sz w:val="28"/>
          <w:szCs w:val="28"/>
          <w:lang w:val="en-US"/>
        </w:rPr>
        <w:t xml:space="preserve">Table </w:t>
      </w:r>
      <w:r w:rsidR="00676793">
        <w:rPr>
          <w:rFonts w:ascii="Times New Roman" w:hAnsi="Times New Roman" w:cs="Times New Roman"/>
          <w:sz w:val="28"/>
          <w:szCs w:val="28"/>
          <w:lang w:val="en-US"/>
        </w:rPr>
        <w:t>20</w:t>
      </w:r>
      <w:r w:rsidRPr="008B3D29">
        <w:rPr>
          <w:rFonts w:ascii="Times New Roman" w:hAnsi="Times New Roman" w:cs="Times New Roman"/>
          <w:sz w:val="28"/>
          <w:szCs w:val="28"/>
          <w:lang w:val="en-US"/>
        </w:rPr>
        <w:t xml:space="preserve"> </w:t>
      </w:r>
      <w:r w:rsidR="00DF0E36">
        <w:rPr>
          <w:rFonts w:ascii="Times New Roman" w:hAnsi="Times New Roman" w:cs="Times New Roman"/>
          <w:sz w:val="28"/>
          <w:szCs w:val="28"/>
          <w:lang w:val="en-US"/>
        </w:rPr>
        <w:t>–</w:t>
      </w:r>
      <w:r w:rsidRPr="008B3D29">
        <w:rPr>
          <w:rFonts w:ascii="Times New Roman" w:hAnsi="Times New Roman" w:cs="Times New Roman"/>
          <w:sz w:val="28"/>
          <w:szCs w:val="28"/>
          <w:lang w:val="en-US"/>
        </w:rPr>
        <w:t xml:space="preserve"> Coordinates of the Curve</w:t>
      </w:r>
      <w:bookmarkEnd w:id="28"/>
    </w:p>
    <w:p w14:paraId="72EB48EA" w14:textId="77777777" w:rsidR="00116F6A" w:rsidRPr="008B3D29" w:rsidRDefault="00116F6A" w:rsidP="00600C79">
      <w:pPr>
        <w:pStyle w:val="af"/>
        <w:ind w:firstLine="720"/>
        <w:contextualSpacing/>
        <w:jc w:val="both"/>
        <w:rPr>
          <w:rFonts w:ascii="Times New Roman" w:hAnsi="Times New Roman" w:cs="Times New Roman"/>
          <w:sz w:val="28"/>
          <w:szCs w:val="28"/>
          <w:lang w:val="en-US"/>
        </w:rPr>
      </w:pPr>
    </w:p>
    <w:tbl>
      <w:tblPr>
        <w:tblW w:w="8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2134"/>
        <w:gridCol w:w="1843"/>
      </w:tblGrid>
      <w:tr w:rsidR="00600C79" w:rsidRPr="00244343" w14:paraId="579B0C6A" w14:textId="77777777" w:rsidTr="00634F4A">
        <w:trPr>
          <w:trHeight w:val="857"/>
        </w:trPr>
        <w:tc>
          <w:tcPr>
            <w:tcW w:w="4592" w:type="dxa"/>
            <w:shd w:val="clear" w:color="auto" w:fill="auto"/>
            <w:vAlign w:val="bottom"/>
            <w:hideMark/>
          </w:tcPr>
          <w:p w14:paraId="5BF31A7A"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Positive if Greater Than or Equal To</w:t>
            </w:r>
            <w:r w:rsidRPr="00244343">
              <w:rPr>
                <w:rFonts w:ascii="Times New Roman" w:eastAsia="Times New Roman" w:hAnsi="Times New Roman" w:cs="Times New Roman"/>
                <w:sz w:val="28"/>
                <w:szCs w:val="28"/>
                <w:vertAlign w:val="superscript"/>
                <w:lang w:val="en-US"/>
              </w:rPr>
              <w:t>a</w:t>
            </w:r>
          </w:p>
        </w:tc>
        <w:tc>
          <w:tcPr>
            <w:tcW w:w="1645" w:type="dxa"/>
            <w:shd w:val="clear" w:color="auto" w:fill="auto"/>
            <w:vAlign w:val="bottom"/>
            <w:hideMark/>
          </w:tcPr>
          <w:p w14:paraId="184BA2FF"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Sensitivity</w:t>
            </w:r>
          </w:p>
        </w:tc>
        <w:tc>
          <w:tcPr>
            <w:tcW w:w="1843" w:type="dxa"/>
            <w:shd w:val="clear" w:color="auto" w:fill="auto"/>
            <w:vAlign w:val="bottom"/>
            <w:hideMark/>
          </w:tcPr>
          <w:p w14:paraId="28B8E0F6"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1 - Specificity</w:t>
            </w:r>
          </w:p>
        </w:tc>
      </w:tr>
      <w:tr w:rsidR="00600C79" w:rsidRPr="00244343" w14:paraId="4AF24EC7" w14:textId="77777777" w:rsidTr="00634F4A">
        <w:trPr>
          <w:trHeight w:val="341"/>
        </w:trPr>
        <w:tc>
          <w:tcPr>
            <w:tcW w:w="4592" w:type="dxa"/>
            <w:shd w:val="clear" w:color="auto" w:fill="auto"/>
            <w:noWrap/>
            <w:vAlign w:val="center"/>
            <w:hideMark/>
          </w:tcPr>
          <w:p w14:paraId="7238308C"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0,0000000</w:t>
            </w:r>
          </w:p>
        </w:tc>
        <w:tc>
          <w:tcPr>
            <w:tcW w:w="1645" w:type="dxa"/>
            <w:shd w:val="clear" w:color="auto" w:fill="auto"/>
            <w:noWrap/>
            <w:vAlign w:val="center"/>
            <w:hideMark/>
          </w:tcPr>
          <w:p w14:paraId="70AB563B"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1,000</w:t>
            </w:r>
          </w:p>
        </w:tc>
        <w:tc>
          <w:tcPr>
            <w:tcW w:w="1843" w:type="dxa"/>
            <w:shd w:val="clear" w:color="auto" w:fill="auto"/>
            <w:noWrap/>
            <w:vAlign w:val="center"/>
            <w:hideMark/>
          </w:tcPr>
          <w:p w14:paraId="7817FA82"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1,000</w:t>
            </w:r>
          </w:p>
        </w:tc>
      </w:tr>
      <w:tr w:rsidR="00600C79" w:rsidRPr="00244343" w14:paraId="7CA83C58" w14:textId="77777777" w:rsidTr="00634F4A">
        <w:trPr>
          <w:trHeight w:val="292"/>
        </w:trPr>
        <w:tc>
          <w:tcPr>
            <w:tcW w:w="4592" w:type="dxa"/>
            <w:shd w:val="clear" w:color="auto" w:fill="auto"/>
            <w:noWrap/>
            <w:vAlign w:val="center"/>
            <w:hideMark/>
          </w:tcPr>
          <w:p w14:paraId="4CC50461"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,0000000</w:t>
            </w:r>
          </w:p>
        </w:tc>
        <w:tc>
          <w:tcPr>
            <w:tcW w:w="1645" w:type="dxa"/>
            <w:shd w:val="clear" w:color="auto" w:fill="auto"/>
            <w:noWrap/>
            <w:vAlign w:val="center"/>
            <w:hideMark/>
          </w:tcPr>
          <w:p w14:paraId="3D45E025"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1,000</w:t>
            </w:r>
          </w:p>
        </w:tc>
        <w:tc>
          <w:tcPr>
            <w:tcW w:w="1843" w:type="dxa"/>
            <w:shd w:val="clear" w:color="auto" w:fill="auto"/>
            <w:noWrap/>
            <w:vAlign w:val="center"/>
            <w:hideMark/>
          </w:tcPr>
          <w:p w14:paraId="3CB4BC4A"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,907</w:t>
            </w:r>
          </w:p>
        </w:tc>
      </w:tr>
      <w:tr w:rsidR="00600C79" w:rsidRPr="00244343" w14:paraId="2EDE85C8" w14:textId="77777777" w:rsidTr="00634F4A">
        <w:trPr>
          <w:trHeight w:val="412"/>
        </w:trPr>
        <w:tc>
          <w:tcPr>
            <w:tcW w:w="4592" w:type="dxa"/>
            <w:shd w:val="clear" w:color="auto" w:fill="auto"/>
            <w:noWrap/>
            <w:vAlign w:val="center"/>
            <w:hideMark/>
          </w:tcPr>
          <w:p w14:paraId="5D1FF786"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,0000000</w:t>
            </w:r>
          </w:p>
        </w:tc>
        <w:tc>
          <w:tcPr>
            <w:tcW w:w="1645" w:type="dxa"/>
            <w:shd w:val="clear" w:color="auto" w:fill="auto"/>
            <w:noWrap/>
            <w:vAlign w:val="center"/>
            <w:hideMark/>
          </w:tcPr>
          <w:p w14:paraId="2E67BDC0"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1,000</w:t>
            </w:r>
          </w:p>
        </w:tc>
        <w:tc>
          <w:tcPr>
            <w:tcW w:w="1843" w:type="dxa"/>
            <w:shd w:val="clear" w:color="auto" w:fill="auto"/>
            <w:noWrap/>
            <w:vAlign w:val="center"/>
            <w:hideMark/>
          </w:tcPr>
          <w:p w14:paraId="5CE74212"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,814</w:t>
            </w:r>
          </w:p>
        </w:tc>
      </w:tr>
      <w:tr w:rsidR="00600C79" w:rsidRPr="00244343" w14:paraId="4BAA4FF0" w14:textId="77777777" w:rsidTr="004524BE">
        <w:trPr>
          <w:trHeight w:val="264"/>
        </w:trPr>
        <w:tc>
          <w:tcPr>
            <w:tcW w:w="4592" w:type="dxa"/>
            <w:shd w:val="clear" w:color="auto" w:fill="auto"/>
            <w:noWrap/>
            <w:vAlign w:val="center"/>
            <w:hideMark/>
          </w:tcPr>
          <w:p w14:paraId="29BF09F2"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,0000000</w:t>
            </w:r>
          </w:p>
        </w:tc>
        <w:tc>
          <w:tcPr>
            <w:tcW w:w="1645" w:type="dxa"/>
            <w:shd w:val="clear" w:color="auto" w:fill="auto"/>
            <w:noWrap/>
            <w:vAlign w:val="center"/>
            <w:hideMark/>
          </w:tcPr>
          <w:p w14:paraId="20ED5CE9"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1,000</w:t>
            </w:r>
          </w:p>
        </w:tc>
        <w:tc>
          <w:tcPr>
            <w:tcW w:w="1843" w:type="dxa"/>
            <w:shd w:val="clear" w:color="auto" w:fill="auto"/>
            <w:noWrap/>
            <w:vAlign w:val="center"/>
            <w:hideMark/>
          </w:tcPr>
          <w:p w14:paraId="4D1221DF"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,722</w:t>
            </w:r>
          </w:p>
        </w:tc>
      </w:tr>
      <w:tr w:rsidR="00600C79" w:rsidRPr="00244343" w14:paraId="5D30F10B" w14:textId="77777777" w:rsidTr="004524BE">
        <w:trPr>
          <w:trHeight w:val="264"/>
        </w:trPr>
        <w:tc>
          <w:tcPr>
            <w:tcW w:w="4592" w:type="dxa"/>
            <w:shd w:val="clear" w:color="auto" w:fill="auto"/>
            <w:noWrap/>
            <w:vAlign w:val="center"/>
            <w:hideMark/>
          </w:tcPr>
          <w:p w14:paraId="5FC9818D"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,0000000</w:t>
            </w:r>
          </w:p>
        </w:tc>
        <w:tc>
          <w:tcPr>
            <w:tcW w:w="1645" w:type="dxa"/>
            <w:shd w:val="clear" w:color="auto" w:fill="auto"/>
            <w:noWrap/>
            <w:vAlign w:val="center"/>
            <w:hideMark/>
          </w:tcPr>
          <w:p w14:paraId="507BF67B"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1,000</w:t>
            </w:r>
          </w:p>
        </w:tc>
        <w:tc>
          <w:tcPr>
            <w:tcW w:w="1843" w:type="dxa"/>
            <w:shd w:val="clear" w:color="auto" w:fill="auto"/>
            <w:noWrap/>
            <w:vAlign w:val="center"/>
            <w:hideMark/>
          </w:tcPr>
          <w:p w14:paraId="3EABBAFA"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,629</w:t>
            </w:r>
          </w:p>
        </w:tc>
      </w:tr>
      <w:tr w:rsidR="00600C79" w:rsidRPr="00244343" w14:paraId="5AB0E084" w14:textId="77777777" w:rsidTr="004524BE">
        <w:trPr>
          <w:trHeight w:val="264"/>
        </w:trPr>
        <w:tc>
          <w:tcPr>
            <w:tcW w:w="4592" w:type="dxa"/>
            <w:shd w:val="clear" w:color="auto" w:fill="auto"/>
            <w:noWrap/>
            <w:vAlign w:val="center"/>
            <w:hideMark/>
          </w:tcPr>
          <w:p w14:paraId="399C263D"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,0000000</w:t>
            </w:r>
          </w:p>
        </w:tc>
        <w:tc>
          <w:tcPr>
            <w:tcW w:w="1645" w:type="dxa"/>
            <w:shd w:val="clear" w:color="auto" w:fill="auto"/>
            <w:noWrap/>
            <w:vAlign w:val="center"/>
            <w:hideMark/>
          </w:tcPr>
          <w:p w14:paraId="3673B393"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1,000</w:t>
            </w:r>
          </w:p>
        </w:tc>
        <w:tc>
          <w:tcPr>
            <w:tcW w:w="1843" w:type="dxa"/>
            <w:shd w:val="clear" w:color="auto" w:fill="auto"/>
            <w:noWrap/>
            <w:vAlign w:val="center"/>
            <w:hideMark/>
          </w:tcPr>
          <w:p w14:paraId="0FBCD7D6"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,536</w:t>
            </w:r>
          </w:p>
        </w:tc>
      </w:tr>
      <w:tr w:rsidR="00600C79" w:rsidRPr="00244343" w14:paraId="527541E4" w14:textId="77777777" w:rsidTr="004524BE">
        <w:trPr>
          <w:trHeight w:val="264"/>
        </w:trPr>
        <w:tc>
          <w:tcPr>
            <w:tcW w:w="4592" w:type="dxa"/>
            <w:shd w:val="clear" w:color="auto" w:fill="auto"/>
            <w:noWrap/>
            <w:vAlign w:val="center"/>
            <w:hideMark/>
          </w:tcPr>
          <w:p w14:paraId="4EA2157F"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,0001059</w:t>
            </w:r>
          </w:p>
        </w:tc>
        <w:tc>
          <w:tcPr>
            <w:tcW w:w="1645" w:type="dxa"/>
            <w:shd w:val="clear" w:color="auto" w:fill="auto"/>
            <w:noWrap/>
            <w:vAlign w:val="center"/>
            <w:hideMark/>
          </w:tcPr>
          <w:p w14:paraId="3B1F9868"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1,000</w:t>
            </w:r>
          </w:p>
        </w:tc>
        <w:tc>
          <w:tcPr>
            <w:tcW w:w="1843" w:type="dxa"/>
            <w:shd w:val="clear" w:color="auto" w:fill="auto"/>
            <w:noWrap/>
            <w:vAlign w:val="center"/>
            <w:hideMark/>
          </w:tcPr>
          <w:p w14:paraId="46269D81"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,448</w:t>
            </w:r>
          </w:p>
        </w:tc>
      </w:tr>
      <w:tr w:rsidR="00600C79" w:rsidRPr="00244343" w14:paraId="51657EB4" w14:textId="77777777" w:rsidTr="004524BE">
        <w:trPr>
          <w:trHeight w:val="264"/>
        </w:trPr>
        <w:tc>
          <w:tcPr>
            <w:tcW w:w="4592" w:type="dxa"/>
            <w:shd w:val="clear" w:color="auto" w:fill="auto"/>
            <w:noWrap/>
            <w:vAlign w:val="center"/>
            <w:hideMark/>
          </w:tcPr>
          <w:p w14:paraId="776DB479"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,0006462</w:t>
            </w:r>
          </w:p>
        </w:tc>
        <w:tc>
          <w:tcPr>
            <w:tcW w:w="1645" w:type="dxa"/>
            <w:shd w:val="clear" w:color="auto" w:fill="auto"/>
            <w:noWrap/>
            <w:vAlign w:val="center"/>
            <w:hideMark/>
          </w:tcPr>
          <w:p w14:paraId="46B16E55"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1,000</w:t>
            </w:r>
          </w:p>
        </w:tc>
        <w:tc>
          <w:tcPr>
            <w:tcW w:w="1843" w:type="dxa"/>
            <w:shd w:val="clear" w:color="auto" w:fill="auto"/>
            <w:noWrap/>
            <w:vAlign w:val="center"/>
            <w:hideMark/>
          </w:tcPr>
          <w:p w14:paraId="1FE28DC5"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,361</w:t>
            </w:r>
          </w:p>
        </w:tc>
      </w:tr>
      <w:tr w:rsidR="00600C79" w:rsidRPr="00244343" w14:paraId="1417040B" w14:textId="77777777" w:rsidTr="004524BE">
        <w:trPr>
          <w:trHeight w:val="264"/>
        </w:trPr>
        <w:tc>
          <w:tcPr>
            <w:tcW w:w="4592" w:type="dxa"/>
            <w:shd w:val="clear" w:color="auto" w:fill="auto"/>
            <w:noWrap/>
            <w:vAlign w:val="center"/>
            <w:hideMark/>
          </w:tcPr>
          <w:p w14:paraId="3DBAABD0"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,0277427</w:t>
            </w:r>
          </w:p>
        </w:tc>
        <w:tc>
          <w:tcPr>
            <w:tcW w:w="1645" w:type="dxa"/>
            <w:shd w:val="clear" w:color="auto" w:fill="auto"/>
            <w:noWrap/>
            <w:vAlign w:val="center"/>
            <w:hideMark/>
          </w:tcPr>
          <w:p w14:paraId="3D5E1E08"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1,000</w:t>
            </w:r>
          </w:p>
        </w:tc>
        <w:tc>
          <w:tcPr>
            <w:tcW w:w="1843" w:type="dxa"/>
            <w:shd w:val="clear" w:color="auto" w:fill="auto"/>
            <w:noWrap/>
            <w:vAlign w:val="center"/>
            <w:hideMark/>
          </w:tcPr>
          <w:p w14:paraId="5EB30015"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,273</w:t>
            </w:r>
          </w:p>
        </w:tc>
      </w:tr>
      <w:tr w:rsidR="00600C79" w:rsidRPr="00244343" w14:paraId="4737792D" w14:textId="77777777" w:rsidTr="004524BE">
        <w:trPr>
          <w:trHeight w:val="264"/>
        </w:trPr>
        <w:tc>
          <w:tcPr>
            <w:tcW w:w="4592" w:type="dxa"/>
            <w:shd w:val="clear" w:color="auto" w:fill="auto"/>
            <w:noWrap/>
            <w:vAlign w:val="center"/>
            <w:hideMark/>
          </w:tcPr>
          <w:p w14:paraId="5202C860"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,1821559</w:t>
            </w:r>
          </w:p>
        </w:tc>
        <w:tc>
          <w:tcPr>
            <w:tcW w:w="1645" w:type="dxa"/>
            <w:shd w:val="clear" w:color="auto" w:fill="auto"/>
            <w:noWrap/>
            <w:vAlign w:val="center"/>
            <w:hideMark/>
          </w:tcPr>
          <w:p w14:paraId="4FCDF56C"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1,000</w:t>
            </w:r>
          </w:p>
        </w:tc>
        <w:tc>
          <w:tcPr>
            <w:tcW w:w="1843" w:type="dxa"/>
            <w:shd w:val="clear" w:color="auto" w:fill="auto"/>
            <w:noWrap/>
            <w:vAlign w:val="center"/>
            <w:hideMark/>
          </w:tcPr>
          <w:p w14:paraId="2B4D1550"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,180</w:t>
            </w:r>
          </w:p>
        </w:tc>
      </w:tr>
      <w:tr w:rsidR="00600C79" w:rsidRPr="00244343" w14:paraId="1EE970A3" w14:textId="77777777" w:rsidTr="004524BE">
        <w:trPr>
          <w:trHeight w:val="264"/>
        </w:trPr>
        <w:tc>
          <w:tcPr>
            <w:tcW w:w="4592" w:type="dxa"/>
            <w:shd w:val="clear" w:color="auto" w:fill="auto"/>
            <w:noWrap/>
            <w:vAlign w:val="center"/>
            <w:hideMark/>
          </w:tcPr>
          <w:p w14:paraId="36308864"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,3608562</w:t>
            </w:r>
          </w:p>
        </w:tc>
        <w:tc>
          <w:tcPr>
            <w:tcW w:w="1645" w:type="dxa"/>
            <w:shd w:val="clear" w:color="auto" w:fill="auto"/>
            <w:noWrap/>
            <w:vAlign w:val="center"/>
            <w:hideMark/>
          </w:tcPr>
          <w:p w14:paraId="7EED4462"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1,000</w:t>
            </w:r>
          </w:p>
        </w:tc>
        <w:tc>
          <w:tcPr>
            <w:tcW w:w="1843" w:type="dxa"/>
            <w:shd w:val="clear" w:color="auto" w:fill="auto"/>
            <w:noWrap/>
            <w:vAlign w:val="center"/>
            <w:hideMark/>
          </w:tcPr>
          <w:p w14:paraId="6F655E8E"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,088</w:t>
            </w:r>
          </w:p>
        </w:tc>
      </w:tr>
      <w:tr w:rsidR="00600C79" w:rsidRPr="00244343" w14:paraId="557F7ED6" w14:textId="77777777" w:rsidTr="004524BE">
        <w:trPr>
          <w:trHeight w:val="264"/>
        </w:trPr>
        <w:tc>
          <w:tcPr>
            <w:tcW w:w="4592" w:type="dxa"/>
            <w:shd w:val="clear" w:color="auto" w:fill="auto"/>
            <w:noWrap/>
            <w:vAlign w:val="center"/>
            <w:hideMark/>
          </w:tcPr>
          <w:p w14:paraId="7C92EB36"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,5171755</w:t>
            </w:r>
          </w:p>
        </w:tc>
        <w:tc>
          <w:tcPr>
            <w:tcW w:w="1645" w:type="dxa"/>
            <w:shd w:val="clear" w:color="auto" w:fill="auto"/>
            <w:noWrap/>
            <w:vAlign w:val="center"/>
            <w:hideMark/>
          </w:tcPr>
          <w:p w14:paraId="2B567A31"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,830</w:t>
            </w:r>
          </w:p>
        </w:tc>
        <w:tc>
          <w:tcPr>
            <w:tcW w:w="1843" w:type="dxa"/>
            <w:shd w:val="clear" w:color="auto" w:fill="auto"/>
            <w:noWrap/>
            <w:vAlign w:val="center"/>
            <w:hideMark/>
          </w:tcPr>
          <w:p w14:paraId="2F9A8224"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,088</w:t>
            </w:r>
          </w:p>
        </w:tc>
      </w:tr>
      <w:tr w:rsidR="00600C79" w:rsidRPr="00244343" w14:paraId="5D8F09B4" w14:textId="77777777" w:rsidTr="004524BE">
        <w:trPr>
          <w:trHeight w:val="264"/>
        </w:trPr>
        <w:tc>
          <w:tcPr>
            <w:tcW w:w="4592" w:type="dxa"/>
            <w:shd w:val="clear" w:color="auto" w:fill="auto"/>
            <w:noWrap/>
            <w:vAlign w:val="center"/>
            <w:hideMark/>
          </w:tcPr>
          <w:p w14:paraId="1731B6D4"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,6752699</w:t>
            </w:r>
          </w:p>
        </w:tc>
        <w:tc>
          <w:tcPr>
            <w:tcW w:w="1645" w:type="dxa"/>
            <w:shd w:val="clear" w:color="auto" w:fill="auto"/>
            <w:noWrap/>
            <w:vAlign w:val="center"/>
            <w:hideMark/>
          </w:tcPr>
          <w:p w14:paraId="693FA9BF"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,670</w:t>
            </w:r>
          </w:p>
        </w:tc>
        <w:tc>
          <w:tcPr>
            <w:tcW w:w="1843" w:type="dxa"/>
            <w:shd w:val="clear" w:color="auto" w:fill="auto"/>
            <w:noWrap/>
            <w:vAlign w:val="center"/>
            <w:hideMark/>
          </w:tcPr>
          <w:p w14:paraId="4A5FF035"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,088</w:t>
            </w:r>
          </w:p>
        </w:tc>
      </w:tr>
      <w:tr w:rsidR="00600C79" w:rsidRPr="00244343" w14:paraId="449A023F" w14:textId="77777777" w:rsidTr="00634F4A">
        <w:trPr>
          <w:trHeight w:val="351"/>
        </w:trPr>
        <w:tc>
          <w:tcPr>
            <w:tcW w:w="4592" w:type="dxa"/>
            <w:shd w:val="clear" w:color="auto" w:fill="auto"/>
            <w:noWrap/>
            <w:vAlign w:val="center"/>
            <w:hideMark/>
          </w:tcPr>
          <w:p w14:paraId="5374202C"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,8241173</w:t>
            </w:r>
          </w:p>
        </w:tc>
        <w:tc>
          <w:tcPr>
            <w:tcW w:w="1645" w:type="dxa"/>
            <w:shd w:val="clear" w:color="auto" w:fill="auto"/>
            <w:noWrap/>
            <w:vAlign w:val="center"/>
            <w:hideMark/>
          </w:tcPr>
          <w:p w14:paraId="29031366"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,670</w:t>
            </w:r>
          </w:p>
        </w:tc>
        <w:tc>
          <w:tcPr>
            <w:tcW w:w="1843" w:type="dxa"/>
            <w:shd w:val="clear" w:color="auto" w:fill="auto"/>
            <w:noWrap/>
            <w:vAlign w:val="center"/>
            <w:hideMark/>
          </w:tcPr>
          <w:p w14:paraId="760BFA9B"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0,000</w:t>
            </w:r>
          </w:p>
        </w:tc>
      </w:tr>
      <w:tr w:rsidR="00600C79" w:rsidRPr="00244343" w14:paraId="31869980" w14:textId="77777777" w:rsidTr="004524BE">
        <w:trPr>
          <w:trHeight w:val="264"/>
        </w:trPr>
        <w:tc>
          <w:tcPr>
            <w:tcW w:w="4592" w:type="dxa"/>
            <w:shd w:val="clear" w:color="auto" w:fill="auto"/>
            <w:noWrap/>
            <w:vAlign w:val="center"/>
            <w:hideMark/>
          </w:tcPr>
          <w:p w14:paraId="63550121"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,9435967</w:t>
            </w:r>
          </w:p>
        </w:tc>
        <w:tc>
          <w:tcPr>
            <w:tcW w:w="1645" w:type="dxa"/>
            <w:shd w:val="clear" w:color="auto" w:fill="auto"/>
            <w:noWrap/>
            <w:vAlign w:val="center"/>
            <w:hideMark/>
          </w:tcPr>
          <w:p w14:paraId="4F192B73"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,509</w:t>
            </w:r>
          </w:p>
        </w:tc>
        <w:tc>
          <w:tcPr>
            <w:tcW w:w="1843" w:type="dxa"/>
            <w:shd w:val="clear" w:color="auto" w:fill="auto"/>
            <w:noWrap/>
            <w:vAlign w:val="center"/>
            <w:hideMark/>
          </w:tcPr>
          <w:p w14:paraId="13A4BA2A"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0,000</w:t>
            </w:r>
          </w:p>
        </w:tc>
      </w:tr>
      <w:tr w:rsidR="00600C79" w:rsidRPr="00244343" w14:paraId="506E8A5B" w14:textId="77777777" w:rsidTr="004524BE">
        <w:trPr>
          <w:trHeight w:val="264"/>
        </w:trPr>
        <w:tc>
          <w:tcPr>
            <w:tcW w:w="4592" w:type="dxa"/>
            <w:shd w:val="clear" w:color="auto" w:fill="auto"/>
            <w:noWrap/>
            <w:vAlign w:val="center"/>
            <w:hideMark/>
          </w:tcPr>
          <w:p w14:paraId="13BB9ED7"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,9834627</w:t>
            </w:r>
          </w:p>
        </w:tc>
        <w:tc>
          <w:tcPr>
            <w:tcW w:w="1645" w:type="dxa"/>
            <w:shd w:val="clear" w:color="auto" w:fill="auto"/>
            <w:noWrap/>
            <w:vAlign w:val="center"/>
            <w:hideMark/>
          </w:tcPr>
          <w:p w14:paraId="1FC961B1"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,340</w:t>
            </w:r>
          </w:p>
        </w:tc>
        <w:tc>
          <w:tcPr>
            <w:tcW w:w="1843" w:type="dxa"/>
            <w:shd w:val="clear" w:color="auto" w:fill="auto"/>
            <w:noWrap/>
            <w:vAlign w:val="center"/>
            <w:hideMark/>
          </w:tcPr>
          <w:p w14:paraId="0BB59700"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0,000</w:t>
            </w:r>
          </w:p>
        </w:tc>
      </w:tr>
      <w:tr w:rsidR="00600C79" w:rsidRPr="00244343" w14:paraId="559B7101" w14:textId="77777777" w:rsidTr="004524BE">
        <w:trPr>
          <w:trHeight w:val="264"/>
        </w:trPr>
        <w:tc>
          <w:tcPr>
            <w:tcW w:w="4592" w:type="dxa"/>
            <w:shd w:val="clear" w:color="auto" w:fill="auto"/>
            <w:noWrap/>
            <w:vAlign w:val="center"/>
            <w:hideMark/>
          </w:tcPr>
          <w:p w14:paraId="3BBE971B"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,9999861</w:t>
            </w:r>
          </w:p>
        </w:tc>
        <w:tc>
          <w:tcPr>
            <w:tcW w:w="1645" w:type="dxa"/>
            <w:shd w:val="clear" w:color="auto" w:fill="auto"/>
            <w:noWrap/>
            <w:vAlign w:val="center"/>
            <w:hideMark/>
          </w:tcPr>
          <w:p w14:paraId="19B7BCAE"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,170</w:t>
            </w:r>
          </w:p>
        </w:tc>
        <w:tc>
          <w:tcPr>
            <w:tcW w:w="1843" w:type="dxa"/>
            <w:shd w:val="clear" w:color="auto" w:fill="auto"/>
            <w:noWrap/>
            <w:vAlign w:val="center"/>
            <w:hideMark/>
          </w:tcPr>
          <w:p w14:paraId="38CE18D5"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0,000</w:t>
            </w:r>
          </w:p>
        </w:tc>
      </w:tr>
      <w:tr w:rsidR="00600C79" w:rsidRPr="00244343" w14:paraId="5E3DF045" w14:textId="77777777" w:rsidTr="00634F4A">
        <w:trPr>
          <w:trHeight w:val="365"/>
        </w:trPr>
        <w:tc>
          <w:tcPr>
            <w:tcW w:w="4592" w:type="dxa"/>
            <w:shd w:val="clear" w:color="auto" w:fill="auto"/>
            <w:noWrap/>
            <w:vAlign w:val="center"/>
            <w:hideMark/>
          </w:tcPr>
          <w:p w14:paraId="474B1418"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1,0000000</w:t>
            </w:r>
          </w:p>
        </w:tc>
        <w:tc>
          <w:tcPr>
            <w:tcW w:w="1645" w:type="dxa"/>
            <w:shd w:val="clear" w:color="auto" w:fill="auto"/>
            <w:noWrap/>
            <w:vAlign w:val="center"/>
            <w:hideMark/>
          </w:tcPr>
          <w:p w14:paraId="264EC9AB"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0,000</w:t>
            </w:r>
          </w:p>
        </w:tc>
        <w:tc>
          <w:tcPr>
            <w:tcW w:w="1843" w:type="dxa"/>
            <w:shd w:val="clear" w:color="auto" w:fill="auto"/>
            <w:noWrap/>
            <w:vAlign w:val="center"/>
            <w:hideMark/>
          </w:tcPr>
          <w:p w14:paraId="379B5CA5" w14:textId="77777777" w:rsidR="00600C79" w:rsidRPr="00244343" w:rsidRDefault="00600C79" w:rsidP="004524BE">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0,000</w:t>
            </w:r>
          </w:p>
        </w:tc>
      </w:tr>
      <w:tr w:rsidR="00600C79" w:rsidRPr="000E0481" w14:paraId="2DA1698A" w14:textId="77777777" w:rsidTr="00C300C8">
        <w:trPr>
          <w:trHeight w:val="347"/>
        </w:trPr>
        <w:tc>
          <w:tcPr>
            <w:tcW w:w="8080" w:type="dxa"/>
            <w:gridSpan w:val="3"/>
            <w:shd w:val="clear" w:color="auto" w:fill="auto"/>
            <w:noWrap/>
            <w:vAlign w:val="center"/>
          </w:tcPr>
          <w:p w14:paraId="0937681A" w14:textId="643BDD8D" w:rsidR="00600C79" w:rsidRPr="00244343" w:rsidRDefault="00116F6A" w:rsidP="00116F6A">
            <w:pPr>
              <w:spacing w:after="0" w:line="240" w:lineRule="auto"/>
              <w:contextualSpacing/>
              <w:rPr>
                <w:rFonts w:ascii="Times New Roman" w:eastAsia="Times New Roman" w:hAnsi="Times New Roman" w:cs="Times New Roman"/>
                <w:sz w:val="28"/>
                <w:szCs w:val="28"/>
                <w:lang w:val="en-US"/>
              </w:rPr>
            </w:pPr>
            <w:r w:rsidRPr="00116F6A">
              <w:rPr>
                <w:rFonts w:ascii="Times New Roman" w:hAnsi="Times New Roman" w:cs="Times New Roman"/>
                <w:sz w:val="28"/>
                <w:szCs w:val="28"/>
                <w:lang w:val="en-US"/>
              </w:rPr>
              <w:t xml:space="preserve">         </w:t>
            </w:r>
            <w:r w:rsidR="00600C79" w:rsidRPr="00634F4A">
              <w:rPr>
                <w:rFonts w:ascii="Times New Roman" w:hAnsi="Times New Roman" w:cs="Times New Roman"/>
                <w:sz w:val="24"/>
                <w:szCs w:val="24"/>
                <w:lang w:val="en-US"/>
              </w:rPr>
              <w:t>Note – Compiled by author on the basis of [4]</w:t>
            </w:r>
          </w:p>
        </w:tc>
      </w:tr>
    </w:tbl>
    <w:p w14:paraId="43CD7399" w14:textId="77777777"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lastRenderedPageBreak/>
        <w:t>Sensitivity is the number of true positive cases divided     by the total number of positive cases in the sample. Sensitivity is also called completeness. It is measured by the formula:</w:t>
      </w:r>
    </w:p>
    <w:p w14:paraId="3C4BD264" w14:textId="67F652E8" w:rsidR="003F5BF1" w:rsidRDefault="00600C79" w:rsidP="003F5BF1">
      <w:pPr>
        <w:pStyle w:val="af"/>
        <w:spacing w:after="240"/>
        <w:ind w:firstLine="720"/>
        <w:contextualSpacing/>
        <w:jc w:val="center"/>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 xml:space="preserve">Sensitivity = </m:t>
          </m:r>
          <m:f>
            <m:fPr>
              <m:ctrlPr>
                <w:rPr>
                  <w:rFonts w:ascii="Cambria Math" w:hAnsi="Cambria Math" w:cs="Times New Roman"/>
                  <w:i/>
                  <w:sz w:val="28"/>
                  <w:szCs w:val="28"/>
                  <w:lang w:val="en-US"/>
                </w:rPr>
              </m:ctrlPr>
            </m:fPr>
            <m:num>
              <m:r>
                <w:rPr>
                  <w:rFonts w:ascii="Cambria Math" w:hAnsi="Cambria Math" w:cs="Times New Roman"/>
                  <w:sz w:val="28"/>
                  <w:szCs w:val="28"/>
                  <w:lang w:val="en-US"/>
                </w:rPr>
                <m:t>TPC</m:t>
              </m:r>
            </m:num>
            <m:den>
              <m:r>
                <w:rPr>
                  <w:rFonts w:ascii="Cambria Math" w:hAnsi="Cambria Math" w:cs="Times New Roman"/>
                  <w:sz w:val="28"/>
                  <w:szCs w:val="28"/>
                  <w:lang w:val="en-US"/>
                </w:rPr>
                <m:t>TPC+FPC</m:t>
              </m:r>
            </m:den>
          </m:f>
        </m:oMath>
      </m:oMathPara>
    </w:p>
    <w:p w14:paraId="3BD88787" w14:textId="2384E4D7" w:rsidR="00600C79" w:rsidRPr="00244343" w:rsidRDefault="00600C79" w:rsidP="003F5BF1">
      <w:pPr>
        <w:pStyle w:val="af"/>
        <w:spacing w:after="240"/>
        <w:ind w:firstLine="720"/>
        <w:contextualSpacing/>
        <w:jc w:val="right"/>
        <w:rPr>
          <w:rFonts w:ascii="Times New Roman" w:hAnsi="Times New Roman" w:cs="Times New Roman"/>
          <w:sz w:val="28"/>
          <w:szCs w:val="28"/>
          <w:lang w:val="en-US"/>
        </w:rPr>
      </w:pPr>
      <w:r w:rsidRPr="00244343">
        <w:rPr>
          <w:rFonts w:ascii="Times New Roman" w:eastAsiaTheme="minorEastAsia" w:hAnsi="Times New Roman" w:cs="Times New Roman"/>
          <w:sz w:val="28"/>
          <w:szCs w:val="28"/>
          <w:lang w:val="en-US"/>
        </w:rPr>
        <w:t>(8)</w:t>
      </w:r>
    </w:p>
    <w:p w14:paraId="7CD422CD" w14:textId="50F60467" w:rsidR="00600C79" w:rsidRDefault="00600C79" w:rsidP="00600C79">
      <w:pPr>
        <w:pStyle w:val="af"/>
        <w:spacing w:after="240"/>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where, TPC are true positive cases, FPC are false positive cases.</w:t>
      </w:r>
    </w:p>
    <w:p w14:paraId="0913D3F7" w14:textId="77777777" w:rsidR="003F5BF1" w:rsidRPr="00244343" w:rsidRDefault="003F5BF1" w:rsidP="00600C79">
      <w:pPr>
        <w:pStyle w:val="af"/>
        <w:spacing w:after="240"/>
        <w:ind w:firstLine="720"/>
        <w:contextualSpacing/>
        <w:jc w:val="both"/>
        <w:rPr>
          <w:rFonts w:ascii="Times New Roman" w:hAnsi="Times New Roman" w:cs="Times New Roman"/>
          <w:sz w:val="28"/>
          <w:szCs w:val="28"/>
          <w:lang w:val="en-US"/>
        </w:rPr>
      </w:pPr>
    </w:p>
    <w:p w14:paraId="11F3CC6C" w14:textId="71A31814" w:rsidR="003F5BF1" w:rsidRDefault="00600C79" w:rsidP="003F5BF1">
      <w:pPr>
        <w:pStyle w:val="af"/>
        <w:spacing w:after="240"/>
        <w:ind w:firstLine="720"/>
        <w:contextualSpacing/>
        <w:jc w:val="center"/>
        <w:rPr>
          <w:rFonts w:ascii="Times New Roman" w:eastAsiaTheme="minorEastAsia" w:hAnsi="Times New Roman" w:cs="Times New Roman"/>
          <w:i/>
          <w:sz w:val="28"/>
          <w:szCs w:val="28"/>
          <w:lang w:val="en-US"/>
        </w:rPr>
      </w:pPr>
      <m:oMathPara>
        <m:oMath>
          <m:r>
            <w:rPr>
              <w:rFonts w:ascii="Cambria Math" w:hAnsi="Cambria Math" w:cs="Times New Roman"/>
              <w:sz w:val="28"/>
              <w:szCs w:val="28"/>
              <w:lang w:val="en-US"/>
            </w:rPr>
            <m:t xml:space="preserve">Sensitivity = </m:t>
          </m:r>
          <m:f>
            <m:fPr>
              <m:ctrlPr>
                <w:rPr>
                  <w:rFonts w:ascii="Cambria Math" w:hAnsi="Cambria Math" w:cs="Times New Roman"/>
                  <w:i/>
                  <w:sz w:val="28"/>
                  <w:szCs w:val="28"/>
                  <w:lang w:val="en-US"/>
                </w:rPr>
              </m:ctrlPr>
            </m:fPr>
            <m:num>
              <m:r>
                <w:rPr>
                  <w:rFonts w:ascii="Cambria Math" w:hAnsi="Cambria Math" w:cs="Times New Roman"/>
                  <w:sz w:val="28"/>
                  <w:szCs w:val="28"/>
                  <w:lang w:val="en-US"/>
                </w:rPr>
                <m:t>177</m:t>
              </m:r>
            </m:num>
            <m:den>
              <m:r>
                <w:rPr>
                  <w:rFonts w:ascii="Cambria Math" w:hAnsi="Cambria Math" w:cs="Times New Roman"/>
                  <w:sz w:val="28"/>
                  <w:szCs w:val="28"/>
                  <w:lang w:val="en-US"/>
                </w:rPr>
                <m:t>17+177</m:t>
              </m:r>
            </m:den>
          </m:f>
          <m:r>
            <w:rPr>
              <w:rFonts w:ascii="Cambria Math" w:hAnsi="Cambria Math" w:cs="Times New Roman"/>
              <w:sz w:val="28"/>
              <w:szCs w:val="28"/>
              <w:lang w:val="en-US"/>
            </w:rPr>
            <m:t>=0,912</m:t>
          </m:r>
        </m:oMath>
      </m:oMathPara>
    </w:p>
    <w:p w14:paraId="71480DBA" w14:textId="43D30857" w:rsidR="00600C79" w:rsidRPr="00244343" w:rsidRDefault="00600C79" w:rsidP="003F5BF1">
      <w:pPr>
        <w:pStyle w:val="af"/>
        <w:spacing w:after="240"/>
        <w:ind w:firstLine="720"/>
        <w:contextualSpacing/>
        <w:jc w:val="right"/>
        <w:rPr>
          <w:rFonts w:ascii="Times New Roman" w:hAnsi="Times New Roman" w:cs="Times New Roman"/>
          <w:i/>
          <w:sz w:val="28"/>
          <w:szCs w:val="28"/>
          <w:lang w:val="en-US"/>
        </w:rPr>
      </w:pPr>
      <w:r w:rsidRPr="00244343">
        <w:rPr>
          <w:rFonts w:ascii="Times New Roman" w:eastAsiaTheme="minorEastAsia" w:hAnsi="Times New Roman" w:cs="Times New Roman"/>
          <w:sz w:val="28"/>
          <w:szCs w:val="28"/>
          <w:lang w:val="en-US"/>
        </w:rPr>
        <w:t>(9)</w:t>
      </w:r>
    </w:p>
    <w:p w14:paraId="74439121" w14:textId="26BB07D3" w:rsidR="00600C79" w:rsidRDefault="00600C79" w:rsidP="00600C79">
      <w:pPr>
        <w:pStyle w:val="af"/>
        <w:ind w:firstLine="720"/>
        <w:contextualSpacing/>
        <w:jc w:val="both"/>
        <w:rPr>
          <w:rFonts w:ascii="Times New Roman" w:hAnsi="Times New Roman" w:cs="Times New Roman"/>
          <w:sz w:val="28"/>
          <w:szCs w:val="28"/>
          <w:lang w:val="en-US"/>
        </w:rPr>
      </w:pPr>
      <w:r w:rsidRPr="002247B7">
        <w:rPr>
          <w:rFonts w:ascii="Times New Roman" w:hAnsi="Times New Roman" w:cs="Times New Roman"/>
          <w:sz w:val="28"/>
          <w:szCs w:val="28"/>
          <w:lang w:val="en-US"/>
        </w:rPr>
        <w:t xml:space="preserve">In this case, sensitivity refers to the model's ability to identify actual cases (see Table </w:t>
      </w:r>
      <w:r w:rsidR="00676793">
        <w:rPr>
          <w:rFonts w:ascii="Times New Roman" w:hAnsi="Times New Roman" w:cs="Times New Roman"/>
          <w:sz w:val="28"/>
          <w:szCs w:val="28"/>
          <w:lang w:val="en-US"/>
        </w:rPr>
        <w:t>20</w:t>
      </w:r>
      <w:r w:rsidRPr="002247B7">
        <w:rPr>
          <w:rFonts w:ascii="Times New Roman" w:hAnsi="Times New Roman" w:cs="Times New Roman"/>
          <w:sz w:val="28"/>
          <w:szCs w:val="28"/>
          <w:lang w:val="en-US"/>
        </w:rPr>
        <w:t>) accurately. A model with high sensitivity effectively maximizes the percentage of correctly classified cases</w:t>
      </w:r>
      <w:r>
        <w:rPr>
          <w:rFonts w:ascii="Times New Roman" w:hAnsi="Times New Roman" w:cs="Times New Roman"/>
          <w:sz w:val="28"/>
          <w:szCs w:val="28"/>
          <w:lang w:val="en-US"/>
        </w:rPr>
        <w:t>.</w:t>
      </w:r>
    </w:p>
    <w:p w14:paraId="5F2382DE" w14:textId="77777777"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1 - specificity (one minus specificity) is the number of false positive cases (FPC) divided by the total number of true negative cases (TNC) in the sample, and is calculated by the formula:</w:t>
      </w:r>
    </w:p>
    <w:p w14:paraId="70605D6E" w14:textId="77777777" w:rsidR="00600C79" w:rsidRPr="00244343" w:rsidRDefault="00600C79" w:rsidP="00600C79">
      <w:pPr>
        <w:pStyle w:val="af"/>
        <w:ind w:firstLine="720"/>
        <w:contextualSpacing/>
        <w:jc w:val="both"/>
        <w:rPr>
          <w:rFonts w:ascii="Times New Roman" w:hAnsi="Times New Roman" w:cs="Times New Roman"/>
          <w:sz w:val="28"/>
          <w:szCs w:val="28"/>
          <w:lang w:val="en-US"/>
        </w:rPr>
      </w:pPr>
    </w:p>
    <w:p w14:paraId="0CA33492" w14:textId="56246FA8" w:rsidR="003F5BF1" w:rsidRDefault="00600C79" w:rsidP="003F5BF1">
      <w:pPr>
        <w:pStyle w:val="af"/>
        <w:spacing w:after="240"/>
        <w:ind w:firstLine="720"/>
        <w:contextualSpacing/>
        <w:jc w:val="center"/>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 xml:space="preserve">1-specificity = </m:t>
          </m:r>
          <m:f>
            <m:fPr>
              <m:ctrlPr>
                <w:rPr>
                  <w:rFonts w:ascii="Cambria Math" w:hAnsi="Cambria Math" w:cs="Times New Roman"/>
                  <w:i/>
                  <w:sz w:val="28"/>
                  <w:szCs w:val="28"/>
                  <w:lang w:val="en-US"/>
                </w:rPr>
              </m:ctrlPr>
            </m:fPr>
            <m:num>
              <m:r>
                <w:rPr>
                  <w:rFonts w:ascii="Cambria Math" w:hAnsi="Cambria Math" w:cs="Times New Roman"/>
                  <w:sz w:val="28"/>
                  <w:szCs w:val="28"/>
                  <w:lang w:val="en-US"/>
                </w:rPr>
                <m:t>FPC</m:t>
              </m:r>
            </m:num>
            <m:den>
              <m:r>
                <w:rPr>
                  <w:rFonts w:ascii="Cambria Math" w:hAnsi="Cambria Math" w:cs="Times New Roman"/>
                  <w:sz w:val="28"/>
                  <w:szCs w:val="28"/>
                  <w:lang w:val="en-US"/>
                </w:rPr>
                <m:t>FPC+TNC</m:t>
              </m:r>
            </m:den>
          </m:f>
        </m:oMath>
      </m:oMathPara>
    </w:p>
    <w:p w14:paraId="3BED3C8C" w14:textId="58B75776" w:rsidR="00600C79" w:rsidRPr="00244343" w:rsidRDefault="00600C79" w:rsidP="003F5BF1">
      <w:pPr>
        <w:pStyle w:val="af"/>
        <w:spacing w:after="240"/>
        <w:ind w:firstLine="720"/>
        <w:contextualSpacing/>
        <w:jc w:val="right"/>
        <w:rPr>
          <w:rFonts w:ascii="Times New Roman" w:hAnsi="Times New Roman" w:cs="Times New Roman"/>
          <w:sz w:val="28"/>
          <w:szCs w:val="28"/>
          <w:lang w:val="en-US"/>
        </w:rPr>
      </w:pPr>
      <w:r w:rsidRPr="00244343">
        <w:rPr>
          <w:rFonts w:ascii="Times New Roman" w:eastAsiaTheme="minorEastAsia" w:hAnsi="Times New Roman" w:cs="Times New Roman"/>
          <w:sz w:val="28"/>
          <w:szCs w:val="28"/>
          <w:lang w:val="en-US"/>
        </w:rPr>
        <w:t>(10)</w:t>
      </w:r>
    </w:p>
    <w:p w14:paraId="17389CCE" w14:textId="77777777" w:rsidR="00600C79" w:rsidRPr="00244343" w:rsidRDefault="00600C79" w:rsidP="00600C79">
      <w:pPr>
        <w:pStyle w:val="af"/>
        <w:spacing w:after="240"/>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or</w:t>
      </w:r>
    </w:p>
    <w:p w14:paraId="4C364863" w14:textId="7570BD31" w:rsidR="003F5BF1" w:rsidRDefault="00600C79" w:rsidP="003F5BF1">
      <w:pPr>
        <w:pStyle w:val="af"/>
        <w:spacing w:after="240"/>
        <w:ind w:firstLine="720"/>
        <w:contextualSpacing/>
        <w:jc w:val="center"/>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 xml:space="preserve">1-specificity = </m:t>
          </m:r>
          <m:f>
            <m:fPr>
              <m:ctrlPr>
                <w:rPr>
                  <w:rFonts w:ascii="Cambria Math" w:hAnsi="Cambria Math" w:cs="Times New Roman"/>
                  <w:i/>
                  <w:sz w:val="28"/>
                  <w:szCs w:val="28"/>
                  <w:lang w:val="en-US"/>
                </w:rPr>
              </m:ctrlPr>
            </m:fPr>
            <m:num>
              <m:r>
                <w:rPr>
                  <w:rFonts w:ascii="Cambria Math" w:hAnsi="Cambria Math" w:cs="Times New Roman"/>
                  <w:sz w:val="28"/>
                  <w:szCs w:val="28"/>
                  <w:lang w:val="en-US"/>
                </w:rPr>
                <m:t>18</m:t>
              </m:r>
            </m:num>
            <m:den>
              <m:r>
                <w:rPr>
                  <w:rFonts w:ascii="Cambria Math" w:hAnsi="Cambria Math" w:cs="Times New Roman"/>
                  <w:sz w:val="28"/>
                  <w:szCs w:val="28"/>
                  <w:lang w:val="en-US"/>
                </w:rPr>
                <m:t>88+18</m:t>
              </m:r>
            </m:den>
          </m:f>
          <m:r>
            <w:rPr>
              <w:rFonts w:ascii="Cambria Math" w:hAnsi="Cambria Math" w:cs="Times New Roman"/>
              <w:sz w:val="28"/>
              <w:szCs w:val="28"/>
              <w:lang w:val="en-US"/>
            </w:rPr>
            <m:t>=0,170</m:t>
          </m:r>
        </m:oMath>
      </m:oMathPara>
    </w:p>
    <w:p w14:paraId="71E44B6C" w14:textId="5983D3E8" w:rsidR="00600C79" w:rsidRDefault="00600C79" w:rsidP="003F5BF1">
      <w:pPr>
        <w:pStyle w:val="af"/>
        <w:spacing w:after="240"/>
        <w:ind w:firstLine="720"/>
        <w:contextualSpacing/>
        <w:jc w:val="right"/>
        <w:rPr>
          <w:rFonts w:ascii="Times New Roman" w:eastAsiaTheme="minorEastAsia" w:hAnsi="Times New Roman" w:cs="Times New Roman"/>
          <w:sz w:val="28"/>
          <w:szCs w:val="28"/>
          <w:lang w:val="en-US"/>
        </w:rPr>
      </w:pPr>
      <w:r w:rsidRPr="00244343">
        <w:rPr>
          <w:rFonts w:ascii="Times New Roman" w:eastAsiaTheme="minorEastAsia" w:hAnsi="Times New Roman" w:cs="Times New Roman"/>
          <w:sz w:val="28"/>
          <w:szCs w:val="28"/>
          <w:lang w:val="en-US"/>
        </w:rPr>
        <w:t>(11)</w:t>
      </w:r>
    </w:p>
    <w:p w14:paraId="3165523C" w14:textId="77777777" w:rsidR="003F5BF1" w:rsidRPr="008A2E43" w:rsidRDefault="003F5BF1" w:rsidP="003F5BF1">
      <w:pPr>
        <w:pStyle w:val="af"/>
        <w:spacing w:after="240"/>
        <w:ind w:firstLine="720"/>
        <w:contextualSpacing/>
        <w:jc w:val="right"/>
        <w:rPr>
          <w:rFonts w:ascii="Times New Roman" w:eastAsiaTheme="minorEastAsia" w:hAnsi="Times New Roman" w:cs="Times New Roman"/>
          <w:sz w:val="28"/>
          <w:szCs w:val="28"/>
          <w:lang w:val="en-US"/>
        </w:rPr>
      </w:pPr>
    </w:p>
    <w:p w14:paraId="5E2E5E1A" w14:textId="77777777"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In our example, 1 - specificity characterizes the level of "false positives" of the model, when lethal outcomes are classified as recovery.</w:t>
      </w:r>
    </w:p>
    <w:p w14:paraId="33DCECA1" w14:textId="77777777" w:rsidR="00600C79" w:rsidRPr="00244343" w:rsidRDefault="00600C79" w:rsidP="00600C79">
      <w:pPr>
        <w:pStyle w:val="af"/>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Thus, to determine the relationship, a multivariate logistic model was created, which included statistically significant variables. The model showed good predictive properties. Accordingly, this model can be used to predict the probability of employment of graduates. Thus, the analysis made it possible to prove the research hypothesis put forward in this paper.</w:t>
      </w:r>
    </w:p>
    <w:p w14:paraId="3D6EA685" w14:textId="77777777" w:rsidR="00600C79" w:rsidRPr="008A2E43" w:rsidRDefault="00600C79" w:rsidP="00600C79">
      <w:pPr>
        <w:spacing w:after="0" w:line="240" w:lineRule="auto"/>
        <w:ind w:firstLine="720"/>
        <w:contextualSpacing/>
        <w:jc w:val="both"/>
        <w:rPr>
          <w:rFonts w:ascii="Times New Roman" w:hAnsi="Times New Roman" w:cs="Times New Roman"/>
          <w:sz w:val="28"/>
          <w:szCs w:val="28"/>
          <w:lang w:val="en-US"/>
        </w:rPr>
      </w:pPr>
    </w:p>
    <w:p w14:paraId="58F70179" w14:textId="77777777" w:rsidR="00600C79" w:rsidRPr="00426A9B" w:rsidRDefault="00600C79" w:rsidP="00600C79">
      <w:pPr>
        <w:spacing w:after="0" w:line="240" w:lineRule="auto"/>
        <w:ind w:firstLine="720"/>
        <w:contextualSpacing/>
        <w:rPr>
          <w:rFonts w:ascii="Times New Roman" w:eastAsia="Times New Roman" w:hAnsi="Times New Roman" w:cs="Times New Roman"/>
          <w:b/>
          <w:bCs/>
          <w:sz w:val="28"/>
          <w:szCs w:val="28"/>
          <w:lang w:val="en-US" w:eastAsia="ru-RU"/>
        </w:rPr>
      </w:pPr>
      <w:r w:rsidRPr="00426A9B">
        <w:rPr>
          <w:rFonts w:ascii="Times New Roman" w:eastAsia="Times New Roman" w:hAnsi="Times New Roman" w:cs="Times New Roman"/>
          <w:b/>
          <w:bCs/>
          <w:sz w:val="28"/>
          <w:szCs w:val="28"/>
          <w:lang w:val="en-US" w:eastAsia="ru-RU"/>
        </w:rPr>
        <w:t xml:space="preserve">2.4. Key empirical Findings and Discussion </w:t>
      </w:r>
    </w:p>
    <w:p w14:paraId="170071E6" w14:textId="77777777" w:rsidR="00600C79" w:rsidRDefault="00600C79" w:rsidP="00600C79">
      <w:pPr>
        <w:spacing w:after="0" w:line="240" w:lineRule="auto"/>
        <w:ind w:firstLine="720"/>
        <w:contextualSpacing/>
        <w:jc w:val="both"/>
        <w:rPr>
          <w:rFonts w:ascii="Times New Roman" w:hAnsi="Times New Roman" w:cs="Times New Roman"/>
          <w:sz w:val="28"/>
          <w:szCs w:val="28"/>
          <w:lang w:val="en-US"/>
        </w:rPr>
      </w:pPr>
    </w:p>
    <w:p w14:paraId="3101726B" w14:textId="553ED66F" w:rsidR="00600C79" w:rsidRPr="008A2E43" w:rsidRDefault="00600C79" w:rsidP="001D41CA">
      <w:pPr>
        <w:spacing w:after="0" w:line="240" w:lineRule="auto"/>
        <w:ind w:firstLine="720"/>
        <w:contextualSpacing/>
        <w:jc w:val="both"/>
        <w:rPr>
          <w:rFonts w:ascii="Times New Roman" w:hAnsi="Times New Roman" w:cs="Times New Roman"/>
          <w:sz w:val="28"/>
          <w:szCs w:val="28"/>
          <w:lang w:val="en-US"/>
        </w:rPr>
      </w:pPr>
      <w:r w:rsidRPr="008A2E43">
        <w:rPr>
          <w:rFonts w:ascii="Times New Roman" w:hAnsi="Times New Roman" w:cs="Times New Roman"/>
          <w:sz w:val="28"/>
          <w:szCs w:val="28"/>
          <w:lang w:val="en-US"/>
        </w:rPr>
        <w:t xml:space="preserve">The </w:t>
      </w:r>
      <w:r>
        <w:rPr>
          <w:rFonts w:ascii="Times New Roman" w:hAnsi="Times New Roman" w:cs="Times New Roman"/>
          <w:sz w:val="28"/>
          <w:szCs w:val="28"/>
          <w:lang w:val="en-US"/>
        </w:rPr>
        <w:t xml:space="preserve">first subsection of the second </w:t>
      </w:r>
      <w:r w:rsidRPr="008A2E43">
        <w:rPr>
          <w:rFonts w:ascii="Times New Roman" w:hAnsi="Times New Roman" w:cs="Times New Roman"/>
          <w:sz w:val="28"/>
          <w:szCs w:val="28"/>
          <w:lang w:val="en-US"/>
        </w:rPr>
        <w:t xml:space="preserve">chapter compares Kazakhstan's innovation environment with other countries, such as China, Italy, and </w:t>
      </w:r>
      <w:proofErr w:type="spellStart"/>
      <w:proofErr w:type="gramStart"/>
      <w:r w:rsidRPr="008A2E43">
        <w:rPr>
          <w:rFonts w:ascii="Times New Roman" w:hAnsi="Times New Roman" w:cs="Times New Roman"/>
          <w:sz w:val="28"/>
          <w:szCs w:val="28"/>
          <w:lang w:val="en-US"/>
        </w:rPr>
        <w:t>Japan,based</w:t>
      </w:r>
      <w:proofErr w:type="spellEnd"/>
      <w:proofErr w:type="gramEnd"/>
      <w:r w:rsidRPr="008A2E43">
        <w:rPr>
          <w:rFonts w:ascii="Times New Roman" w:hAnsi="Times New Roman" w:cs="Times New Roman"/>
          <w:sz w:val="28"/>
          <w:szCs w:val="28"/>
          <w:lang w:val="en-US"/>
        </w:rPr>
        <w:t xml:space="preserve"> on indicators and secondary data from the GII between 2010 and 2023. The analysis reveals positive and negative correlations between various factors, such as political stability and the ease of starting a business, university-industry collaboration (UIC), and cluster development. The findings emphasize that although Kazakhstan's political stability does not significantly hinder business development, there is a complex relationship between political factors and entrepreneurial activities. </w:t>
      </w:r>
    </w:p>
    <w:p w14:paraId="1F8F4B83" w14:textId="77777777" w:rsidR="00600C79" w:rsidRPr="00D509D5" w:rsidRDefault="00600C79" w:rsidP="00600C79">
      <w:pPr>
        <w:spacing w:line="240" w:lineRule="auto"/>
        <w:ind w:firstLine="720"/>
        <w:contextualSpacing/>
        <w:jc w:val="both"/>
        <w:rPr>
          <w:rFonts w:ascii="Times New Roman" w:hAnsi="Times New Roman" w:cs="Times New Roman"/>
          <w:sz w:val="28"/>
          <w:szCs w:val="28"/>
          <w:lang w:val="en-US"/>
        </w:rPr>
      </w:pPr>
      <w:r w:rsidRPr="00D509D5">
        <w:rPr>
          <w:rFonts w:ascii="Times New Roman" w:hAnsi="Times New Roman" w:cs="Times New Roman"/>
          <w:sz w:val="28"/>
          <w:szCs w:val="28"/>
          <w:lang w:val="en-US"/>
        </w:rPr>
        <w:lastRenderedPageBreak/>
        <w:t>This section discusses the key empirical findings from two distinct analyses: the factors influencing students' entrepreneurial intentions and the determinants of graduate employment likelihood. Both analyses contribute to a broader understanding of how educational, psychological, and structural elements shape students' career trajectories toward entrepreneurship or employment.</w:t>
      </w:r>
    </w:p>
    <w:p w14:paraId="5750B5DB" w14:textId="77777777" w:rsidR="00600C79" w:rsidRPr="00D509D5" w:rsidRDefault="00600C79" w:rsidP="00600C79">
      <w:pPr>
        <w:spacing w:line="240" w:lineRule="auto"/>
        <w:ind w:firstLine="720"/>
        <w:contextualSpacing/>
        <w:jc w:val="both"/>
        <w:rPr>
          <w:rFonts w:ascii="Times New Roman" w:hAnsi="Times New Roman" w:cs="Times New Roman"/>
          <w:sz w:val="28"/>
          <w:szCs w:val="28"/>
          <w:lang w:val="en-US"/>
        </w:rPr>
      </w:pPr>
      <w:r w:rsidRPr="00D509D5">
        <w:rPr>
          <w:rFonts w:ascii="Times New Roman" w:hAnsi="Times New Roman" w:cs="Times New Roman"/>
          <w:sz w:val="28"/>
          <w:szCs w:val="28"/>
          <w:lang w:val="en-US"/>
        </w:rPr>
        <w:t>The first analysis examines entrepreneurial intentions and the contributing factors that foster students' entrepreneurial spirit. The findings suggest that psychological traits such as entrepreneurial self-efficacy and locus of control significantly shape students' entrepreneurial mindset. The direct influence of the university environment and organized program learning on entrepreneurial attitudes and aspirations seems constrained, underscoring the necessity for more experiential and practice-oriented educational methods. Moreover, entrepreneurial education is most efficacious when students have preexisting confidence in their capabilities, underscoring the need for psychological empowerment in conjunction with formal training.</w:t>
      </w:r>
    </w:p>
    <w:p w14:paraId="4E5D8785" w14:textId="77777777" w:rsidR="00600C79" w:rsidRPr="00D509D5" w:rsidRDefault="00600C79" w:rsidP="00600C79">
      <w:pPr>
        <w:spacing w:line="240" w:lineRule="auto"/>
        <w:ind w:firstLine="720"/>
        <w:contextualSpacing/>
        <w:jc w:val="both"/>
        <w:rPr>
          <w:rFonts w:ascii="Times New Roman" w:hAnsi="Times New Roman" w:cs="Times New Roman"/>
          <w:sz w:val="28"/>
          <w:szCs w:val="28"/>
          <w:lang w:val="en-US"/>
        </w:rPr>
      </w:pPr>
      <w:r w:rsidRPr="00D509D5">
        <w:rPr>
          <w:rFonts w:ascii="Times New Roman" w:hAnsi="Times New Roman" w:cs="Times New Roman"/>
          <w:sz w:val="28"/>
          <w:szCs w:val="28"/>
          <w:lang w:val="en-US"/>
        </w:rPr>
        <w:t>The second empirical analysis focuses on graduate employment factors influencing the likelihood of securing a job. The results indicate that practical work experience, alignment between educational specialization and job availability, social connections, and exposure to research, technology, and innovation significantly impact employment outcomes. Strong industry connections, appropriate skill sets, and practical experience help graduates show more employability than those depending just on academic success. Entrepreneurial skills, including creativity and problem-solving, further improve work market competitiveness.</w:t>
      </w:r>
    </w:p>
    <w:p w14:paraId="7524E7E8" w14:textId="77777777" w:rsidR="00600C79" w:rsidRDefault="00600C79" w:rsidP="00600C79">
      <w:pPr>
        <w:spacing w:line="240" w:lineRule="auto"/>
        <w:ind w:firstLine="720"/>
        <w:contextualSpacing/>
        <w:jc w:val="both"/>
        <w:rPr>
          <w:rFonts w:ascii="Times New Roman" w:hAnsi="Times New Roman" w:cs="Times New Roman"/>
          <w:sz w:val="28"/>
          <w:szCs w:val="28"/>
          <w:lang w:val="en-US"/>
        </w:rPr>
      </w:pPr>
      <w:r w:rsidRPr="00D509D5">
        <w:rPr>
          <w:rFonts w:ascii="Times New Roman" w:hAnsi="Times New Roman" w:cs="Times New Roman"/>
          <w:sz w:val="28"/>
          <w:szCs w:val="28"/>
          <w:lang w:val="en-US"/>
        </w:rPr>
        <w:t>These two empirical studies are combined in this section to fully address the interaction among employment results, education, and entrepreneurship. The findings suggest that motivating an entrepreneurial attitude requires a diverse approach outside traditional academic curricula. Likewise, improving graduate employability calls more attention to practical training, networking opportunities, and multidisciplinary skill development. The following subsections will further discuss these ideas, comparing them with international best practices and current literature.</w:t>
      </w:r>
    </w:p>
    <w:p w14:paraId="23E1B362" w14:textId="169EFE19"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In the subsection 2.2 the</w:t>
      </w:r>
      <w:r w:rsidRPr="00244343">
        <w:rPr>
          <w:rFonts w:ascii="Times New Roman" w:hAnsi="Times New Roman" w:cs="Times New Roman"/>
          <w:sz w:val="28"/>
          <w:szCs w:val="28"/>
          <w:lang w:val="en-US"/>
        </w:rPr>
        <w:t xml:space="preserve"> final model's goodness-of-fit indices </w:t>
      </w:r>
      <w:r>
        <w:rPr>
          <w:rFonts w:ascii="Times New Roman" w:hAnsi="Times New Roman" w:cs="Times New Roman"/>
          <w:sz w:val="28"/>
          <w:szCs w:val="28"/>
          <w:lang w:val="en-US"/>
        </w:rPr>
        <w:t xml:space="preserve">as have been demonstrated </w:t>
      </w:r>
      <w:r w:rsidRPr="003F5BF1">
        <w:rPr>
          <w:rFonts w:ascii="Times New Roman" w:hAnsi="Times New Roman" w:cs="Times New Roman"/>
          <w:sz w:val="28"/>
          <w:szCs w:val="28"/>
          <w:lang w:val="en-US"/>
        </w:rPr>
        <w:t>in figure 36 (final model</w:t>
      </w:r>
      <w:r>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are within acceptable ranges. Of the 20 hypotheses generated, 13 were validated. Initially, it was determined that the university setting positively impacts the locus of control (H4), suggesting that the learning context can affect students' perspective of control over their lives. The university environment significantly influences various behaviors, including creativity, curiosity, critical thinking, political awareness, engagement, and motivation to learn [</w:t>
      </w:r>
      <w:r w:rsidR="004422C5">
        <w:rPr>
          <w:rFonts w:ascii="Times New Roman" w:hAnsi="Times New Roman" w:cs="Times New Roman"/>
          <w:sz w:val="28"/>
          <w:szCs w:val="28"/>
          <w:lang w:val="en-US"/>
        </w:rPr>
        <w:t>2</w:t>
      </w:r>
      <w:r w:rsidR="00F44B8C">
        <w:rPr>
          <w:rFonts w:ascii="Times New Roman" w:hAnsi="Times New Roman" w:cs="Times New Roman"/>
          <w:sz w:val="28"/>
          <w:szCs w:val="28"/>
          <w:lang w:val="en-US"/>
        </w:rPr>
        <w:t>19</w:t>
      </w:r>
      <w:r w:rsidR="004422C5">
        <w:rPr>
          <w:rFonts w:ascii="Times New Roman" w:hAnsi="Times New Roman" w:cs="Times New Roman"/>
          <w:sz w:val="28"/>
          <w:szCs w:val="28"/>
          <w:lang w:val="en-US"/>
        </w:rPr>
        <w:t>-22</w:t>
      </w:r>
      <w:r w:rsidR="00F44B8C">
        <w:rPr>
          <w:rFonts w:ascii="Times New Roman" w:hAnsi="Times New Roman" w:cs="Times New Roman"/>
          <w:sz w:val="28"/>
          <w:szCs w:val="28"/>
          <w:lang w:val="en-US"/>
        </w:rPr>
        <w:t>5</w:t>
      </w:r>
      <w:r w:rsidRPr="00244343">
        <w:rPr>
          <w:rFonts w:ascii="Times New Roman" w:hAnsi="Times New Roman" w:cs="Times New Roman"/>
          <w:sz w:val="28"/>
          <w:szCs w:val="28"/>
          <w:lang w:val="en-US"/>
        </w:rPr>
        <w:t>]. Islam (2019) asserts [</w:t>
      </w:r>
      <w:r w:rsidR="001D41CA">
        <w:rPr>
          <w:rFonts w:ascii="Times New Roman" w:hAnsi="Times New Roman" w:cs="Times New Roman"/>
          <w:sz w:val="28"/>
          <w:szCs w:val="28"/>
          <w:lang w:val="en-US"/>
        </w:rPr>
        <w:t>22</w:t>
      </w:r>
      <w:r w:rsidR="00F44B8C">
        <w:rPr>
          <w:rFonts w:ascii="Times New Roman" w:hAnsi="Times New Roman" w:cs="Times New Roman"/>
          <w:sz w:val="28"/>
          <w:szCs w:val="28"/>
          <w:lang w:val="en-US"/>
        </w:rPr>
        <w:t>6</w:t>
      </w:r>
      <w:r w:rsidRPr="00244343">
        <w:rPr>
          <w:rFonts w:ascii="Times New Roman" w:hAnsi="Times New Roman" w:cs="Times New Roman"/>
          <w:sz w:val="28"/>
          <w:szCs w:val="28"/>
          <w:lang w:val="en-US"/>
        </w:rPr>
        <w:t>] that the academic environment positively influences the locus of control. Current studies indicate that a well-constructed university curriculum can enhance the advancement of ESE [</w:t>
      </w:r>
      <w:r w:rsidR="001D41CA">
        <w:rPr>
          <w:rFonts w:ascii="Times New Roman" w:hAnsi="Times New Roman" w:cs="Times New Roman"/>
          <w:sz w:val="28"/>
          <w:szCs w:val="28"/>
          <w:lang w:val="en-US"/>
        </w:rPr>
        <w:t>22</w:t>
      </w:r>
      <w:r w:rsidR="00F44B8C">
        <w:rPr>
          <w:rFonts w:ascii="Times New Roman" w:hAnsi="Times New Roman" w:cs="Times New Roman"/>
          <w:sz w:val="28"/>
          <w:szCs w:val="28"/>
          <w:lang w:val="en-US"/>
        </w:rPr>
        <w:t>7</w:t>
      </w:r>
      <w:r w:rsidRPr="00244343">
        <w:rPr>
          <w:rFonts w:ascii="Times New Roman" w:hAnsi="Times New Roman" w:cs="Times New Roman"/>
          <w:sz w:val="28"/>
          <w:szCs w:val="28"/>
          <w:lang w:val="en-US"/>
        </w:rPr>
        <w:t>]. The current study found that the university setting positively affects locus of control but does not significantly alter ESE.</w:t>
      </w:r>
      <w:r>
        <w:rPr>
          <w:rFonts w:ascii="Times New Roman" w:hAnsi="Times New Roman" w:cs="Times New Roman"/>
          <w:sz w:val="28"/>
          <w:szCs w:val="28"/>
          <w:lang w:val="en-US"/>
        </w:rPr>
        <w:t xml:space="preserve"> </w:t>
      </w:r>
    </w:p>
    <w:p w14:paraId="24AB7312" w14:textId="7CDF4340"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lastRenderedPageBreak/>
        <w:t>Above all, our research shows that learning programs significantly impact entrepreneurial self-efficacy (H5), and educational initiatives might enhance students' confidence in their capacity to execute entrepreneurial activities. And educational programs positively influence the locus of control (H8), suggesting that involvement in these programs enhances students' perception of control over their entrepreneurial activities. Educational programs and entrepreneurship training positively influence students' entrepreneurial self-efficacy and locus of control [</w:t>
      </w:r>
      <w:r w:rsidR="001D41CA">
        <w:rPr>
          <w:rFonts w:ascii="Times New Roman" w:hAnsi="Times New Roman" w:cs="Times New Roman"/>
          <w:sz w:val="28"/>
          <w:szCs w:val="28"/>
          <w:lang w:val="en-US"/>
        </w:rPr>
        <w:t>22</w:t>
      </w:r>
      <w:r w:rsidR="00F44B8C">
        <w:rPr>
          <w:rFonts w:ascii="Times New Roman" w:hAnsi="Times New Roman" w:cs="Times New Roman"/>
          <w:sz w:val="28"/>
          <w:szCs w:val="28"/>
          <w:lang w:val="en-US"/>
        </w:rPr>
        <w:t>8</w:t>
      </w:r>
      <w:r w:rsidR="001D41CA">
        <w:rPr>
          <w:rFonts w:ascii="Times New Roman" w:hAnsi="Times New Roman" w:cs="Times New Roman"/>
          <w:sz w:val="28"/>
          <w:szCs w:val="28"/>
          <w:lang w:val="en-US"/>
        </w:rPr>
        <w:t>-2</w:t>
      </w:r>
      <w:r w:rsidR="00F44B8C">
        <w:rPr>
          <w:rFonts w:ascii="Times New Roman" w:hAnsi="Times New Roman" w:cs="Times New Roman"/>
          <w:sz w:val="28"/>
          <w:szCs w:val="28"/>
          <w:lang w:val="en-US"/>
        </w:rPr>
        <w:t>29</w:t>
      </w:r>
      <w:r w:rsidRPr="00244343">
        <w:rPr>
          <w:rFonts w:ascii="Times New Roman" w:hAnsi="Times New Roman" w:cs="Times New Roman"/>
          <w:sz w:val="28"/>
          <w:szCs w:val="28"/>
          <w:lang w:val="en-US"/>
        </w:rPr>
        <w:t>].</w:t>
      </w:r>
    </w:p>
    <w:p w14:paraId="606A436B" w14:textId="4865DE1A"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Additionally, what we found is that both ESE(H9) and LOC (H11) were identified as positively influencing entrepreneurial intention, which means that students with elevated self-efficacy and a robust sense of control are more inclined to engage in entrepreneurship. Both ESE (H10) and LOC (H12) positively affect entrepreneurial attitudes, indicating that these qualities can influence students' perspectives on entrepreneurship in the future. The results are demonstrated in table</w:t>
      </w:r>
      <w:r w:rsidR="003F5BF1">
        <w:rPr>
          <w:rFonts w:ascii="Times New Roman" w:hAnsi="Times New Roman" w:cs="Times New Roman"/>
          <w:sz w:val="28"/>
          <w:szCs w:val="28"/>
          <w:lang w:val="en-US"/>
        </w:rPr>
        <w:t xml:space="preserve"> 1</w:t>
      </w:r>
      <w:r w:rsidR="00676793">
        <w:rPr>
          <w:rFonts w:ascii="Times New Roman" w:hAnsi="Times New Roman" w:cs="Times New Roman"/>
          <w:sz w:val="28"/>
          <w:szCs w:val="28"/>
          <w:lang w:val="en-US"/>
        </w:rPr>
        <w:t>3</w:t>
      </w:r>
      <w:r w:rsidRPr="00244343">
        <w:rPr>
          <w:rFonts w:ascii="Times New Roman" w:hAnsi="Times New Roman" w:cs="Times New Roman"/>
          <w:sz w:val="28"/>
          <w:szCs w:val="28"/>
          <w:lang w:val="en-US"/>
        </w:rPr>
        <w:t xml:space="preserve">. </w:t>
      </w:r>
    </w:p>
    <w:p w14:paraId="67A93D74" w14:textId="095AB349"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The</w:t>
      </w:r>
      <w:r w:rsidRPr="00244343">
        <w:rPr>
          <w:rFonts w:ascii="Times New Roman" w:hAnsi="Times New Roman" w:cs="Times New Roman"/>
          <w:sz w:val="28"/>
          <w:szCs w:val="28"/>
          <w:lang w:val="en-US"/>
        </w:rPr>
        <w:t xml:space="preserve"> research</w:t>
      </w:r>
      <w:r>
        <w:rPr>
          <w:rFonts w:ascii="Times New Roman" w:hAnsi="Times New Roman" w:cs="Times New Roman"/>
          <w:sz w:val="28"/>
          <w:szCs w:val="28"/>
          <w:lang w:val="en-US"/>
        </w:rPr>
        <w:t xml:space="preserve"> on students` entrepreneurial spirit</w:t>
      </w:r>
      <w:r w:rsidRPr="00244343">
        <w:rPr>
          <w:rFonts w:ascii="Times New Roman" w:hAnsi="Times New Roman" w:cs="Times New Roman"/>
          <w:sz w:val="28"/>
          <w:szCs w:val="28"/>
          <w:lang w:val="en-US"/>
        </w:rPr>
        <w:t xml:space="preserve"> clearly demonstrates the</w:t>
      </w:r>
      <w:r w:rsidR="001D41CA">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interrelationship</w:t>
      </w:r>
      <w:r w:rsidR="001D41CA">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 xml:space="preserve">of theory of planned </w:t>
      </w:r>
      <w:r w:rsidR="001D41CA">
        <w:rPr>
          <w:rFonts w:ascii="Times New Roman" w:hAnsi="Times New Roman" w:cs="Times New Roman"/>
          <w:sz w:val="28"/>
          <w:szCs w:val="28"/>
          <w:lang w:val="en-US"/>
        </w:rPr>
        <w:t xml:space="preserve">behavior </w:t>
      </w:r>
      <w:r w:rsidRPr="00244343">
        <w:rPr>
          <w:rFonts w:ascii="Times New Roman" w:hAnsi="Times New Roman" w:cs="Times New Roman"/>
          <w:sz w:val="28"/>
          <w:szCs w:val="28"/>
          <w:lang w:val="en-US"/>
        </w:rPr>
        <w:t>and entrepreneurial success of the students</w:t>
      </w:r>
      <w:r w:rsidR="001D41CA">
        <w:rPr>
          <w:rFonts w:ascii="Times New Roman" w:hAnsi="Times New Roman" w:cs="Times New Roman"/>
          <w:sz w:val="28"/>
          <w:szCs w:val="28"/>
          <w:lang w:val="en-US"/>
        </w:rPr>
        <w:t xml:space="preserve"> </w:t>
      </w:r>
      <w:r w:rsidR="001D41CA" w:rsidRPr="00244343">
        <w:rPr>
          <w:rFonts w:ascii="Times New Roman" w:hAnsi="Times New Roman" w:cs="Times New Roman"/>
          <w:sz w:val="28"/>
          <w:szCs w:val="28"/>
          <w:lang w:val="en-US"/>
        </w:rPr>
        <w:t>[</w:t>
      </w:r>
      <w:r w:rsidR="001D41CA">
        <w:rPr>
          <w:rFonts w:ascii="Times New Roman" w:hAnsi="Times New Roman" w:cs="Times New Roman"/>
          <w:sz w:val="28"/>
          <w:szCs w:val="28"/>
          <w:lang w:val="en-US"/>
        </w:rPr>
        <w:t>48, 23</w:t>
      </w:r>
      <w:r w:rsidR="004422C5">
        <w:rPr>
          <w:rFonts w:ascii="Times New Roman" w:hAnsi="Times New Roman" w:cs="Times New Roman"/>
          <w:sz w:val="28"/>
          <w:szCs w:val="28"/>
          <w:lang w:val="en-US"/>
        </w:rPr>
        <w:t>1</w:t>
      </w:r>
      <w:r w:rsidR="001D41CA" w:rsidRPr="00244343">
        <w:rPr>
          <w:rFonts w:ascii="Times New Roman" w:hAnsi="Times New Roman" w:cs="Times New Roman"/>
          <w:sz w:val="28"/>
          <w:szCs w:val="28"/>
          <w:lang w:val="en-US"/>
        </w:rPr>
        <w:t>]</w:t>
      </w:r>
      <w:r w:rsidRPr="00244343">
        <w:rPr>
          <w:rFonts w:ascii="Times New Roman" w:hAnsi="Times New Roman" w:cs="Times New Roman"/>
          <w:sz w:val="28"/>
          <w:szCs w:val="28"/>
          <w:lang w:val="en-US"/>
        </w:rPr>
        <w:t xml:space="preserve">. Our findings indicate that personal factors, including self-efficacy, locus of control, and the university environment, influence student entrepreneurship. The findings reveal interdependencies among these factors, further influencing students' entrepreneurial intentions and attitudes. </w:t>
      </w:r>
    </w:p>
    <w:p w14:paraId="62A78652"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results pave the way for solutions to be offered in a university setting. Furthermore, learning programs are a tool for maximizing the results. Based on the empirical results, there is a need to address the following mechanisms through which learning programs enhance entrepreneurial self-efficacy:</w:t>
      </w:r>
    </w:p>
    <w:p w14:paraId="4FD8E94E" w14:textId="77777777" w:rsidR="00600C79" w:rsidRPr="00244343" w:rsidRDefault="00600C79" w:rsidP="001B500C">
      <w:pPr>
        <w:numPr>
          <w:ilvl w:val="0"/>
          <w:numId w:val="12"/>
        </w:num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Knowledge Acquisition: Business Fundamentals: Learning programs equip individuals with foundational business knowledge, including marketing, finance, operations, and human resources. </w:t>
      </w:r>
    </w:p>
    <w:p w14:paraId="4F7B364B" w14:textId="77777777" w:rsidR="00600C79" w:rsidRPr="00244343" w:rsidRDefault="00600C79" w:rsidP="001B500C">
      <w:pPr>
        <w:numPr>
          <w:ilvl w:val="0"/>
          <w:numId w:val="12"/>
        </w:num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Industry-Specific Knowledge: Specialized training can provide insights into specific industries, enabling entrepreneurs to identify market opportunities and develop innovative business models.</w:t>
      </w:r>
    </w:p>
    <w:p w14:paraId="44DEB6BC" w14:textId="77777777" w:rsidR="00600C79" w:rsidRPr="00244343" w:rsidRDefault="00600C79" w:rsidP="001B500C">
      <w:pPr>
        <w:numPr>
          <w:ilvl w:val="0"/>
          <w:numId w:val="12"/>
        </w:num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Skill Development: Technical Skills: Programs can enhance technical skills such as financial analysis, problem-solving, and decision-making. Soft Skills: Developing soft skills like communication, leadership, and negotiation can significantly boost self-efficacy, as these skills are essential for building relationships and navigating challenges.</w:t>
      </w:r>
    </w:p>
    <w:p w14:paraId="2F151BD2" w14:textId="77777777" w:rsidR="00600C79" w:rsidRPr="00244343" w:rsidRDefault="00600C79" w:rsidP="001B500C">
      <w:pPr>
        <w:numPr>
          <w:ilvl w:val="0"/>
          <w:numId w:val="12"/>
        </w:num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Mindset Cultivation: </w:t>
      </w:r>
    </w:p>
    <w:p w14:paraId="3DB0D97E" w14:textId="7A743480" w:rsidR="00600C79" w:rsidRPr="008862F5" w:rsidRDefault="00600C79" w:rsidP="001B500C">
      <w:pPr>
        <w:pStyle w:val="ad"/>
        <w:numPr>
          <w:ilvl w:val="0"/>
          <w:numId w:val="11"/>
        </w:num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Growth Mindset:</w:t>
      </w:r>
      <w:r w:rsidR="008862F5">
        <w:rPr>
          <w:rFonts w:ascii="Times New Roman" w:eastAsia="Times New Roman" w:hAnsi="Times New Roman" w:cs="Times New Roman"/>
          <w:sz w:val="28"/>
          <w:szCs w:val="28"/>
          <w:lang w:val="en-US"/>
        </w:rPr>
        <w:t xml:space="preserve"> </w:t>
      </w:r>
      <w:r w:rsidRPr="008862F5">
        <w:rPr>
          <w:rFonts w:ascii="Times New Roman" w:eastAsia="Times New Roman" w:hAnsi="Times New Roman" w:cs="Times New Roman"/>
          <w:sz w:val="28"/>
          <w:szCs w:val="28"/>
          <w:lang w:val="en-US"/>
        </w:rPr>
        <w:t xml:space="preserve">Learning programs can foster a growth mindset, encouraging individuals to view challenges as opportunities for learning and growth. </w:t>
      </w:r>
    </w:p>
    <w:p w14:paraId="449481C7" w14:textId="77777777" w:rsidR="00600C79" w:rsidRPr="00244343" w:rsidRDefault="00600C79" w:rsidP="001B500C">
      <w:pPr>
        <w:pStyle w:val="ad"/>
        <w:numPr>
          <w:ilvl w:val="0"/>
          <w:numId w:val="11"/>
        </w:num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Risk Tolerance: Programs can help individuals develop a tolerance for risk and uncertainty by exposing them to real-world business scenarios.</w:t>
      </w:r>
    </w:p>
    <w:p w14:paraId="10438251" w14:textId="77777777" w:rsidR="00600C79" w:rsidRPr="00244343" w:rsidRDefault="00600C79" w:rsidP="001B500C">
      <w:pPr>
        <w:pStyle w:val="ad"/>
        <w:numPr>
          <w:ilvl w:val="0"/>
          <w:numId w:val="11"/>
        </w:num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Resilience: Learning to overcome setbacks and persevere in adversity is a critical component of entrepreneurial self-efficacy.</w:t>
      </w:r>
    </w:p>
    <w:p w14:paraId="08EB1ACC" w14:textId="77777777" w:rsidR="00600C79" w:rsidRPr="00244343" w:rsidRDefault="00600C79" w:rsidP="001B500C">
      <w:pPr>
        <w:pStyle w:val="ad"/>
        <w:numPr>
          <w:ilvl w:val="0"/>
          <w:numId w:val="12"/>
        </w:num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Social Support Networks:</w:t>
      </w:r>
    </w:p>
    <w:p w14:paraId="3E6FAE85" w14:textId="77777777" w:rsidR="00600C79" w:rsidRPr="00244343" w:rsidRDefault="00600C79" w:rsidP="001B500C">
      <w:pPr>
        <w:pStyle w:val="ad"/>
        <w:numPr>
          <w:ilvl w:val="0"/>
          <w:numId w:val="11"/>
        </w:num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lastRenderedPageBreak/>
        <w:t>Mentorship: Access to mentors can provide guidance, support, and encouragement, boosting self-efficacy.</w:t>
      </w:r>
    </w:p>
    <w:p w14:paraId="5D86F6D0" w14:textId="77777777" w:rsidR="00600C79" w:rsidRPr="00244343" w:rsidRDefault="00600C79" w:rsidP="001B500C">
      <w:pPr>
        <w:pStyle w:val="ad"/>
        <w:numPr>
          <w:ilvl w:val="0"/>
          <w:numId w:val="11"/>
        </w:num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Peer Learning: Interacting with other aspiring entrepreneurs can foster a sense of community and shared experiences, reducing feelings of isolation and increasing confidence.</w:t>
      </w:r>
    </w:p>
    <w:p w14:paraId="1DB762E1" w14:textId="77777777" w:rsidR="00600C79" w:rsidRPr="00244343" w:rsidRDefault="00600C79" w:rsidP="001B500C">
      <w:pPr>
        <w:pStyle w:val="ad"/>
        <w:numPr>
          <w:ilvl w:val="0"/>
          <w:numId w:val="12"/>
        </w:num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Practical Experience: </w:t>
      </w:r>
    </w:p>
    <w:p w14:paraId="1F5918FF" w14:textId="77777777" w:rsidR="00600C79" w:rsidRPr="00244343" w:rsidRDefault="00600C79" w:rsidP="001B500C">
      <w:pPr>
        <w:pStyle w:val="ad"/>
        <w:numPr>
          <w:ilvl w:val="0"/>
          <w:numId w:val="11"/>
        </w:num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Business Simulations: Simulated business experiences can help individuals test their ideas, make decisions, and learn from their mistakes in a low-risk environment.</w:t>
      </w:r>
    </w:p>
    <w:p w14:paraId="3820BE83" w14:textId="77777777" w:rsidR="00600C79" w:rsidRPr="00244343" w:rsidRDefault="00600C79" w:rsidP="001B500C">
      <w:pPr>
        <w:pStyle w:val="ad"/>
        <w:numPr>
          <w:ilvl w:val="0"/>
          <w:numId w:val="11"/>
        </w:numPr>
        <w:spacing w:after="0" w:line="240" w:lineRule="auto"/>
        <w:ind w:firstLine="720"/>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Internships and Apprenticeships:  Practical experiences in real-world business settings can provide valuable insights and hands-on skills.</w:t>
      </w:r>
    </w:p>
    <w:p w14:paraId="5B397331"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In the final 3.1 and 3.2 subsections, the current research addresses these key areas and offers how they could be </w:t>
      </w:r>
      <w:proofErr w:type="spellStart"/>
      <w:r w:rsidRPr="00244343">
        <w:rPr>
          <w:rFonts w:ascii="Times New Roman" w:eastAsia="Times New Roman" w:hAnsi="Times New Roman" w:cs="Times New Roman"/>
          <w:sz w:val="28"/>
          <w:szCs w:val="28"/>
          <w:lang w:val="en-US"/>
        </w:rPr>
        <w:t>realised</w:t>
      </w:r>
      <w:proofErr w:type="spellEnd"/>
      <w:r w:rsidRPr="00244343">
        <w:rPr>
          <w:rFonts w:ascii="Times New Roman" w:eastAsia="Times New Roman" w:hAnsi="Times New Roman" w:cs="Times New Roman"/>
          <w:sz w:val="28"/>
          <w:szCs w:val="28"/>
          <w:lang w:val="en-US"/>
        </w:rPr>
        <w:t xml:space="preserve"> in the context of universities.  </w:t>
      </w:r>
    </w:p>
    <w:p w14:paraId="46050334"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bookmarkStart w:id="29" w:name="_Hlk182167748"/>
      <w:r w:rsidRPr="00244343">
        <w:rPr>
          <w:rFonts w:ascii="Times New Roman" w:eastAsia="Times New Roman" w:hAnsi="Times New Roman" w:cs="Times New Roman"/>
          <w:sz w:val="28"/>
          <w:szCs w:val="28"/>
          <w:lang w:val="en-US"/>
        </w:rPr>
        <w:t xml:space="preserve">According to the current research empirical results, we can clearly track the moderating roles of LOC on program learning and entrepreneurial attitudes and intentions. LOC is a psychological notion that refers to how individuals believe they control events in their lives and can significantly influence the impact of learning programs on entrepreneurial attitudes. </w:t>
      </w:r>
      <w:bookmarkEnd w:id="29"/>
      <w:r w:rsidRPr="00244343">
        <w:rPr>
          <w:rFonts w:ascii="Times New Roman" w:eastAsia="Times New Roman" w:hAnsi="Times New Roman" w:cs="Times New Roman"/>
          <w:sz w:val="28"/>
          <w:szCs w:val="28"/>
          <w:lang w:val="en-US"/>
        </w:rPr>
        <w:t>Internal LOC:</w:t>
      </w:r>
    </w:p>
    <w:p w14:paraId="4958CB04"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u w:val="single"/>
          <w:lang w:val="en-US"/>
        </w:rPr>
        <w:t>Enhanced Learning:</w:t>
      </w:r>
      <w:r w:rsidRPr="00244343">
        <w:rPr>
          <w:rFonts w:ascii="Times New Roman" w:eastAsia="Times New Roman" w:hAnsi="Times New Roman" w:cs="Times New Roman"/>
          <w:sz w:val="28"/>
          <w:szCs w:val="28"/>
          <w:lang w:val="en-US"/>
        </w:rPr>
        <w:t xml:space="preserve"> Individuals with an internal LOC believe they can influence their outcomes through their efforts and abilities. This belief can increase motivation, persistence, and engagement in learning activities.</w:t>
      </w:r>
    </w:p>
    <w:p w14:paraId="6E712C38"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u w:val="single"/>
          <w:lang w:val="en-US"/>
        </w:rPr>
        <w:t>Stronger Entrepreneurial Attitudes:</w:t>
      </w:r>
      <w:r w:rsidRPr="00244343">
        <w:rPr>
          <w:rFonts w:ascii="Times New Roman" w:eastAsia="Times New Roman" w:hAnsi="Times New Roman" w:cs="Times New Roman"/>
          <w:sz w:val="28"/>
          <w:szCs w:val="28"/>
          <w:lang w:val="en-US"/>
        </w:rPr>
        <w:t xml:space="preserve"> Individuals with an internal LOC are likelier to believe in their ability to start and run a successful business. They are more confident in their decision-making abilities, risk-taking behaviors, and problem-solving skills, essential for entrepreneurial success.</w:t>
      </w:r>
    </w:p>
    <w:p w14:paraId="06BA6366"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i/>
          <w:iCs/>
          <w:sz w:val="28"/>
          <w:szCs w:val="28"/>
          <w:lang w:val="en-US"/>
        </w:rPr>
        <w:t>External LOC:</w:t>
      </w:r>
    </w:p>
    <w:p w14:paraId="3783E7B1"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u w:val="single"/>
          <w:lang w:val="en-US"/>
        </w:rPr>
        <w:t xml:space="preserve">Hindered Learning: </w:t>
      </w:r>
      <w:r w:rsidRPr="00244343">
        <w:rPr>
          <w:rFonts w:ascii="Times New Roman" w:eastAsia="Times New Roman" w:hAnsi="Times New Roman" w:cs="Times New Roman"/>
          <w:sz w:val="28"/>
          <w:szCs w:val="28"/>
          <w:lang w:val="en-US"/>
        </w:rPr>
        <w:t>Individuals with an external LOC tend to specify outcomes to external factors, such as luck or fate. This belief can reduce motivation and hinder learning, as they may perceive themselves as having little control over their success.</w:t>
      </w:r>
    </w:p>
    <w:p w14:paraId="5A5C4E83"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u w:val="single"/>
          <w:lang w:val="en-US"/>
        </w:rPr>
        <w:t>Weakened Entrepreneurial Attitudes</w:t>
      </w:r>
      <w:r w:rsidRPr="00244343">
        <w:rPr>
          <w:rFonts w:ascii="Times New Roman" w:eastAsia="Times New Roman" w:hAnsi="Times New Roman" w:cs="Times New Roman"/>
          <w:b/>
          <w:bCs/>
          <w:sz w:val="28"/>
          <w:szCs w:val="28"/>
          <w:lang w:val="en-US"/>
        </w:rPr>
        <w:t>:</w:t>
      </w:r>
      <w:r w:rsidRPr="00244343">
        <w:rPr>
          <w:rFonts w:ascii="Times New Roman" w:eastAsia="Times New Roman" w:hAnsi="Times New Roman" w:cs="Times New Roman"/>
          <w:sz w:val="28"/>
          <w:szCs w:val="28"/>
          <w:lang w:val="en-US"/>
        </w:rPr>
        <w:t xml:space="preserve"> Individuals with an external locus of control may be less likely to pursue entrepreneurial endeavors. They may need more confidence in their abilities and are more hesitant to take risks, which are crucial for entrepreneurial success.</w:t>
      </w:r>
    </w:p>
    <w:p w14:paraId="223CCFEF"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i/>
          <w:iCs/>
          <w:sz w:val="28"/>
          <w:szCs w:val="28"/>
          <w:lang w:val="en-US"/>
        </w:rPr>
        <w:t>Implications for Learning Programs:</w:t>
      </w:r>
    </w:p>
    <w:p w14:paraId="1201BD39"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Learning programs should be designed to cater to individuals with different loci of control. For example, individuals with an external locus of control may benefit from interventions emphasizing effort and perseverance in achieving success.</w:t>
      </w:r>
    </w:p>
    <w:p w14:paraId="08AEFEB2" w14:textId="388A5BA2" w:rsidR="00600C79" w:rsidRPr="00E738CC" w:rsidRDefault="00600C79" w:rsidP="00766A7D">
      <w:pPr>
        <w:spacing w:after="0" w:line="240" w:lineRule="auto"/>
        <w:ind w:firstLine="720"/>
        <w:contextualSpacing/>
        <w:jc w:val="both"/>
        <w:rPr>
          <w:rFonts w:ascii="Times New Roman" w:hAnsi="Times New Roman" w:cs="Times New Roman"/>
          <w:sz w:val="28"/>
          <w:szCs w:val="28"/>
          <w:lang w:val="en-US"/>
        </w:rPr>
      </w:pPr>
      <w:r w:rsidRPr="00244343">
        <w:rPr>
          <w:rFonts w:ascii="Times New Roman" w:eastAsia="Times New Roman" w:hAnsi="Times New Roman" w:cs="Times New Roman"/>
          <w:sz w:val="28"/>
          <w:szCs w:val="28"/>
          <w:lang w:val="en-US"/>
        </w:rPr>
        <w:t>Programs should focus on building self-efficacy, which is the belief in one's ability to succeed. It can be achieved through providing opportunities for hands-on experience, offering positive reinforcement, and setting achievable goals.</w:t>
      </w:r>
      <w:r w:rsidR="00766A7D">
        <w:rPr>
          <w:rFonts w:ascii="Times New Roman" w:eastAsia="Times New Roman" w:hAnsi="Times New Roman" w:cs="Times New Roman"/>
          <w:sz w:val="28"/>
          <w:szCs w:val="28"/>
          <w:lang w:val="en-US"/>
        </w:rPr>
        <w:t xml:space="preserve"> </w:t>
      </w:r>
      <w:r w:rsidRPr="00244343">
        <w:rPr>
          <w:rFonts w:ascii="Times New Roman" w:eastAsia="Times New Roman" w:hAnsi="Times New Roman" w:cs="Times New Roman"/>
          <w:sz w:val="28"/>
          <w:szCs w:val="28"/>
          <w:lang w:val="en-US"/>
        </w:rPr>
        <w:t xml:space="preserve">A growth attitude, which emphasizes the </w:t>
      </w:r>
      <w:r w:rsidRPr="00E738CC">
        <w:rPr>
          <w:rFonts w:ascii="Times New Roman" w:hAnsi="Times New Roman" w:cs="Times New Roman"/>
          <w:sz w:val="28"/>
          <w:szCs w:val="28"/>
          <w:lang w:val="en-US"/>
        </w:rPr>
        <w:t>belief that abilities can be developed through hard</w:t>
      </w:r>
      <w:r w:rsidR="00E738CC">
        <w:rPr>
          <w:rFonts w:ascii="Times New Roman" w:hAnsi="Times New Roman" w:cs="Times New Roman"/>
          <w:sz w:val="28"/>
          <w:szCs w:val="28"/>
          <w:lang w:val="en-US"/>
        </w:rPr>
        <w:t xml:space="preserve"> </w:t>
      </w:r>
      <w:r w:rsidRPr="00E738CC">
        <w:rPr>
          <w:rFonts w:ascii="Times New Roman" w:hAnsi="Times New Roman" w:cs="Times New Roman"/>
          <w:sz w:val="28"/>
          <w:szCs w:val="28"/>
          <w:lang w:val="en-US"/>
        </w:rPr>
        <w:lastRenderedPageBreak/>
        <w:t xml:space="preserve">work and dedication, can help individuals with an external locus of control to become more self-directed and motivated.   </w:t>
      </w:r>
    </w:p>
    <w:p w14:paraId="3C6DB820"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E738CC">
        <w:rPr>
          <w:rFonts w:ascii="Times New Roman" w:hAnsi="Times New Roman" w:cs="Times New Roman"/>
          <w:sz w:val="28"/>
          <w:szCs w:val="28"/>
          <w:lang w:val="en-US"/>
        </w:rPr>
        <w:t>By understanding the role of LOC in</w:t>
      </w:r>
      <w:r w:rsidRPr="00244343">
        <w:rPr>
          <w:rFonts w:ascii="Times New Roman" w:eastAsia="Times New Roman" w:hAnsi="Times New Roman" w:cs="Times New Roman"/>
          <w:sz w:val="28"/>
          <w:szCs w:val="28"/>
          <w:lang w:val="en-US"/>
        </w:rPr>
        <w:t xml:space="preserve"> learning and entrepreneurship, educators and policymakers can design more effective interventions to foster entrepreneurial attitudes and behaviors.</w:t>
      </w:r>
    </w:p>
    <w:p w14:paraId="583D65B6"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Apart from recommendations offered for university education managers, it is also recommended that more physical activity be integrated into the learning programs. Typically, in Kazakhstani universities, a physical activity discipline includes only two hours per week; however, the research literature states that two hours per day is optimal for increasing the odds of academic performance success.</w:t>
      </w:r>
    </w:p>
    <w:p w14:paraId="4673D8E6" w14:textId="77777777" w:rsidR="00600C79" w:rsidRPr="00244343" w:rsidRDefault="00600C79" w:rsidP="00600C79">
      <w:pPr>
        <w:spacing w:after="0" w:line="240" w:lineRule="auto"/>
        <w:ind w:firstLine="720"/>
        <w:contextualSpacing/>
        <w:jc w:val="both"/>
        <w:rPr>
          <w:rFonts w:ascii="Times New Roman" w:hAnsi="Times New Roman" w:cs="Times New Roman"/>
          <w:b/>
          <w:bCs/>
          <w:sz w:val="28"/>
          <w:szCs w:val="28"/>
          <w:lang w:val="en-US"/>
        </w:rPr>
      </w:pPr>
    </w:p>
    <w:p w14:paraId="6554CAF7"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099D499D" wp14:editId="35945417">
            <wp:extent cx="5252484" cy="3428365"/>
            <wp:effectExtent l="0" t="38100" r="0" b="38735"/>
            <wp:docPr id="54" name="Схема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00FB56A7" w14:textId="4C0414E7"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3</w:t>
      </w:r>
      <w:r w:rsidR="00B2633D">
        <w:rPr>
          <w:rFonts w:ascii="Times New Roman" w:hAnsi="Times New Roman" w:cs="Times New Roman"/>
          <w:sz w:val="28"/>
          <w:szCs w:val="28"/>
          <w:lang w:val="en-US"/>
        </w:rPr>
        <w:t>9</w:t>
      </w:r>
      <w:r w:rsidRPr="00244343">
        <w:rPr>
          <w:rFonts w:ascii="Times New Roman" w:hAnsi="Times New Roman" w:cs="Times New Roman"/>
          <w:sz w:val="28"/>
          <w:szCs w:val="28"/>
          <w:lang w:val="en-US"/>
        </w:rPr>
        <w:t xml:space="preserve"> - Scheme to enhance students` entrepreneurial performance</w:t>
      </w:r>
    </w:p>
    <w:p w14:paraId="4537EDE1" w14:textId="77777777" w:rsidR="00600C79" w:rsidRPr="00244343" w:rsidRDefault="00600C79" w:rsidP="00600C79">
      <w:pPr>
        <w:spacing w:after="0" w:line="240" w:lineRule="auto"/>
        <w:ind w:firstLine="720"/>
        <w:contextualSpacing/>
        <w:jc w:val="center"/>
        <w:rPr>
          <w:rFonts w:ascii="Times New Roman" w:hAnsi="Times New Roman" w:cs="Times New Roman"/>
          <w:sz w:val="28"/>
          <w:szCs w:val="28"/>
          <w:lang w:val="en-US"/>
        </w:rPr>
      </w:pPr>
    </w:p>
    <w:p w14:paraId="0DADA6D6" w14:textId="77777777" w:rsidR="00600C79" w:rsidRPr="00C300C8" w:rsidRDefault="00600C79" w:rsidP="00D00EF2">
      <w:pPr>
        <w:spacing w:after="0" w:line="240" w:lineRule="auto"/>
        <w:ind w:firstLine="720"/>
        <w:contextualSpacing/>
        <w:rPr>
          <w:rFonts w:ascii="Times New Roman" w:hAnsi="Times New Roman" w:cs="Times New Roman"/>
          <w:sz w:val="24"/>
          <w:szCs w:val="24"/>
          <w:lang w:val="en-US"/>
        </w:rPr>
      </w:pPr>
      <w:r w:rsidRPr="00C300C8">
        <w:rPr>
          <w:rFonts w:ascii="Times New Roman" w:hAnsi="Times New Roman" w:cs="Times New Roman"/>
          <w:sz w:val="24"/>
          <w:szCs w:val="24"/>
          <w:lang w:val="en-US"/>
        </w:rPr>
        <w:t>Note – Compiled by author</w:t>
      </w:r>
    </w:p>
    <w:p w14:paraId="3EC3EEB1" w14:textId="77777777" w:rsidR="001D41CA" w:rsidRDefault="001D41CA" w:rsidP="00600C79">
      <w:pPr>
        <w:spacing w:after="0" w:line="240" w:lineRule="auto"/>
        <w:ind w:firstLine="720"/>
        <w:contextualSpacing/>
        <w:jc w:val="both"/>
        <w:rPr>
          <w:rFonts w:ascii="Times New Roman" w:hAnsi="Times New Roman" w:cs="Times New Roman"/>
          <w:sz w:val="28"/>
          <w:szCs w:val="28"/>
          <w:lang w:val="en-US"/>
        </w:rPr>
      </w:pPr>
    </w:p>
    <w:p w14:paraId="59E6135E" w14:textId="17CC9EAB"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Physical activity is well-known as a predictor and a stimulant of dopamine release, increasing the functions of the prefrontal cortex, hippocampus and memory [</w:t>
      </w:r>
      <w:r w:rsidR="001D41CA">
        <w:rPr>
          <w:rFonts w:ascii="Times New Roman" w:hAnsi="Times New Roman" w:cs="Times New Roman"/>
          <w:sz w:val="28"/>
          <w:szCs w:val="28"/>
          <w:lang w:val="en-US"/>
        </w:rPr>
        <w:t>23</w:t>
      </w:r>
      <w:r w:rsidR="00F44B8C">
        <w:rPr>
          <w:rFonts w:ascii="Times New Roman" w:hAnsi="Times New Roman" w:cs="Times New Roman"/>
          <w:sz w:val="28"/>
          <w:szCs w:val="28"/>
          <w:lang w:val="en-US"/>
        </w:rPr>
        <w:t>1</w:t>
      </w:r>
      <w:r w:rsidRPr="00244343">
        <w:rPr>
          <w:rFonts w:ascii="Times New Roman" w:hAnsi="Times New Roman" w:cs="Times New Roman"/>
          <w:sz w:val="28"/>
          <w:szCs w:val="28"/>
          <w:lang w:val="en-US"/>
        </w:rPr>
        <w:t>]. Those functions are crucial in shaping locus of control and an individual`s self-efficacy. Consequently, physical activities (hours per day) increase students` academic performance odds [</w:t>
      </w:r>
      <w:r w:rsidR="001D41CA">
        <w:rPr>
          <w:rFonts w:ascii="Times New Roman" w:hAnsi="Times New Roman" w:cs="Times New Roman"/>
          <w:sz w:val="28"/>
          <w:szCs w:val="28"/>
          <w:lang w:val="en-US"/>
        </w:rPr>
        <w:t>23</w:t>
      </w:r>
      <w:r w:rsidR="00F44B8C">
        <w:rPr>
          <w:rFonts w:ascii="Times New Roman" w:hAnsi="Times New Roman" w:cs="Times New Roman"/>
          <w:sz w:val="28"/>
          <w:szCs w:val="28"/>
          <w:lang w:val="en-US"/>
        </w:rPr>
        <w:t>2</w:t>
      </w:r>
      <w:r w:rsidR="001D41CA">
        <w:rPr>
          <w:rFonts w:ascii="Times New Roman" w:hAnsi="Times New Roman" w:cs="Times New Roman"/>
          <w:sz w:val="28"/>
          <w:szCs w:val="28"/>
          <w:lang w:val="en-US"/>
        </w:rPr>
        <w:t>-23</w:t>
      </w:r>
      <w:r w:rsidR="00F44B8C">
        <w:rPr>
          <w:rFonts w:ascii="Times New Roman" w:hAnsi="Times New Roman" w:cs="Times New Roman"/>
          <w:sz w:val="28"/>
          <w:szCs w:val="28"/>
          <w:lang w:val="en-US"/>
        </w:rPr>
        <w:t>6</w:t>
      </w:r>
      <w:r w:rsidRPr="00244343">
        <w:rPr>
          <w:rFonts w:ascii="Times New Roman" w:hAnsi="Times New Roman" w:cs="Times New Roman"/>
          <w:sz w:val="28"/>
          <w:szCs w:val="28"/>
          <w:lang w:val="en-US"/>
        </w:rPr>
        <w:t xml:space="preserve">]. Since it increases the locus of control and students` self-efficacy, it highly influences entrepreneurial intention and success. The research conducted by Liu G, Li W, and Li X presents the subsequent findings: A non-linear relationship exists between pupils' academic achievement and the duration of physical activity. The most significant academic performance enhancement occurs when exercise lasts 2 hours. Physical activity can improve students' academic performance by fostering physical health and cognitive capabilities. Gender heterogeneity is evident, with male students achieving optimal </w:t>
      </w:r>
      <w:r w:rsidRPr="00244343">
        <w:rPr>
          <w:rFonts w:ascii="Times New Roman" w:hAnsi="Times New Roman" w:cs="Times New Roman"/>
          <w:sz w:val="28"/>
          <w:szCs w:val="28"/>
          <w:lang w:val="en-US"/>
        </w:rPr>
        <w:lastRenderedPageBreak/>
        <w:t>academic performance after 2 hours of exercise, but female students perform best after 1 hour [</w:t>
      </w:r>
      <w:r w:rsidR="001D41CA">
        <w:rPr>
          <w:rFonts w:ascii="Times New Roman" w:hAnsi="Times New Roman" w:cs="Times New Roman"/>
          <w:sz w:val="28"/>
          <w:szCs w:val="28"/>
          <w:lang w:val="en-US"/>
        </w:rPr>
        <w:t>23</w:t>
      </w:r>
      <w:r w:rsidR="00F44B8C">
        <w:rPr>
          <w:rFonts w:ascii="Times New Roman" w:hAnsi="Times New Roman" w:cs="Times New Roman"/>
          <w:sz w:val="28"/>
          <w:szCs w:val="28"/>
          <w:lang w:val="en-US"/>
        </w:rPr>
        <w:t>7</w:t>
      </w:r>
      <w:r w:rsidRPr="00244343">
        <w:rPr>
          <w:rFonts w:ascii="Times New Roman" w:hAnsi="Times New Roman" w:cs="Times New Roman"/>
          <w:sz w:val="28"/>
          <w:szCs w:val="28"/>
          <w:lang w:val="en-US"/>
        </w:rPr>
        <w:t>]. However, Kazakhstani learning program include only 2 hours per week for HEI students. Those 2 hours can be also separated by 1 hour per day. Thus, it is highly recommended that physical activity be integrated into the student's daily educational schedule as a mandatory activity (the scheme is depicted in Figure 3</w:t>
      </w:r>
      <w:r w:rsidR="00B2633D">
        <w:rPr>
          <w:rFonts w:ascii="Times New Roman" w:hAnsi="Times New Roman" w:cs="Times New Roman"/>
          <w:sz w:val="28"/>
          <w:szCs w:val="28"/>
          <w:lang w:val="en-US"/>
        </w:rPr>
        <w:t>9</w:t>
      </w:r>
      <w:r w:rsidRPr="00244343">
        <w:rPr>
          <w:rFonts w:ascii="Times New Roman" w:hAnsi="Times New Roman" w:cs="Times New Roman"/>
          <w:sz w:val="28"/>
          <w:szCs w:val="28"/>
          <w:lang w:val="en-US"/>
        </w:rPr>
        <w:t>).</w:t>
      </w:r>
    </w:p>
    <w:p w14:paraId="6A81DCC1"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Apart from integrating the Physical Education Class as a part of mandatory learning programs, universities could integrate it in other ways. For instance: a) active breaks: short bursts of physical activity, such as stretching or dancing, can be incorporated into the classroom to improve focus and reduce fatigue. b) Outdoor learning: Taking lessons outdoors can encourage physical activity and provide a change of scenery. Some schools of Almaty (in Kazakhstan) practice this approach to enhancing the pupil's performance, which works well.</w:t>
      </w:r>
    </w:p>
    <w:p w14:paraId="12FECFA1"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Moreover, the author highly recommends uniting the entrepreneurial disciplines into the unite blocks and integrating the gamification (goal-gradient effect) into the university learning platforms to add to the student's academic performance, resulting in successful graduate employees.  If it is done properly, then there will be no need in peer mentoring. </w:t>
      </w:r>
    </w:p>
    <w:p w14:paraId="546FFC19" w14:textId="3C56EB85"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According to the study of previous year by a current research author and other co-author based on a huge big data analysis results highlight those personal characteristics, including self-efficacy, locus of control, and the academic environment influence student entrepreneurship. The findings suggest interdependencies among these characteristics, further influencing students' entrepreneurial goals and attitudes. It is essential to work with students` self-efficacy and locus of control via integrating effective learning programs and disciplines [</w:t>
      </w:r>
      <w:r w:rsidR="003C7F61">
        <w:rPr>
          <w:rFonts w:ascii="Times New Roman" w:hAnsi="Times New Roman" w:cs="Times New Roman"/>
          <w:sz w:val="28"/>
          <w:szCs w:val="28"/>
          <w:lang w:val="en-US"/>
        </w:rPr>
        <w:t>206</w:t>
      </w:r>
      <w:r w:rsidRPr="00244343">
        <w:rPr>
          <w:rFonts w:ascii="Times New Roman" w:hAnsi="Times New Roman" w:cs="Times New Roman"/>
          <w:sz w:val="28"/>
          <w:szCs w:val="28"/>
          <w:lang w:val="en-US"/>
        </w:rPr>
        <w:t>, p.1548].</w:t>
      </w:r>
    </w:p>
    <w:p w14:paraId="67273627"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This study investigates the influence of the university environment and learning programs on students' entrepreneurial aspirations and attitudes, considering the moderating roles of entrepreneurial self-efficacy (ESE) and locus of control (LOC). Employing a multilevel linear model on data from 713 students across 30 Kazakhstani universities participating in the GUESSS 2021 survey, the research reveals the direct effects of ESE and LOC on entrepreneurial inclinations. Indirect effects are observed, with the university environment and curriculum influencing LOC and self-efficacy mediating the relationship between learning programs and entrepreneurial goals and attitudes. Conversely, LOC negatively impacts entrepreneurial attitudes and intentions within program learning contexts.</w:t>
      </w:r>
    </w:p>
    <w:p w14:paraId="665565A9"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This study builds on earlier research about student business by examining how personal traits and surrounding conditions work together. It recognizes the growing need to improve business skills in higher education because of the changing global economy. The literature review identifies key characteristics affecting entrepreneurial aspirations, including perceived entrepreneurial self-efficacy (the belief in one's ability to start and manage a business successfully) and perceived entrepreneurial opportunities. Entrepreneurial Self-Efficacy (ES) is essential for entrepreneurial ambitions and the longevity of ventures, influenced by elements such as education, personality, and support systems. Determinants of ESE are further </w:t>
      </w:r>
      <w:r w:rsidRPr="00244343">
        <w:rPr>
          <w:rFonts w:ascii="Times New Roman" w:eastAsia="Times New Roman" w:hAnsi="Times New Roman" w:cs="Times New Roman"/>
          <w:sz w:val="28"/>
          <w:szCs w:val="28"/>
          <w:lang w:val="en-US"/>
        </w:rPr>
        <w:lastRenderedPageBreak/>
        <w:t>explored, encompassing formal education (entrepreneurship courses), entrepreneurial personality traits, and support systems (familial, environmental, social, and educational experiences).</w:t>
      </w:r>
    </w:p>
    <w:p w14:paraId="7529E905"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bookmarkStart w:id="30" w:name="_Hlk190771680"/>
      <w:r w:rsidRPr="00244343">
        <w:rPr>
          <w:rFonts w:ascii="Times New Roman" w:eastAsia="Times New Roman" w:hAnsi="Times New Roman" w:cs="Times New Roman"/>
          <w:sz w:val="28"/>
          <w:szCs w:val="28"/>
          <w:lang w:val="en-US"/>
        </w:rPr>
        <w:t xml:space="preserve">Factors affecting entrepreneurial behaviors are analyzed, including risk tolerance, achievement motivation, locus of control (the belief in one's influence over outcomes), and cultural influences. The role of colleges in promoting entrepreneurship is analyzed, including specialized courses, incubators and accelerators, mentorship programs, and entrepreneurial competitions. </w:t>
      </w:r>
    </w:p>
    <w:p w14:paraId="63DD62D8"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 research framework posits that the university environment, program learning, ESE, and LOC are independent variables, while entrepreneurial intention and mindsets are dependent variables. ESE and LOC also function as mode actors. Twenty hypotheses were formulated to explore the direct and moderating effects of these variables.</w:t>
      </w:r>
    </w:p>
    <w:p w14:paraId="3F25E664"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A quantitative methodology was adopted, utilizing structural equation modelling (SEM) to analyze the data. Following data cleaning, the sample comprised 713 students. Validated questionnaires, based on established scales, were used to measure the university environment, program learning, ESE, LOC, and entrepreneurial intentions and attitudes. Confirmatory factor analysis demonstrated structural validity for all scales.</w:t>
      </w:r>
    </w:p>
    <w:p w14:paraId="2C044FB7"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Initial SEM results indicated inadequate model fit, requiring the inclusion of covariance connections. The revised model achieved acceptable fit indices. Of the 20 hypotheses, 13 were supported. Direct effects were found for ESE and LOC on both entrepreneurial intention and attitudes. The university environment indirectly influenced LOC, while learning programs indirectly affected ESE. Self-efficacy mediated the relationship between learning programs and entrepreneurial outcomes. LOC negatively impacted entrepreneurial attitudes and intentions within program learning.</w:t>
      </w:r>
    </w:p>
    <w:p w14:paraId="3C72DA99"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 final model explained 54.2% of the variance in entrepreneurial intention and 47.7% of the variance in entrepreneurial mindset. ESE emerged as the strongest predictor of both outcomes. While the university environment positively influenced LOC, its direct effect on ESE was insignificant. Learning programs significantly impacted both ESE and LOC. The research highlights the importance of fostering ESE and LOC within university settings and through targeted educational programs to cultivate entrepreneurial mindsets among students.</w:t>
      </w:r>
    </w:p>
    <w:bookmarkEnd w:id="30"/>
    <w:p w14:paraId="1D39057D"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 results of this study point to the following suggestions for more investigation and university curriculum development on entrepreneurship:</w:t>
      </w:r>
    </w:p>
    <w:p w14:paraId="2F944116" w14:textId="7DF14363"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1</w:t>
      </w:r>
      <w:r w:rsidR="003C7F61">
        <w:rPr>
          <w:rFonts w:ascii="Times New Roman" w:eastAsia="Times New Roman" w:hAnsi="Times New Roman" w:cs="Times New Roman"/>
          <w:sz w:val="28"/>
          <w:szCs w:val="28"/>
          <w:lang w:val="en-US"/>
        </w:rPr>
        <w:t xml:space="preserve"> – </w:t>
      </w:r>
      <w:r w:rsidRPr="00244343">
        <w:rPr>
          <w:rFonts w:ascii="Times New Roman" w:eastAsia="Times New Roman" w:hAnsi="Times New Roman" w:cs="Times New Roman"/>
          <w:sz w:val="28"/>
          <w:szCs w:val="28"/>
          <w:lang w:val="en-US"/>
        </w:rPr>
        <w:t>More investigation: The present work did not help to analyze the interdependence among components, which should be included in more studies.  This will enhance comprehension of the intricate interactions among diverse elements affecting students' entrepreneurial aspirations.</w:t>
      </w:r>
    </w:p>
    <w:p w14:paraId="6591B711" w14:textId="25A1BD61" w:rsidR="00600C79" w:rsidRPr="00244343" w:rsidRDefault="003C7F61" w:rsidP="00600C79">
      <w:pPr>
        <w:spacing w:after="0" w:line="240" w:lineRule="auto"/>
        <w:ind w:firstLine="720"/>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2 – </w:t>
      </w:r>
      <w:r w:rsidR="00600C79" w:rsidRPr="00244343">
        <w:rPr>
          <w:rFonts w:ascii="Times New Roman" w:eastAsia="Times New Roman" w:hAnsi="Times New Roman" w:cs="Times New Roman"/>
          <w:sz w:val="28"/>
          <w:szCs w:val="28"/>
          <w:lang w:val="en-US"/>
        </w:rPr>
        <w:t xml:space="preserve">Further investigation into moderating variables: Subsequent studies may explore the moderating effects of locus of control (LOC) and entrepreneurial self-efficacy (ESE) on the impact of social settings (family, society, peers) on the entrepreneurial aspirations of Kazakhstani students. This will help better understand </w:t>
      </w:r>
      <w:r w:rsidR="00600C79" w:rsidRPr="00244343">
        <w:rPr>
          <w:rFonts w:ascii="Times New Roman" w:eastAsia="Times New Roman" w:hAnsi="Times New Roman" w:cs="Times New Roman"/>
          <w:sz w:val="28"/>
          <w:szCs w:val="28"/>
          <w:lang w:val="en-US"/>
        </w:rPr>
        <w:lastRenderedPageBreak/>
        <w:t>how different aspects of students' lives can impact their entrepreneurial intentions and attitudes.</w:t>
      </w:r>
    </w:p>
    <w:p w14:paraId="2228EB5B" w14:textId="33F1ADDB"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3</w:t>
      </w:r>
      <w:r w:rsidR="003C7F61">
        <w:rPr>
          <w:rFonts w:ascii="Times New Roman" w:eastAsia="Times New Roman" w:hAnsi="Times New Roman" w:cs="Times New Roman"/>
          <w:sz w:val="28"/>
          <w:szCs w:val="28"/>
          <w:lang w:val="en-US"/>
        </w:rPr>
        <w:t xml:space="preserve"> – </w:t>
      </w:r>
      <w:r w:rsidRPr="00244343">
        <w:rPr>
          <w:rFonts w:ascii="Times New Roman" w:eastAsia="Times New Roman" w:hAnsi="Times New Roman" w:cs="Times New Roman"/>
          <w:sz w:val="28"/>
          <w:szCs w:val="28"/>
          <w:lang w:val="en-US"/>
        </w:rPr>
        <w:t>Formulating complete entrepreneurship curricula: University entrepreneurship training programs must consider students' economic, social, and cognitive factors. Examining personal competencies and their influence on entrepreneurial success would enhance students' comprehension of the skills and attributes essential for a prosperous entrepreneurial career.</w:t>
      </w:r>
    </w:p>
    <w:p w14:paraId="16D9D648" w14:textId="233715DA"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4</w:t>
      </w:r>
      <w:r w:rsidR="003C7F61">
        <w:rPr>
          <w:rFonts w:ascii="Times New Roman" w:eastAsia="Times New Roman" w:hAnsi="Times New Roman" w:cs="Times New Roman"/>
          <w:sz w:val="28"/>
          <w:szCs w:val="28"/>
          <w:lang w:val="en-US"/>
        </w:rPr>
        <w:t xml:space="preserve"> – </w:t>
      </w:r>
      <w:r w:rsidRPr="00244343">
        <w:rPr>
          <w:rFonts w:ascii="Times New Roman" w:eastAsia="Times New Roman" w:hAnsi="Times New Roman" w:cs="Times New Roman"/>
          <w:sz w:val="28"/>
          <w:szCs w:val="28"/>
          <w:lang w:val="en-US"/>
        </w:rPr>
        <w:t>Fostering practical experience: To mitigate obstacles to entrepreneurial career advancement, colleges ought to offer students the opportunity to acquire practical experience via university business incubators and startup acceleration platforms. Permitting students to obtain credit for experimenting with their ideas in practical environments will facilitate acquiring essential skills and knowledge for effective entrepreneurship.</w:t>
      </w:r>
    </w:p>
    <w:p w14:paraId="3DFE41ED" w14:textId="1E5F0266" w:rsidR="00600C79"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5</w:t>
      </w:r>
      <w:r w:rsidR="003C7F61">
        <w:rPr>
          <w:rFonts w:ascii="Times New Roman" w:eastAsia="Times New Roman" w:hAnsi="Times New Roman" w:cs="Times New Roman"/>
          <w:sz w:val="28"/>
          <w:szCs w:val="28"/>
          <w:lang w:val="en-US"/>
        </w:rPr>
        <w:t xml:space="preserve"> – </w:t>
      </w:r>
      <w:r w:rsidRPr="00244343">
        <w:rPr>
          <w:rFonts w:ascii="Times New Roman" w:eastAsia="Times New Roman" w:hAnsi="Times New Roman" w:cs="Times New Roman"/>
          <w:sz w:val="28"/>
          <w:szCs w:val="28"/>
          <w:lang w:val="en-US"/>
        </w:rPr>
        <w:t xml:space="preserve">Longitudinal studies: The GUESS project survey offers important longitudinal analysis on the development of entrepreneurial aspirations among university students, young researchers, and teachers from all throughout Kazakhstan. By perpetuating these surveys and scrutinizing the data, academics might derive more nuanced conclusions on the correlations among elements affecting students' entrepreneurial </w:t>
      </w:r>
      <w:proofErr w:type="spellStart"/>
      <w:r w:rsidRPr="00244343">
        <w:rPr>
          <w:rFonts w:ascii="Times New Roman" w:eastAsia="Times New Roman" w:hAnsi="Times New Roman" w:cs="Times New Roman"/>
          <w:sz w:val="28"/>
          <w:szCs w:val="28"/>
          <w:lang w:val="en-US"/>
        </w:rPr>
        <w:t>endeavours</w:t>
      </w:r>
      <w:proofErr w:type="spellEnd"/>
      <w:r w:rsidRPr="00244343">
        <w:rPr>
          <w:rFonts w:ascii="Times New Roman" w:eastAsia="Times New Roman" w:hAnsi="Times New Roman" w:cs="Times New Roman"/>
          <w:sz w:val="28"/>
          <w:szCs w:val="28"/>
          <w:lang w:val="en-US"/>
        </w:rPr>
        <w:t>.</w:t>
      </w:r>
    </w:p>
    <w:p w14:paraId="3DEBD88C" w14:textId="6352D82B" w:rsidR="00554D98" w:rsidRPr="00244343" w:rsidRDefault="00554D98" w:rsidP="00554D98">
      <w:pPr>
        <w:spacing w:after="0" w:line="240" w:lineRule="auto"/>
        <w:ind w:firstLine="720"/>
        <w:contextualSpacing/>
        <w:jc w:val="both"/>
        <w:rPr>
          <w:rFonts w:ascii="Times New Roman" w:eastAsia="Times New Roman" w:hAnsi="Times New Roman" w:cs="Times New Roman"/>
          <w:sz w:val="28"/>
          <w:szCs w:val="28"/>
          <w:lang w:val="en-US"/>
        </w:rPr>
      </w:pPr>
      <w:r w:rsidRPr="00554D98">
        <w:rPr>
          <w:rFonts w:ascii="Times New Roman" w:eastAsia="Times New Roman" w:hAnsi="Times New Roman" w:cs="Times New Roman"/>
          <w:sz w:val="28"/>
          <w:szCs w:val="28"/>
          <w:lang w:val="en-US"/>
        </w:rPr>
        <w:t>In addition to the GUESSS-based analysis of students' entrepreneurial intentions, a separate empirical study was conducted to examine the factors influencing graduate employment in Kazakhstan. The following section presents the findings of a logistic regression model based on an independently collected dataset of 300 university graduates who completed their studies in the 2020–2021 academic years. This study focuses specifically on employability rather than entrepreneurship and was designed to identify institutional, experiential, and personal factors affecting early career outcomes.</w:t>
      </w:r>
    </w:p>
    <w:p w14:paraId="5E33FCA9" w14:textId="7C3BD4EA"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8862F5">
        <w:rPr>
          <w:rFonts w:ascii="Times New Roman" w:hAnsi="Times New Roman" w:cs="Times New Roman"/>
          <w:sz w:val="28"/>
          <w:szCs w:val="28"/>
          <w:lang w:val="en-US"/>
        </w:rPr>
        <w:t>The results of the logistic regression model illustrates that a variety of factors can either help or hinder graduates' employment opportunities. Our study demonstrates the complex</w:t>
      </w:r>
      <w:r w:rsidRPr="00244343">
        <w:rPr>
          <w:rFonts w:ascii="Times New Roman" w:hAnsi="Times New Roman" w:cs="Times New Roman"/>
          <w:sz w:val="28"/>
          <w:szCs w:val="28"/>
          <w:lang w:val="en-US"/>
        </w:rPr>
        <w:t xml:space="preserve"> interplay of factors, indicating that human connections, research, technology, and innovation inside universities positively correlate with employability. The lack of practical experience and limited access to career prospects in specialized domains negatively impact postgraduate employment.</w:t>
      </w:r>
    </w:p>
    <w:p w14:paraId="0B70B7E3" w14:textId="49C71EBB"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247B7">
        <w:rPr>
          <w:rFonts w:ascii="Times New Roman" w:hAnsi="Times New Roman" w:cs="Times New Roman"/>
          <w:sz w:val="28"/>
          <w:szCs w:val="28"/>
          <w:lang w:val="en-US"/>
        </w:rPr>
        <w:t>In Kazakhstan, the PISA exam results reveal that the ten most commonly selected professions include doctors, teachers, dentists, product and clothing designers, architects, sports coaches, psychologists, cosmetologists, advertising and marketing specialists, and graphic and multimedia designers.</w:t>
      </w:r>
      <w:r>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The allocation of the state educational hierarchy prioritizes the engineering, industrial, and construction sectors as well as the pedagogical and natural sciences. The top 10 most sought-after categories simultaneously encompass low-skilled positions, including security guards, store clerks, and drivers. It is deemed worth mentioning that despite the limited employment prospects in disciplines such as economics, law, and finance, some individuals continue to opt for degrees in these professions [</w:t>
      </w:r>
      <w:r w:rsidR="004422C5">
        <w:rPr>
          <w:rFonts w:ascii="Times New Roman" w:hAnsi="Times New Roman" w:cs="Times New Roman"/>
          <w:sz w:val="28"/>
          <w:szCs w:val="28"/>
          <w:lang w:val="en-US"/>
        </w:rPr>
        <w:t>23</w:t>
      </w:r>
      <w:r w:rsidR="00F44B8C">
        <w:rPr>
          <w:rFonts w:ascii="Times New Roman" w:hAnsi="Times New Roman" w:cs="Times New Roman"/>
          <w:sz w:val="28"/>
          <w:szCs w:val="28"/>
          <w:lang w:val="en-US"/>
        </w:rPr>
        <w:t>8</w:t>
      </w:r>
      <w:r w:rsidRPr="00244343">
        <w:rPr>
          <w:rFonts w:ascii="Times New Roman" w:hAnsi="Times New Roman" w:cs="Times New Roman"/>
          <w:sz w:val="28"/>
          <w:szCs w:val="28"/>
          <w:lang w:val="en-US"/>
        </w:rPr>
        <w:t>].</w:t>
      </w:r>
    </w:p>
    <w:p w14:paraId="7E4B46CB" w14:textId="113CD81A"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lastRenderedPageBreak/>
        <w:t>A regional disparity in the youth workforce intensifies the continued inequality between supply and demand in the labor market across several professions. This problem arises from insufficient information regarding current, applicable domains across diverse economic sectors, notably at the regional level [</w:t>
      </w:r>
      <w:r w:rsidR="004422C5">
        <w:rPr>
          <w:rFonts w:ascii="Times New Roman" w:eastAsia="Times New Roman" w:hAnsi="Times New Roman" w:cs="Times New Roman"/>
          <w:sz w:val="28"/>
          <w:szCs w:val="28"/>
          <w:lang w:val="en-US"/>
        </w:rPr>
        <w:t>2</w:t>
      </w:r>
      <w:r w:rsidR="00F44B8C">
        <w:rPr>
          <w:rFonts w:ascii="Times New Roman" w:eastAsia="Times New Roman" w:hAnsi="Times New Roman" w:cs="Times New Roman"/>
          <w:sz w:val="28"/>
          <w:szCs w:val="28"/>
          <w:lang w:val="en-US"/>
        </w:rPr>
        <w:t>39</w:t>
      </w:r>
      <w:r w:rsidRPr="00244343">
        <w:rPr>
          <w:rFonts w:ascii="Times New Roman" w:eastAsia="Times New Roman" w:hAnsi="Times New Roman" w:cs="Times New Roman"/>
          <w:sz w:val="28"/>
          <w:szCs w:val="28"/>
          <w:lang w:val="en-US"/>
        </w:rPr>
        <w:t>]. It is better to develop an advanced online platform and various analytics-driven career services that utilize machine learning, AI, and BD technologies to align graduates' skills with job opportunities and analyze employment trends and performance in the labor market. Additional ideas include</w:t>
      </w:r>
    </w:p>
    <w:p w14:paraId="28E7D6F4" w14:textId="77777777" w:rsidR="00600C79" w:rsidRPr="00244343" w:rsidRDefault="00600C79" w:rsidP="001B500C">
      <w:pPr>
        <w:numPr>
          <w:ilvl w:val="0"/>
          <w:numId w:val="10"/>
        </w:numPr>
        <w:spacing w:after="0" w:line="240" w:lineRule="auto"/>
        <w:ind w:firstLine="720"/>
        <w:contextualSpacing/>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facilitating researchers' access to administrative data,</w:t>
      </w:r>
    </w:p>
    <w:p w14:paraId="612E1632" w14:textId="77777777" w:rsidR="00600C79" w:rsidRPr="00244343" w:rsidRDefault="00600C79" w:rsidP="001B500C">
      <w:pPr>
        <w:numPr>
          <w:ilvl w:val="0"/>
          <w:numId w:val="10"/>
        </w:numPr>
        <w:spacing w:after="0" w:line="240" w:lineRule="auto"/>
        <w:ind w:firstLine="720"/>
        <w:contextualSpacing/>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introducing new surveys that gather information on referrals and social networks, and</w:t>
      </w:r>
    </w:p>
    <w:p w14:paraId="401667E9" w14:textId="77777777" w:rsidR="00600C79" w:rsidRPr="00244343" w:rsidRDefault="00600C79" w:rsidP="001B500C">
      <w:pPr>
        <w:numPr>
          <w:ilvl w:val="0"/>
          <w:numId w:val="10"/>
        </w:numPr>
        <w:spacing w:after="0" w:line="240" w:lineRule="auto"/>
        <w:ind w:firstLine="720"/>
        <w:contextualSpacing/>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advancing technology to address issues associated with labor market information.</w:t>
      </w:r>
    </w:p>
    <w:p w14:paraId="369D3721" w14:textId="03B73764" w:rsidR="00600C79" w:rsidRPr="00244343" w:rsidRDefault="00600C79" w:rsidP="00600C79">
      <w:pPr>
        <w:spacing w:after="0" w:line="240" w:lineRule="auto"/>
        <w:ind w:firstLine="720"/>
        <w:contextualSpacing/>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 research highlights that referral networks can assist individuals in securing higher-paying positions and aligning highly trained professionals with more productive employment opportunities [</w:t>
      </w:r>
      <w:r w:rsidR="004422C5">
        <w:rPr>
          <w:rFonts w:ascii="Times New Roman" w:eastAsia="Times New Roman" w:hAnsi="Times New Roman" w:cs="Times New Roman"/>
          <w:sz w:val="28"/>
          <w:szCs w:val="28"/>
          <w:lang w:val="en-US"/>
        </w:rPr>
        <w:t>24</w:t>
      </w:r>
      <w:r w:rsidR="00F44B8C">
        <w:rPr>
          <w:rFonts w:ascii="Times New Roman" w:eastAsia="Times New Roman" w:hAnsi="Times New Roman" w:cs="Times New Roman"/>
          <w:sz w:val="28"/>
          <w:szCs w:val="28"/>
          <w:lang w:val="en-US"/>
        </w:rPr>
        <w:t>0</w:t>
      </w:r>
      <w:r w:rsidRPr="00244343">
        <w:rPr>
          <w:rFonts w:ascii="Times New Roman" w:eastAsia="Times New Roman" w:hAnsi="Times New Roman" w:cs="Times New Roman"/>
          <w:sz w:val="28"/>
          <w:szCs w:val="28"/>
          <w:lang w:val="en-US"/>
        </w:rPr>
        <w:t xml:space="preserve">]. </w:t>
      </w:r>
    </w:p>
    <w:p w14:paraId="4858AC87"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However, poor accessibility, a lack of pertinent material, and insufficient support from career centers and websites at Kazakhstani universities severely limited the research. While university career </w:t>
      </w:r>
      <w:proofErr w:type="spellStart"/>
      <w:r w:rsidRPr="00244343">
        <w:rPr>
          <w:rFonts w:ascii="Times New Roman" w:hAnsi="Times New Roman" w:cs="Times New Roman"/>
          <w:sz w:val="28"/>
          <w:szCs w:val="28"/>
          <w:lang w:val="en-US"/>
        </w:rPr>
        <w:t>centres</w:t>
      </w:r>
      <w:proofErr w:type="spellEnd"/>
      <w:r w:rsidRPr="00244343">
        <w:rPr>
          <w:rFonts w:ascii="Times New Roman" w:hAnsi="Times New Roman" w:cs="Times New Roman"/>
          <w:sz w:val="28"/>
          <w:szCs w:val="28"/>
          <w:lang w:val="en-US"/>
        </w:rPr>
        <w:t xml:space="preserve"> are responsible for placing graduates, enhanced management and engagement with companies are essential to augmenting graduates' employment opportunities.</w:t>
      </w:r>
    </w:p>
    <w:p w14:paraId="0CDF9216" w14:textId="51613D63"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program "First Workplace" initiative is being executed in Kazakhstan. Specifically, state employment </w:t>
      </w:r>
      <w:proofErr w:type="spellStart"/>
      <w:r w:rsidRPr="00244343">
        <w:rPr>
          <w:rFonts w:ascii="Times New Roman" w:hAnsi="Times New Roman" w:cs="Times New Roman"/>
          <w:sz w:val="28"/>
          <w:szCs w:val="28"/>
          <w:lang w:val="en-US"/>
        </w:rPr>
        <w:t>centres</w:t>
      </w:r>
      <w:proofErr w:type="spellEnd"/>
      <w:r w:rsidRPr="00244343">
        <w:rPr>
          <w:rFonts w:ascii="Times New Roman" w:hAnsi="Times New Roman" w:cs="Times New Roman"/>
          <w:sz w:val="28"/>
          <w:szCs w:val="28"/>
          <w:lang w:val="en-US"/>
        </w:rPr>
        <w:t xml:space="preserve"> facilitate the employment of university graduates entering the workforce for the first time, aligned with the </w:t>
      </w:r>
      <w:proofErr w:type="spellStart"/>
      <w:r w:rsidRPr="00244343">
        <w:rPr>
          <w:rFonts w:ascii="Times New Roman" w:hAnsi="Times New Roman" w:cs="Times New Roman"/>
          <w:sz w:val="28"/>
          <w:szCs w:val="28"/>
          <w:lang w:val="en-US"/>
        </w:rPr>
        <w:t>speciality</w:t>
      </w:r>
      <w:proofErr w:type="spellEnd"/>
      <w:r w:rsidRPr="00244343">
        <w:rPr>
          <w:rFonts w:ascii="Times New Roman" w:hAnsi="Times New Roman" w:cs="Times New Roman"/>
          <w:sz w:val="28"/>
          <w:szCs w:val="28"/>
          <w:lang w:val="en-US"/>
        </w:rPr>
        <w:t xml:space="preserve"> or educational profile specified in their diplomas. </w:t>
      </w:r>
      <w:r w:rsidRPr="006A06B2">
        <w:rPr>
          <w:rFonts w:ascii="Times New Roman" w:hAnsi="Times New Roman" w:cs="Times New Roman"/>
          <w:sz w:val="28"/>
          <w:szCs w:val="28"/>
          <w:lang w:val="en-US"/>
        </w:rPr>
        <w:t>By enabling job searchers, unemployed people, and young people over 29—including those in the NEET category without work experience—to secure permanent employment for at least 24 months, with subsidized pay during the first year. Learning professional skills increases employability and reduces unemployment risk. Furthermore, past relevant work experience lowers the possibility of skill incompatibilities</w:t>
      </w:r>
      <w:r>
        <w:rPr>
          <w:rFonts w:ascii="Times New Roman" w:hAnsi="Times New Roman" w:cs="Times New Roman"/>
          <w:sz w:val="28"/>
          <w:szCs w:val="28"/>
          <w:lang w:val="en-US"/>
        </w:rPr>
        <w:t xml:space="preserve"> [</w:t>
      </w:r>
      <w:r w:rsidR="004422C5">
        <w:rPr>
          <w:rFonts w:ascii="Times New Roman" w:hAnsi="Times New Roman" w:cs="Times New Roman"/>
          <w:sz w:val="28"/>
          <w:szCs w:val="28"/>
          <w:lang w:val="en-US"/>
        </w:rPr>
        <w:t>24</w:t>
      </w:r>
      <w:r w:rsidR="00F44B8C">
        <w:rPr>
          <w:rFonts w:ascii="Times New Roman" w:hAnsi="Times New Roman" w:cs="Times New Roman"/>
          <w:sz w:val="28"/>
          <w:szCs w:val="28"/>
          <w:lang w:val="en-US"/>
        </w:rPr>
        <w:t>1</w:t>
      </w:r>
      <w:r w:rsidR="004422C5">
        <w:rPr>
          <w:rFonts w:ascii="Times New Roman" w:hAnsi="Times New Roman" w:cs="Times New Roman"/>
          <w:sz w:val="28"/>
          <w:szCs w:val="28"/>
          <w:lang w:val="en-US"/>
        </w:rPr>
        <w:t>-24</w:t>
      </w:r>
      <w:r w:rsidR="00F44B8C">
        <w:rPr>
          <w:rFonts w:ascii="Times New Roman" w:hAnsi="Times New Roman" w:cs="Times New Roman"/>
          <w:sz w:val="28"/>
          <w:szCs w:val="28"/>
          <w:lang w:val="en-US"/>
        </w:rPr>
        <w:t>2</w:t>
      </w:r>
      <w:r>
        <w:rPr>
          <w:rFonts w:ascii="Times New Roman" w:hAnsi="Times New Roman" w:cs="Times New Roman"/>
          <w:sz w:val="28"/>
          <w:szCs w:val="28"/>
          <w:lang w:val="en-US"/>
        </w:rPr>
        <w:t>]</w:t>
      </w:r>
      <w:r w:rsidRPr="006A06B2">
        <w:rPr>
          <w:rFonts w:ascii="Times New Roman" w:hAnsi="Times New Roman" w:cs="Times New Roman"/>
          <w:sz w:val="28"/>
          <w:szCs w:val="28"/>
          <w:lang w:val="en-US"/>
        </w:rPr>
        <w:t xml:space="preserve"> in subsequent employment, especially in line with one's academic subject. Helping students get occupational experience during their studies—mainly through work-integrated learning—is essential</w:t>
      </w:r>
      <w:r>
        <w:rPr>
          <w:rFonts w:ascii="Times New Roman" w:hAnsi="Times New Roman" w:cs="Times New Roman"/>
          <w:sz w:val="28"/>
          <w:szCs w:val="28"/>
          <w:lang w:val="en-US"/>
        </w:rPr>
        <w:t xml:space="preserve"> [</w:t>
      </w:r>
      <w:r w:rsidR="004422C5">
        <w:rPr>
          <w:rFonts w:ascii="Times New Roman" w:hAnsi="Times New Roman" w:cs="Times New Roman"/>
          <w:sz w:val="28"/>
          <w:szCs w:val="28"/>
          <w:lang w:val="en-US"/>
        </w:rPr>
        <w:t>24</w:t>
      </w:r>
      <w:r w:rsidR="00F44B8C">
        <w:rPr>
          <w:rFonts w:ascii="Times New Roman" w:hAnsi="Times New Roman" w:cs="Times New Roman"/>
          <w:sz w:val="28"/>
          <w:szCs w:val="28"/>
          <w:lang w:val="en-US"/>
        </w:rPr>
        <w:t>3</w:t>
      </w:r>
      <w:r>
        <w:rPr>
          <w:rFonts w:ascii="Times New Roman" w:hAnsi="Times New Roman" w:cs="Times New Roman"/>
          <w:sz w:val="28"/>
          <w:szCs w:val="28"/>
          <w:lang w:val="en-US"/>
        </w:rPr>
        <w:t>]</w:t>
      </w:r>
      <w:r w:rsidRPr="006A06B2">
        <w:rPr>
          <w:rFonts w:ascii="Times New Roman" w:hAnsi="Times New Roman" w:cs="Times New Roman"/>
          <w:sz w:val="28"/>
          <w:szCs w:val="28"/>
          <w:lang w:val="en-US"/>
        </w:rPr>
        <w:t>. Long-term internships, co-op programs, apprenticeships, dual education programs, and mentorship opportunities are advised to be fostered by establishing alliances between universities, companies, research labs, and other organizations.</w:t>
      </w:r>
      <w:r>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Universities should enhance their social networks by facilitating interactions between students and potential employers. Furthermore, institutions want to incorporate networking skills into their curricula</w:t>
      </w:r>
      <w:r>
        <w:rPr>
          <w:rFonts w:ascii="Times New Roman" w:hAnsi="Times New Roman" w:cs="Times New Roman"/>
          <w:sz w:val="28"/>
          <w:szCs w:val="28"/>
          <w:lang w:val="en-US"/>
        </w:rPr>
        <w:t xml:space="preserve"> [</w:t>
      </w:r>
      <w:r w:rsidR="004422C5">
        <w:rPr>
          <w:rFonts w:ascii="Times New Roman" w:hAnsi="Times New Roman" w:cs="Times New Roman"/>
          <w:sz w:val="28"/>
          <w:szCs w:val="28"/>
          <w:lang w:val="en-US"/>
        </w:rPr>
        <w:t>24</w:t>
      </w:r>
      <w:r w:rsidR="00F44B8C">
        <w:rPr>
          <w:rFonts w:ascii="Times New Roman" w:hAnsi="Times New Roman" w:cs="Times New Roman"/>
          <w:sz w:val="28"/>
          <w:szCs w:val="28"/>
          <w:lang w:val="en-US"/>
        </w:rPr>
        <w:t>4</w:t>
      </w:r>
      <w:r>
        <w:rPr>
          <w:rFonts w:ascii="Times New Roman" w:hAnsi="Times New Roman" w:cs="Times New Roman"/>
          <w:sz w:val="28"/>
          <w:szCs w:val="28"/>
          <w:lang w:val="en-US"/>
        </w:rPr>
        <w:t>]</w:t>
      </w:r>
      <w:r w:rsidRPr="00244343">
        <w:rPr>
          <w:rFonts w:ascii="Times New Roman" w:hAnsi="Times New Roman" w:cs="Times New Roman"/>
          <w:sz w:val="28"/>
          <w:szCs w:val="28"/>
          <w:lang w:val="en-US"/>
        </w:rPr>
        <w:t xml:space="preserve"> to enhance the networking competencies of impending graduates. It will assist students in establishing formal connections and developing professional networks.</w:t>
      </w:r>
      <w:r>
        <w:rPr>
          <w:rFonts w:ascii="Times New Roman" w:hAnsi="Times New Roman" w:cs="Times New Roman"/>
          <w:sz w:val="28"/>
          <w:szCs w:val="28"/>
          <w:lang w:val="en-US"/>
        </w:rPr>
        <w:t xml:space="preserve"> </w:t>
      </w:r>
    </w:p>
    <w:p w14:paraId="77F3FDB3" w14:textId="62DB4A6C"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Informal social links, particularly familial ties, represent a significant social element. These social connections enable students to be employed at respected institutions. This issue is prevalent in Kazakhstan, both historically and culturally. A significant issue in Kazakhstan is university graduates' need for more relevant </w:t>
      </w:r>
      <w:r w:rsidRPr="00244343">
        <w:rPr>
          <w:rFonts w:ascii="Times New Roman" w:hAnsi="Times New Roman" w:cs="Times New Roman"/>
          <w:sz w:val="28"/>
          <w:szCs w:val="28"/>
          <w:lang w:val="en-US"/>
        </w:rPr>
        <w:lastRenderedPageBreak/>
        <w:t>work experience, which hinders their employment prospects. The results conform with earlier research indicating that Kazakhstan has a historical and cultural tendency to utilize social ties for bonding, bridging, and linking [</w:t>
      </w:r>
      <w:r w:rsidR="004422C5">
        <w:rPr>
          <w:rFonts w:ascii="Times New Roman" w:hAnsi="Times New Roman" w:cs="Times New Roman"/>
          <w:sz w:val="28"/>
          <w:szCs w:val="28"/>
          <w:lang w:val="en-US"/>
        </w:rPr>
        <w:t>24</w:t>
      </w:r>
      <w:r w:rsidR="00F44B8C">
        <w:rPr>
          <w:rFonts w:ascii="Times New Roman" w:hAnsi="Times New Roman" w:cs="Times New Roman"/>
          <w:sz w:val="28"/>
          <w:szCs w:val="28"/>
          <w:lang w:val="en-US"/>
        </w:rPr>
        <w:t>5</w:t>
      </w:r>
      <w:r w:rsidR="004422C5">
        <w:rPr>
          <w:rFonts w:ascii="Times New Roman" w:hAnsi="Times New Roman" w:cs="Times New Roman"/>
          <w:sz w:val="28"/>
          <w:szCs w:val="28"/>
          <w:lang w:val="en-US"/>
        </w:rPr>
        <w:t>-24</w:t>
      </w:r>
      <w:r w:rsidR="00F44B8C">
        <w:rPr>
          <w:rFonts w:ascii="Times New Roman" w:hAnsi="Times New Roman" w:cs="Times New Roman"/>
          <w:sz w:val="28"/>
          <w:szCs w:val="28"/>
          <w:lang w:val="en-US"/>
        </w:rPr>
        <w:t>6</w:t>
      </w:r>
      <w:r w:rsidRPr="00244343">
        <w:rPr>
          <w:rFonts w:ascii="Times New Roman" w:hAnsi="Times New Roman" w:cs="Times New Roman"/>
          <w:sz w:val="28"/>
          <w:szCs w:val="28"/>
          <w:lang w:val="en-US"/>
        </w:rPr>
        <w:t>]. 247,000 Kazakhs utilized online or print job postings as their primary job search method, whereas 245,000 Kazakhs relied on friends and acquaintances.</w:t>
      </w:r>
    </w:p>
    <w:p w14:paraId="6658C691" w14:textId="39444361"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126,000 Kazakhs pursued job opportunities by posting and updating their resumes on professional and social networks, while only 92,000 Kazakhs engaged with employment centers [</w:t>
      </w:r>
      <w:r w:rsidR="004422C5">
        <w:rPr>
          <w:rFonts w:ascii="Times New Roman" w:hAnsi="Times New Roman" w:cs="Times New Roman"/>
          <w:sz w:val="28"/>
          <w:szCs w:val="28"/>
          <w:lang w:val="en-US"/>
        </w:rPr>
        <w:t>24</w:t>
      </w:r>
      <w:r w:rsidR="00F44B8C">
        <w:rPr>
          <w:rFonts w:ascii="Times New Roman" w:hAnsi="Times New Roman" w:cs="Times New Roman"/>
          <w:sz w:val="28"/>
          <w:szCs w:val="28"/>
          <w:lang w:val="en-US"/>
        </w:rPr>
        <w:t>7</w:t>
      </w:r>
      <w:r w:rsidRPr="00244343">
        <w:rPr>
          <w:rFonts w:ascii="Times New Roman" w:hAnsi="Times New Roman" w:cs="Times New Roman"/>
          <w:sz w:val="28"/>
          <w:szCs w:val="28"/>
          <w:lang w:val="en-US"/>
        </w:rPr>
        <w:t>]. The initial recommendation in the "How to Look for a Job on Your Own" section of the Electronic Government Portal of Kazakhstan is to utilize personal networks, including friends and acquaintances. It is recommended that this strategy be considered regardless of prior work experience. For instance, whether they are a university graduate or currently a student. The fulfilment of basic job standards, coupled with several recommendations from acquaintances, significantly enhances the probability of securing employment [</w:t>
      </w:r>
      <w:r w:rsidR="004422C5">
        <w:rPr>
          <w:rFonts w:ascii="Times New Roman" w:hAnsi="Times New Roman" w:cs="Times New Roman"/>
          <w:sz w:val="28"/>
          <w:szCs w:val="28"/>
          <w:lang w:val="en-US"/>
        </w:rPr>
        <w:t>24</w:t>
      </w:r>
      <w:r w:rsidR="00F44B8C">
        <w:rPr>
          <w:rFonts w:ascii="Times New Roman" w:hAnsi="Times New Roman" w:cs="Times New Roman"/>
          <w:sz w:val="28"/>
          <w:szCs w:val="28"/>
          <w:lang w:val="en-US"/>
        </w:rPr>
        <w:t>8</w:t>
      </w:r>
      <w:r w:rsidRPr="00244343">
        <w:rPr>
          <w:rFonts w:ascii="Times New Roman" w:hAnsi="Times New Roman" w:cs="Times New Roman"/>
          <w:sz w:val="28"/>
          <w:szCs w:val="28"/>
          <w:lang w:val="en-US"/>
        </w:rPr>
        <w:t xml:space="preserve">]. </w:t>
      </w:r>
    </w:p>
    <w:p w14:paraId="76C6A355" w14:textId="1C3973BB"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Assistance from relatives and friends, direct employer contact, and services from educational organizations constitute the most effective job search strategies for university graduates [</w:t>
      </w:r>
      <w:r w:rsidR="004422C5">
        <w:rPr>
          <w:rFonts w:ascii="Times New Roman" w:hAnsi="Times New Roman" w:cs="Times New Roman"/>
          <w:sz w:val="28"/>
          <w:szCs w:val="28"/>
          <w:lang w:val="en-US"/>
        </w:rPr>
        <w:t>2</w:t>
      </w:r>
      <w:r w:rsidR="00F44B8C">
        <w:rPr>
          <w:rFonts w:ascii="Times New Roman" w:hAnsi="Times New Roman" w:cs="Times New Roman"/>
          <w:sz w:val="28"/>
          <w:szCs w:val="28"/>
          <w:lang w:val="en-US"/>
        </w:rPr>
        <w:t>49</w:t>
      </w:r>
      <w:r w:rsidRPr="00244343">
        <w:rPr>
          <w:rFonts w:ascii="Times New Roman" w:hAnsi="Times New Roman" w:cs="Times New Roman"/>
          <w:sz w:val="28"/>
          <w:szCs w:val="28"/>
          <w:lang w:val="en-US"/>
        </w:rPr>
        <w:t>]. University career centers can implement career development and lifelong learning programs with the participation of university alumni. Alumni with businesses can actively participate in students' practical training and subsequent employment opportunities. They monitor incubation and acceleration initiatives within business incubators, accelerators, technology parks, and entrepreneurial and innovation hubs affiliated with universities. Implementing these measures and establishing a conducive business infrastructure will facilitate job creation via entrepreneurship and equip graduates to initiate their enterprises. Entrepreneurship among university graduates is a strategy for employment, representing a strategic decision. Research investigating the impact of entrepreneurial education initiatives has shown no lasting effects on self-employment or job outcomes within four years post-graduation [</w:t>
      </w:r>
      <w:r w:rsidR="004422C5">
        <w:rPr>
          <w:rFonts w:ascii="Times New Roman" w:hAnsi="Times New Roman" w:cs="Times New Roman"/>
          <w:sz w:val="28"/>
          <w:szCs w:val="28"/>
          <w:lang w:val="en-US"/>
        </w:rPr>
        <w:t>25</w:t>
      </w:r>
      <w:r w:rsidR="00F44B8C">
        <w:rPr>
          <w:rFonts w:ascii="Times New Roman" w:hAnsi="Times New Roman" w:cs="Times New Roman"/>
          <w:sz w:val="28"/>
          <w:szCs w:val="28"/>
          <w:lang w:val="en-US"/>
        </w:rPr>
        <w:t>0</w:t>
      </w:r>
      <w:r w:rsidRPr="00244343">
        <w:rPr>
          <w:rFonts w:ascii="Times New Roman" w:hAnsi="Times New Roman" w:cs="Times New Roman"/>
          <w:sz w:val="28"/>
          <w:szCs w:val="28"/>
          <w:lang w:val="en-US"/>
        </w:rPr>
        <w:t>].</w:t>
      </w:r>
    </w:p>
    <w:p w14:paraId="3D74DAFB" w14:textId="6262E8A4"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53090E">
        <w:rPr>
          <w:rFonts w:ascii="Times New Roman" w:hAnsi="Times New Roman" w:cs="Times New Roman"/>
          <w:sz w:val="28"/>
          <w:szCs w:val="28"/>
          <w:lang w:val="en-US"/>
        </w:rPr>
        <w:t xml:space="preserve">The development of an advanced online platform and a range of analytics-driven career services utilizing machine learning algorithms, AI, and BD technologies is crucial for aligning graduates' skills with job opportunities and analyzing employment trends as well as graduates' performance in the </w:t>
      </w:r>
      <w:proofErr w:type="spellStart"/>
      <w:r w:rsidRPr="0053090E">
        <w:rPr>
          <w:rFonts w:ascii="Times New Roman" w:hAnsi="Times New Roman" w:cs="Times New Roman"/>
          <w:sz w:val="28"/>
          <w:szCs w:val="28"/>
          <w:lang w:val="en-US"/>
        </w:rPr>
        <w:t>labour</w:t>
      </w:r>
      <w:proofErr w:type="spellEnd"/>
      <w:r w:rsidRPr="0053090E">
        <w:rPr>
          <w:rFonts w:ascii="Times New Roman" w:hAnsi="Times New Roman" w:cs="Times New Roman"/>
          <w:sz w:val="28"/>
          <w:szCs w:val="28"/>
          <w:lang w:val="en-US"/>
        </w:rPr>
        <w:t xml:space="preserve"> market [</w:t>
      </w:r>
      <w:r w:rsidR="004422C5">
        <w:rPr>
          <w:rFonts w:ascii="Times New Roman" w:hAnsi="Times New Roman" w:cs="Times New Roman"/>
          <w:sz w:val="28"/>
          <w:szCs w:val="28"/>
          <w:lang w:val="en-US"/>
        </w:rPr>
        <w:t>218</w:t>
      </w:r>
      <w:r w:rsidRPr="0053090E">
        <w:rPr>
          <w:rFonts w:ascii="Times New Roman" w:hAnsi="Times New Roman" w:cs="Times New Roman"/>
          <w:sz w:val="28"/>
          <w:szCs w:val="28"/>
          <w:lang w:val="en-US"/>
        </w:rPr>
        <w:t xml:space="preserve">]. To solve issues in labor market data, it is also imperative to improve researchers' access to administrative data, create new surveys including information on referrals and social networks, and progress technology. Through long-term internships, apprenticeships, dual education programs, and mentoring activities, another important endeavor is helping university-level students to have job experience. Important steps also are including networking skills into university courses and creating job development and lifetime learning initiatives involving alumni.  Finally, building business infrastructure and fostering a conducive environment requires establishing various incubation and acceleration programs within business incubators, accelerators, technology parks, and entrepreneurial and innovation hubs associated with universities. Aimed at promoting UIC development and increasing graduate employment prospects in Kazakhstani institutions, some of </w:t>
      </w:r>
      <w:r w:rsidRPr="0053090E">
        <w:rPr>
          <w:rFonts w:ascii="Times New Roman" w:hAnsi="Times New Roman" w:cs="Times New Roman"/>
          <w:sz w:val="28"/>
          <w:szCs w:val="28"/>
          <w:lang w:val="en-US"/>
        </w:rPr>
        <w:lastRenderedPageBreak/>
        <w:t>these suggestions will be further investigated and developed upon in the next chapter.</w:t>
      </w:r>
      <w:r>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Not all graduates secure employment soon following graduation. Employers typically prioritize candidates with prior work experience. Kazakhstan takes different measures to grapple with the graduate unemployment and insecurity. The state assists recent graduates through the initiatives above mentioned:</w:t>
      </w:r>
      <w:r>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"With a Diploma to the Village," "Youth Practice," and "Youth Personnel Reserve."</w:t>
      </w:r>
    </w:p>
    <w:p w14:paraId="4701A6A0"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Kazakhstan implemented a state program titled "With a Diploma to the Village" on July 1, 2009, at the directive of the first President of the Republic of Kazakhstan. The program aimed at enhancing the human resources capacity of rural regions by attracting qualified specialists and retaining competent personnel in these areas.</w:t>
      </w:r>
    </w:p>
    <w:p w14:paraId="256220FE"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This program aims to provide several social support measures: first, a lifting subsidy, and second, a budget loan for specialists in the social sphere and other spheres. </w:t>
      </w:r>
    </w:p>
    <w:p w14:paraId="40987415"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'With a Diploma to the Village' program is open to specialists in healthcare, education, social security, culture, sports, and the agro-industrial complex. It also extends to civil servants of the apparatus of </w:t>
      </w:r>
      <w:proofErr w:type="spellStart"/>
      <w:r w:rsidRPr="00244343">
        <w:rPr>
          <w:rFonts w:ascii="Times New Roman" w:hAnsi="Times New Roman" w:cs="Times New Roman"/>
          <w:sz w:val="28"/>
          <w:szCs w:val="28"/>
          <w:lang w:val="en-US"/>
        </w:rPr>
        <w:t>akims</w:t>
      </w:r>
      <w:proofErr w:type="spellEnd"/>
      <w:r w:rsidRPr="00244343">
        <w:rPr>
          <w:rFonts w:ascii="Times New Roman" w:hAnsi="Times New Roman" w:cs="Times New Roman"/>
          <w:sz w:val="28"/>
          <w:szCs w:val="28"/>
          <w:lang w:val="en-US"/>
        </w:rPr>
        <w:t xml:space="preserve"> of rural districts (excluding </w:t>
      </w:r>
      <w:proofErr w:type="spellStart"/>
      <w:r w:rsidRPr="00244343">
        <w:rPr>
          <w:rFonts w:ascii="Times New Roman" w:hAnsi="Times New Roman" w:cs="Times New Roman"/>
          <w:sz w:val="28"/>
          <w:szCs w:val="28"/>
          <w:lang w:val="en-US"/>
        </w:rPr>
        <w:t>akims</w:t>
      </w:r>
      <w:proofErr w:type="spellEnd"/>
      <w:r w:rsidRPr="00244343">
        <w:rPr>
          <w:rFonts w:ascii="Times New Roman" w:hAnsi="Times New Roman" w:cs="Times New Roman"/>
          <w:sz w:val="28"/>
          <w:szCs w:val="28"/>
          <w:lang w:val="en-US"/>
        </w:rPr>
        <w:t xml:space="preserve"> and deputy </w:t>
      </w:r>
      <w:proofErr w:type="spellStart"/>
      <w:r w:rsidRPr="00244343">
        <w:rPr>
          <w:rFonts w:ascii="Times New Roman" w:hAnsi="Times New Roman" w:cs="Times New Roman"/>
          <w:sz w:val="28"/>
          <w:szCs w:val="28"/>
          <w:lang w:val="en-US"/>
        </w:rPr>
        <w:t>akims</w:t>
      </w:r>
      <w:proofErr w:type="spellEnd"/>
      <w:r w:rsidRPr="00244343">
        <w:rPr>
          <w:rFonts w:ascii="Times New Roman" w:hAnsi="Times New Roman" w:cs="Times New Roman"/>
          <w:sz w:val="28"/>
          <w:szCs w:val="28"/>
          <w:lang w:val="en-US"/>
        </w:rPr>
        <w:t>) who are willing to work and live in rural areas.</w:t>
      </w:r>
    </w:p>
    <w:p w14:paraId="33AA323B"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main requirement for the recipient is the commitment to work for at least three years in the relevant specialty in an organization located in this rural settlement.</w:t>
      </w:r>
    </w:p>
    <w:p w14:paraId="2355CACA"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Under the 'With a Diploma to the Village' program, participants are entitled to a lifting allowance of 100 MCI (291,700 tenge). They can also apply for social support measures for the purchase or construction of housing at their place of work, up to a maximum of 1,500 MCI or 4,375,500 tenge. This support is provided for a period of up to fifteen years at a remuneration rate of 0.01% per annum.</w:t>
      </w:r>
    </w:p>
    <w:p w14:paraId="2D517A8E" w14:textId="67E6A535"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 project has been best implemented so far in the Turkestan region - the highest results for the "With a diploma to the village" project were recorded there; the ratio of the number of specialists who received lifting allowances to the number of specialists who received a budget loan is 3 to 1 [</w:t>
      </w:r>
      <w:r w:rsidR="004422C5">
        <w:rPr>
          <w:rFonts w:ascii="Times New Roman" w:eastAsia="Times New Roman" w:hAnsi="Times New Roman" w:cs="Times New Roman"/>
          <w:sz w:val="28"/>
          <w:szCs w:val="28"/>
          <w:lang w:val="en-US"/>
        </w:rPr>
        <w:t>25</w:t>
      </w:r>
      <w:r w:rsidR="00F44B8C">
        <w:rPr>
          <w:rFonts w:ascii="Times New Roman" w:eastAsia="Times New Roman" w:hAnsi="Times New Roman" w:cs="Times New Roman"/>
          <w:sz w:val="28"/>
          <w:szCs w:val="28"/>
          <w:lang w:val="en-US"/>
        </w:rPr>
        <w:t>1</w:t>
      </w:r>
      <w:r w:rsidRPr="00244343">
        <w:rPr>
          <w:rFonts w:ascii="Times New Roman" w:eastAsia="Times New Roman" w:hAnsi="Times New Roman" w:cs="Times New Roman"/>
          <w:sz w:val="28"/>
          <w:szCs w:val="28"/>
          <w:lang w:val="en-US"/>
        </w:rPr>
        <w:t>].</w:t>
      </w:r>
    </w:p>
    <w:p w14:paraId="29D764E4"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The next state program is </w:t>
      </w:r>
      <w:r w:rsidRPr="00244343">
        <w:rPr>
          <w:rFonts w:ascii="Times New Roman" w:eastAsia="Times New Roman" w:hAnsi="Times New Roman" w:cs="Times New Roman"/>
          <w:i/>
          <w:iCs/>
          <w:sz w:val="28"/>
          <w:szCs w:val="28"/>
          <w:lang w:val="en-US"/>
        </w:rPr>
        <w:t xml:space="preserve">"Youth Internship" </w:t>
      </w:r>
      <w:r w:rsidRPr="00244343">
        <w:rPr>
          <w:rFonts w:ascii="Times New Roman" w:eastAsia="Times New Roman" w:hAnsi="Times New Roman" w:cs="Times New Roman"/>
          <w:sz w:val="28"/>
          <w:szCs w:val="28"/>
          <w:lang w:val="en-US"/>
        </w:rPr>
        <w:t xml:space="preserve">for university graduates. It is structured to help graduates of educational institutions acquire initial professional experience in their respective fields. Since professional experience is essential to secure a job, this program is an excellent opportunity for recent graduates to further their career prospects. </w:t>
      </w:r>
    </w:p>
    <w:p w14:paraId="4746475C"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 youth practice is specifically designed for unemployed graduates of educational institutions offering technical, vocational, post-secondary, higher, and postgraduate programs in their respective fields who have completed their studies within the last three years and are under the age of twenty-nine.</w:t>
      </w:r>
    </w:p>
    <w:p w14:paraId="6E2C67AA"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Youth practice is conducted in enterprises and organizations with various ownership structures.</w:t>
      </w:r>
    </w:p>
    <w:p w14:paraId="3891DD65"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Youth practice occurs independently of permanent employment and outside available permanent job vacancies. Such positions cannot be established in arduous labor or in environments with hazardous and/or perilous conditions. The duration of </w:t>
      </w:r>
      <w:r w:rsidRPr="00244343">
        <w:rPr>
          <w:rFonts w:ascii="Times New Roman" w:eastAsia="Times New Roman" w:hAnsi="Times New Roman" w:cs="Times New Roman"/>
          <w:sz w:val="28"/>
          <w:szCs w:val="28"/>
          <w:lang w:val="en-US"/>
        </w:rPr>
        <w:lastRenderedPageBreak/>
        <w:t>youth practice shall be, at most, 12 months. The monthly salary for youth practice is 30 calculated indicators from the republican or local budgets.</w:t>
      </w:r>
    </w:p>
    <w:p w14:paraId="4EE73040"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To engage in the program, a graduate must:</w:t>
      </w:r>
    </w:p>
    <w:p w14:paraId="1632E8CF"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Contact the Employment Center at the </w:t>
      </w:r>
      <w:proofErr w:type="spellStart"/>
      <w:r w:rsidRPr="00244343">
        <w:rPr>
          <w:rFonts w:ascii="Times New Roman" w:eastAsia="Times New Roman" w:hAnsi="Times New Roman" w:cs="Times New Roman"/>
          <w:sz w:val="28"/>
          <w:szCs w:val="28"/>
          <w:lang w:val="en-US"/>
        </w:rPr>
        <w:t>Akimat</w:t>
      </w:r>
      <w:proofErr w:type="spellEnd"/>
      <w:r w:rsidRPr="00244343">
        <w:rPr>
          <w:rFonts w:ascii="Times New Roman" w:eastAsia="Times New Roman" w:hAnsi="Times New Roman" w:cs="Times New Roman"/>
          <w:sz w:val="28"/>
          <w:szCs w:val="28"/>
          <w:lang w:val="en-US"/>
        </w:rPr>
        <w:t xml:space="preserve"> of the graduate/employee city or district.</w:t>
      </w:r>
    </w:p>
    <w:p w14:paraId="3A1A13B5"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Register as an unemployed individual (not exceeding 29 years of age).</w:t>
      </w:r>
    </w:p>
    <w:p w14:paraId="1572DDAC"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Furthermore, the execution of the Program for the Development of Productive Employment and Mass Entrepreneurship for 2017-2021 is establishing a database of vocational education institutions and developing an Electronic Labor Exchange portal.</w:t>
      </w:r>
    </w:p>
    <w:p w14:paraId="72AEDDEE"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i/>
          <w:iCs/>
          <w:sz w:val="28"/>
          <w:szCs w:val="28"/>
          <w:lang w:val="en-US"/>
        </w:rPr>
        <w:t>Initiative "Youth Personnel Reserve"</w:t>
      </w:r>
      <w:r w:rsidRPr="00244343">
        <w:rPr>
          <w:rFonts w:ascii="Times New Roman" w:eastAsia="Times New Roman" w:hAnsi="Times New Roman" w:cs="Times New Roman"/>
          <w:sz w:val="28"/>
          <w:szCs w:val="28"/>
          <w:lang w:val="en-US"/>
        </w:rPr>
        <w:t xml:space="preserve"> </w:t>
      </w:r>
    </w:p>
    <w:p w14:paraId="3984FA7C"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The "Youth Personnel Reserve" project supported by the Ministry of Education and Science of the Republic of Kazakhstan and PDP Nur </w:t>
      </w:r>
      <w:proofErr w:type="spellStart"/>
      <w:r w:rsidRPr="00244343">
        <w:rPr>
          <w:rFonts w:ascii="Times New Roman" w:eastAsia="Times New Roman" w:hAnsi="Times New Roman" w:cs="Times New Roman"/>
          <w:sz w:val="28"/>
          <w:szCs w:val="28"/>
          <w:lang w:val="en-US"/>
        </w:rPr>
        <w:t>Otan</w:t>
      </w:r>
      <w:proofErr w:type="spellEnd"/>
      <w:r w:rsidRPr="00244343">
        <w:rPr>
          <w:rFonts w:ascii="Times New Roman" w:eastAsia="Times New Roman" w:hAnsi="Times New Roman" w:cs="Times New Roman"/>
          <w:sz w:val="28"/>
          <w:szCs w:val="28"/>
          <w:lang w:val="en-US"/>
        </w:rPr>
        <w:t xml:space="preserve"> aimed to identify, select, train, and educate managerial personnel from among the country's talented and active youth.</w:t>
      </w:r>
    </w:p>
    <w:p w14:paraId="3D8A26D0"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 project's implementation encompasses the identification, selection, training, and education of the nation's managerial personnel from among young professionals, as well as their involvement in socially meaningful activities across three domains: Government service; Commercial sector; Socio-political engagement; The qualifying round occurs in multiple phases: Completing a questionnaire on the project's official website, assessing it based on formal criteria such as age, education, employment, professional competencies, evaluation of intellectual capacity, emotional intelligence, and essay composition, among others. Based on the outcomes of the preliminary selection, 300 participants will advance to the subsequent stage.</w:t>
      </w:r>
    </w:p>
    <w:p w14:paraId="77FFC324"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Assessment of logic, proficiency in the state language, and evaluation of the project participant's psychological profile (the assessment's timing and location will be established following the announcement of the results for the 300 candidates who have advanced past the second stage of selection).</w:t>
      </w:r>
    </w:p>
    <w:p w14:paraId="29EE2428"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The competency assessment interview will identify the optimal project participants (two contestants from each region). Members of the Directorate, regional coordinators, specialists from the Bolashak Association, and representatives of the PDP Nur </w:t>
      </w:r>
      <w:proofErr w:type="spellStart"/>
      <w:r w:rsidRPr="00244343">
        <w:rPr>
          <w:rFonts w:ascii="Times New Roman" w:eastAsia="Times New Roman" w:hAnsi="Times New Roman" w:cs="Times New Roman"/>
          <w:sz w:val="28"/>
          <w:szCs w:val="28"/>
          <w:lang w:val="en-US"/>
        </w:rPr>
        <w:t>Otan</w:t>
      </w:r>
      <w:proofErr w:type="spellEnd"/>
      <w:r w:rsidRPr="00244343">
        <w:rPr>
          <w:rFonts w:ascii="Times New Roman" w:eastAsia="Times New Roman" w:hAnsi="Times New Roman" w:cs="Times New Roman"/>
          <w:sz w:val="28"/>
          <w:szCs w:val="28"/>
          <w:lang w:val="en-US"/>
        </w:rPr>
        <w:t xml:space="preserve"> will conduct the interview in various regions of the republic.</w:t>
      </w:r>
    </w:p>
    <w:p w14:paraId="2FEDD18C" w14:textId="00242553"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 project results indicate that contestants with the highest ratings will be awarded a certificate and placed in the personnel reserve. This will serve as a recommendation for potential promotion to a higher position within civil service, business, and social activities [</w:t>
      </w:r>
      <w:r w:rsidR="004422C5">
        <w:rPr>
          <w:rFonts w:ascii="Times New Roman" w:eastAsia="Times New Roman" w:hAnsi="Times New Roman" w:cs="Times New Roman"/>
          <w:sz w:val="28"/>
          <w:szCs w:val="28"/>
          <w:lang w:val="en-US"/>
        </w:rPr>
        <w:t>25</w:t>
      </w:r>
      <w:r w:rsidR="00F44B8C">
        <w:rPr>
          <w:rFonts w:ascii="Times New Roman" w:eastAsia="Times New Roman" w:hAnsi="Times New Roman" w:cs="Times New Roman"/>
          <w:sz w:val="28"/>
          <w:szCs w:val="28"/>
          <w:lang w:val="en-US"/>
        </w:rPr>
        <w:t>2</w:t>
      </w:r>
      <w:r w:rsidRPr="00244343">
        <w:rPr>
          <w:rFonts w:ascii="Times New Roman" w:eastAsia="Times New Roman" w:hAnsi="Times New Roman" w:cs="Times New Roman"/>
          <w:sz w:val="28"/>
          <w:szCs w:val="28"/>
          <w:lang w:val="en-US"/>
        </w:rPr>
        <w:t>].</w:t>
      </w:r>
    </w:p>
    <w:p w14:paraId="518CB87B" w14:textId="141102D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According to </w:t>
      </w:r>
      <w:proofErr w:type="spellStart"/>
      <w:r w:rsidRPr="00244343">
        <w:rPr>
          <w:rFonts w:ascii="Times New Roman" w:eastAsia="Times New Roman" w:hAnsi="Times New Roman" w:cs="Times New Roman"/>
          <w:sz w:val="28"/>
          <w:szCs w:val="28"/>
          <w:lang w:val="en-US"/>
        </w:rPr>
        <w:t>Yenbek</w:t>
      </w:r>
      <w:proofErr w:type="spellEnd"/>
      <w:r w:rsidRPr="00244343">
        <w:rPr>
          <w:rFonts w:ascii="Times New Roman" w:eastAsia="Times New Roman" w:hAnsi="Times New Roman" w:cs="Times New Roman"/>
          <w:sz w:val="28"/>
          <w:szCs w:val="28"/>
          <w:lang w:val="en-US"/>
        </w:rPr>
        <w:t xml:space="preserve"> and state web page [</w:t>
      </w:r>
      <w:r w:rsidR="004422C5">
        <w:rPr>
          <w:rFonts w:ascii="Times New Roman" w:eastAsia="Times New Roman" w:hAnsi="Times New Roman" w:cs="Times New Roman"/>
          <w:sz w:val="28"/>
          <w:szCs w:val="28"/>
          <w:lang w:val="en-US"/>
        </w:rPr>
        <w:t>25</w:t>
      </w:r>
      <w:r w:rsidR="00F44B8C">
        <w:rPr>
          <w:rFonts w:ascii="Times New Roman" w:eastAsia="Times New Roman" w:hAnsi="Times New Roman" w:cs="Times New Roman"/>
          <w:sz w:val="28"/>
          <w:szCs w:val="28"/>
          <w:lang w:val="en-US"/>
        </w:rPr>
        <w:t>3</w:t>
      </w:r>
      <w:r w:rsidRPr="00244343">
        <w:rPr>
          <w:rFonts w:ascii="Times New Roman" w:eastAsia="Times New Roman" w:hAnsi="Times New Roman" w:cs="Times New Roman"/>
          <w:sz w:val="28"/>
          <w:szCs w:val="28"/>
          <w:lang w:val="en-US"/>
        </w:rPr>
        <w:t>]: Employment opportunities for educational institution graduates under the "First Workplace" initiative are established in accordance with their respective professions or related fields.</w:t>
      </w:r>
    </w:p>
    <w:p w14:paraId="1E8E319C"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Under the </w:t>
      </w:r>
      <w:r w:rsidRPr="00244343">
        <w:rPr>
          <w:rFonts w:ascii="Times New Roman" w:eastAsia="Times New Roman" w:hAnsi="Times New Roman" w:cs="Times New Roman"/>
          <w:i/>
          <w:iCs/>
          <w:sz w:val="28"/>
          <w:szCs w:val="28"/>
          <w:lang w:val="en-US"/>
        </w:rPr>
        <w:t>"First Workplace"</w:t>
      </w:r>
      <w:r w:rsidRPr="00244343">
        <w:rPr>
          <w:rFonts w:ascii="Times New Roman" w:eastAsia="Times New Roman" w:hAnsi="Times New Roman" w:cs="Times New Roman"/>
          <w:sz w:val="28"/>
          <w:szCs w:val="28"/>
          <w:lang w:val="en-US"/>
        </w:rPr>
        <w:t xml:space="preserve"> initiative, a business engages a participant for a duration not exceeding 18 months under an agreement with the </w:t>
      </w:r>
      <w:proofErr w:type="spellStart"/>
      <w:r w:rsidRPr="00244343">
        <w:rPr>
          <w:rFonts w:ascii="Times New Roman" w:eastAsia="Times New Roman" w:hAnsi="Times New Roman" w:cs="Times New Roman"/>
          <w:sz w:val="28"/>
          <w:szCs w:val="28"/>
          <w:lang w:val="en-US"/>
        </w:rPr>
        <w:t>labour</w:t>
      </w:r>
      <w:proofErr w:type="spellEnd"/>
      <w:r w:rsidRPr="00244343">
        <w:rPr>
          <w:rFonts w:ascii="Times New Roman" w:eastAsia="Times New Roman" w:hAnsi="Times New Roman" w:cs="Times New Roman"/>
          <w:sz w:val="28"/>
          <w:szCs w:val="28"/>
          <w:lang w:val="en-US"/>
        </w:rPr>
        <w:t xml:space="preserve"> mobility </w:t>
      </w:r>
      <w:proofErr w:type="spellStart"/>
      <w:r w:rsidRPr="00244343">
        <w:rPr>
          <w:rFonts w:ascii="Times New Roman" w:eastAsia="Times New Roman" w:hAnsi="Times New Roman" w:cs="Times New Roman"/>
          <w:sz w:val="28"/>
          <w:szCs w:val="28"/>
          <w:lang w:val="en-US"/>
        </w:rPr>
        <w:t>centre</w:t>
      </w:r>
      <w:proofErr w:type="spellEnd"/>
      <w:r w:rsidRPr="00244343">
        <w:rPr>
          <w:rFonts w:ascii="Times New Roman" w:eastAsia="Times New Roman" w:hAnsi="Times New Roman" w:cs="Times New Roman"/>
          <w:sz w:val="28"/>
          <w:szCs w:val="28"/>
          <w:lang w:val="en-US"/>
        </w:rPr>
        <w:t>.</w:t>
      </w:r>
    </w:p>
    <w:p w14:paraId="5011E8DD"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lastRenderedPageBreak/>
        <w:t>The monthly subsidy from the municipal budget is 30 calculation indices, which encompass taxes, necessary social contributions, compensation for unused labor leave, and banking services but exclude payments for environmental allowances.</w:t>
      </w:r>
    </w:p>
    <w:p w14:paraId="5A1F5328"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To enhance employment opportunities for job seekers and unemployed individuals, including educational institution graduates, </w:t>
      </w:r>
      <w:proofErr w:type="spellStart"/>
      <w:r w:rsidRPr="00244343">
        <w:rPr>
          <w:rFonts w:ascii="Times New Roman" w:eastAsia="Times New Roman" w:hAnsi="Times New Roman" w:cs="Times New Roman"/>
          <w:sz w:val="28"/>
          <w:szCs w:val="28"/>
          <w:lang w:val="en-US"/>
        </w:rPr>
        <w:t>labour</w:t>
      </w:r>
      <w:proofErr w:type="spellEnd"/>
      <w:r w:rsidRPr="00244343">
        <w:rPr>
          <w:rFonts w:ascii="Times New Roman" w:eastAsia="Times New Roman" w:hAnsi="Times New Roman" w:cs="Times New Roman"/>
          <w:sz w:val="28"/>
          <w:szCs w:val="28"/>
          <w:lang w:val="en-US"/>
        </w:rPr>
        <w:t xml:space="preserve"> mobility </w:t>
      </w:r>
      <w:proofErr w:type="spellStart"/>
      <w:r w:rsidRPr="00244343">
        <w:rPr>
          <w:rFonts w:ascii="Times New Roman" w:eastAsia="Times New Roman" w:hAnsi="Times New Roman" w:cs="Times New Roman"/>
          <w:sz w:val="28"/>
          <w:szCs w:val="28"/>
          <w:lang w:val="en-US"/>
        </w:rPr>
        <w:t>centres</w:t>
      </w:r>
      <w:proofErr w:type="spellEnd"/>
      <w:r w:rsidRPr="00244343">
        <w:rPr>
          <w:rFonts w:ascii="Times New Roman" w:eastAsia="Times New Roman" w:hAnsi="Times New Roman" w:cs="Times New Roman"/>
          <w:sz w:val="28"/>
          <w:szCs w:val="28"/>
          <w:lang w:val="en-US"/>
        </w:rPr>
        <w:t xml:space="preserve"> (career </w:t>
      </w:r>
      <w:proofErr w:type="spellStart"/>
      <w:r w:rsidRPr="00244343">
        <w:rPr>
          <w:rFonts w:ascii="Times New Roman" w:eastAsia="Times New Roman" w:hAnsi="Times New Roman" w:cs="Times New Roman"/>
          <w:sz w:val="28"/>
          <w:szCs w:val="28"/>
          <w:lang w:val="en-US"/>
        </w:rPr>
        <w:t>centres</w:t>
      </w:r>
      <w:proofErr w:type="spellEnd"/>
      <w:r w:rsidRPr="00244343">
        <w:rPr>
          <w:rFonts w:ascii="Times New Roman" w:eastAsia="Times New Roman" w:hAnsi="Times New Roman" w:cs="Times New Roman"/>
          <w:sz w:val="28"/>
          <w:szCs w:val="28"/>
          <w:lang w:val="en-US"/>
        </w:rPr>
        <w:t>) will facilitate employment for unemployed graduates in their respective fields or related professions at the request of employers, with the subsequent replacement of current employees who have reached retirement age.</w:t>
      </w:r>
    </w:p>
    <w:p w14:paraId="7EC5FC72"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 Within </w:t>
      </w:r>
      <w:r w:rsidRPr="00244343">
        <w:rPr>
          <w:rFonts w:ascii="Times New Roman" w:eastAsia="Times New Roman" w:hAnsi="Times New Roman" w:cs="Times New Roman"/>
          <w:i/>
          <w:iCs/>
          <w:sz w:val="28"/>
          <w:szCs w:val="28"/>
          <w:lang w:val="en-US"/>
        </w:rPr>
        <w:t>the "Generation Contract"</w:t>
      </w:r>
      <w:r w:rsidRPr="00244343">
        <w:rPr>
          <w:rFonts w:ascii="Times New Roman" w:eastAsia="Times New Roman" w:hAnsi="Times New Roman" w:cs="Times New Roman"/>
          <w:sz w:val="28"/>
          <w:szCs w:val="28"/>
          <w:lang w:val="en-US"/>
        </w:rPr>
        <w:t xml:space="preserve"> initiative, a business engages a participant for at least six months according to an accord with the </w:t>
      </w:r>
      <w:proofErr w:type="spellStart"/>
      <w:r w:rsidRPr="00244343">
        <w:rPr>
          <w:rFonts w:ascii="Times New Roman" w:eastAsia="Times New Roman" w:hAnsi="Times New Roman" w:cs="Times New Roman"/>
          <w:sz w:val="28"/>
          <w:szCs w:val="28"/>
          <w:lang w:val="en-US"/>
        </w:rPr>
        <w:t>labour</w:t>
      </w:r>
      <w:proofErr w:type="spellEnd"/>
      <w:r w:rsidRPr="00244343">
        <w:rPr>
          <w:rFonts w:ascii="Times New Roman" w:eastAsia="Times New Roman" w:hAnsi="Times New Roman" w:cs="Times New Roman"/>
          <w:sz w:val="28"/>
          <w:szCs w:val="28"/>
          <w:lang w:val="en-US"/>
        </w:rPr>
        <w:t xml:space="preserve"> mobility </w:t>
      </w:r>
      <w:proofErr w:type="spellStart"/>
      <w:r w:rsidRPr="00244343">
        <w:rPr>
          <w:rFonts w:ascii="Times New Roman" w:eastAsia="Times New Roman" w:hAnsi="Times New Roman" w:cs="Times New Roman"/>
          <w:sz w:val="28"/>
          <w:szCs w:val="28"/>
          <w:lang w:val="en-US"/>
        </w:rPr>
        <w:t>centre</w:t>
      </w:r>
      <w:proofErr w:type="spellEnd"/>
      <w:r w:rsidRPr="00244343">
        <w:rPr>
          <w:rFonts w:ascii="Times New Roman" w:eastAsia="Times New Roman" w:hAnsi="Times New Roman" w:cs="Times New Roman"/>
          <w:sz w:val="28"/>
          <w:szCs w:val="28"/>
          <w:lang w:val="en-US"/>
        </w:rPr>
        <w:t>.</w:t>
      </w:r>
    </w:p>
    <w:p w14:paraId="0C72963B"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The monthly subsidy from the municipal budget is 30 calculation indices, which encompass taxes, necessary social contributions, compensation for unused labor leave, and banking services but exclude payments for environmental allowances.</w:t>
      </w:r>
    </w:p>
    <w:p w14:paraId="22FA0FCE"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next chapter, 3.2 subsection, will describe the solution offered by a research author to facilitate or resolve graduate unemployment issues.</w:t>
      </w:r>
    </w:p>
    <w:p w14:paraId="6E3D186A" w14:textId="7289940F"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However, the issues of either graduate employability or UIC may stay due to other challenges. </w:t>
      </w:r>
      <w:proofErr w:type="spellStart"/>
      <w:r w:rsidRPr="00244343">
        <w:rPr>
          <w:rFonts w:ascii="Times New Roman" w:hAnsi="Times New Roman" w:cs="Times New Roman"/>
          <w:sz w:val="28"/>
          <w:szCs w:val="28"/>
          <w:lang w:val="en-US"/>
        </w:rPr>
        <w:t>Pospelova</w:t>
      </w:r>
      <w:proofErr w:type="spellEnd"/>
      <w:r w:rsidRPr="00244343">
        <w:rPr>
          <w:rFonts w:ascii="Times New Roman" w:hAnsi="Times New Roman" w:cs="Times New Roman"/>
          <w:sz w:val="28"/>
          <w:szCs w:val="28"/>
          <w:lang w:val="en-US"/>
        </w:rPr>
        <w:t xml:space="preserve"> T.V. [</w:t>
      </w:r>
      <w:r w:rsidR="004422C5">
        <w:rPr>
          <w:rFonts w:ascii="Times New Roman" w:hAnsi="Times New Roman" w:cs="Times New Roman"/>
          <w:sz w:val="28"/>
          <w:szCs w:val="28"/>
          <w:lang w:val="en-US"/>
        </w:rPr>
        <w:t>25</w:t>
      </w:r>
      <w:r w:rsidR="00F44B8C">
        <w:rPr>
          <w:rFonts w:ascii="Times New Roman" w:hAnsi="Times New Roman" w:cs="Times New Roman"/>
          <w:sz w:val="28"/>
          <w:szCs w:val="28"/>
          <w:lang w:val="en-US"/>
        </w:rPr>
        <w:t>4</w:t>
      </w:r>
      <w:r w:rsidRPr="00244343">
        <w:rPr>
          <w:rFonts w:ascii="Times New Roman" w:hAnsi="Times New Roman" w:cs="Times New Roman"/>
          <w:sz w:val="28"/>
          <w:szCs w:val="28"/>
          <w:lang w:val="en-US"/>
        </w:rPr>
        <w:t xml:space="preserve">], a Russian researcher, stated in the article published at the TH 10th conference that Russia is confronted with numerous significant obstacles related to the construction of the object (a bridge to the Russian island (Vladivostok)). The primary challenges the project's participants encounter result from their efforts to pursue their interests. The government is motivated to reduce costs, private developers are interested in profit, and researchers are preoccupied with their calculations and do not collaborate. The absence of a system is the result of all of this. In the process, participants spend time and money to navigate the bureaucracy and corruption prevalent in Russia. These concerns may be exemplified in other sectors of Central Asian emerging economies. </w:t>
      </w:r>
    </w:p>
    <w:p w14:paraId="38DE9EC2"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The restriction of the survey research was that the sample size was N=300. While the N=300 is regarded as a substantial sample study, it aligns with international standards. Following data cleansing, the total number of respondents (students) who comprehensively answered the survey questions was N=300. The primary factor of this limitation is the overall engagement of the students in answering survey questions. </w:t>
      </w:r>
    </w:p>
    <w:p w14:paraId="4F7D42E1" w14:textId="586FAF92" w:rsidR="00600C79" w:rsidRPr="0032235E" w:rsidRDefault="00600C79" w:rsidP="00600C79">
      <w:pPr>
        <w:spacing w:after="0" w:line="240" w:lineRule="auto"/>
        <w:ind w:firstLine="720"/>
        <w:contextualSpacing/>
        <w:jc w:val="both"/>
        <w:rPr>
          <w:rFonts w:ascii="Times New Roman" w:hAnsi="Times New Roman" w:cs="Times New Roman"/>
          <w:sz w:val="28"/>
          <w:szCs w:val="28"/>
          <w:lang w:val="en-US"/>
        </w:rPr>
      </w:pPr>
      <w:bookmarkStart w:id="31" w:name="_Hlk190771782"/>
      <w:r w:rsidRPr="00244343">
        <w:rPr>
          <w:rFonts w:ascii="Times New Roman" w:hAnsi="Times New Roman" w:cs="Times New Roman"/>
          <w:sz w:val="28"/>
          <w:szCs w:val="28"/>
          <w:lang w:val="en-US"/>
        </w:rPr>
        <w:t>This subsection analyzes the determinants of university graduate employment in Kazakhstan, exploring implications for public administration and university management. Recognizing youth as a crucial human capital investment and youth employment as a key focus of Kazakhstan's 2023-2029 State Youth Policy Concept, this study investigates factors influencing graduate employment outcomes</w:t>
      </w:r>
      <w:r>
        <w:rPr>
          <w:rFonts w:ascii="Times New Roman" w:hAnsi="Times New Roman" w:cs="Times New Roman"/>
          <w:sz w:val="28"/>
          <w:szCs w:val="28"/>
          <w:lang w:val="en-US"/>
        </w:rPr>
        <w:t xml:space="preserve"> [</w:t>
      </w:r>
      <w:r w:rsidR="004422C5">
        <w:rPr>
          <w:rFonts w:ascii="Times New Roman" w:hAnsi="Times New Roman" w:cs="Times New Roman"/>
          <w:sz w:val="28"/>
          <w:szCs w:val="28"/>
          <w:lang w:val="en-US"/>
        </w:rPr>
        <w:t>215</w:t>
      </w:r>
      <w:r>
        <w:rPr>
          <w:rFonts w:ascii="Times New Roman" w:hAnsi="Times New Roman" w:cs="Times New Roman"/>
          <w:sz w:val="28"/>
          <w:szCs w:val="28"/>
          <w:lang w:val="en-US"/>
        </w:rPr>
        <w:t>]</w:t>
      </w:r>
      <w:r w:rsidRPr="00244343">
        <w:rPr>
          <w:rFonts w:ascii="Times New Roman" w:hAnsi="Times New Roman" w:cs="Times New Roman"/>
          <w:sz w:val="28"/>
          <w:szCs w:val="28"/>
          <w:lang w:val="en-US"/>
        </w:rPr>
        <w:t>. A logistic regression model, utilizing primary data collected in 2022 from 300 graduates (2020-2021 cohort) across Kazakhstan, examines the impact of practical experience, field-specific job opportunities, social networks, technological advancement, and entrepreneurship on employment probability within one-year post-graduation.</w:t>
      </w:r>
    </w:p>
    <w:p w14:paraId="137B99BE" w14:textId="1E641969"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lastRenderedPageBreak/>
        <w:t xml:space="preserve">The dependent variable was employment status (employed within one year = 1; unemployed = 0). Independent variables were assessed using a 7-point Likert scale (1 = no effect; 7 = very strong effect), and perceived obstacles to securing specialized employment were assessed. A Cronbach's alpha exceeding 0.7 confirmed questionnaire reliability and consistency. The sample size was found using a technique to ascertain a percentage of a community, aiming for a 95% confidence level and a 0.05 margin of error. Data was collected using an online poll on Google Forms and shared through social media, email, and messaging apps. We got permission from participants, kept their identities secret, and protected their records. Data analysis was performed via IBM SPSS Statistics 23. </w:t>
      </w:r>
    </w:p>
    <w:p w14:paraId="07C5C600"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Dichotomous logistic regression was employed to predict the dependent variable based on independent variables and calculate employment probability. This method is suitable for binary outcomes and robust against normality and homoscedasticity assumption violations. To use a direct, stepwise (conditional) variable selection method, a four-step model development process identified statistically significant predictors.</w:t>
      </w:r>
    </w:p>
    <w:p w14:paraId="49499569"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final model included four factors. "Acquaintances, relatives, personal connections" (Q5.8) exhibited the strongest influence (highest Wald statistic) and positively impacted employment opportunities, along with "Development of research, technology, innovation and entrepreneurship" (Q6.1). Conversely, "Lack of experience" (Q3.1) and "Few places were offered in my specialty" (Q3.7) showed negative relationships with employability.</w:t>
      </w:r>
    </w:p>
    <w:p w14:paraId="26F5CBD1"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logistic regression equation allows for the calculation of the probability of employment based on individual responses. An example calculation demonstrates how responses on the Likert scale are incorporated into the model to generate a probability score. This score classifies graduates as likely or unlikely to be employed in their field.</w:t>
      </w:r>
    </w:p>
    <w:p w14:paraId="3E98CF44"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A classification graph visually represents correctly and incorrectly predicted employment outcomes. While the model demonstrates strong predictive ability, some misclassifications occur. Correlation coefficients were employed to analyze the links among response categories, university attributes, and job positions.</w:t>
      </w:r>
    </w:p>
    <w:p w14:paraId="07544257"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micro-model indicates that graduate employment is influenced by practical experience, job availability, social networks, and technological/entrepreneurial development. </w:t>
      </w:r>
      <w:proofErr w:type="spellStart"/>
      <w:r w:rsidRPr="00244343">
        <w:rPr>
          <w:rFonts w:ascii="Times New Roman" w:hAnsi="Times New Roman" w:cs="Times New Roman"/>
          <w:sz w:val="28"/>
          <w:szCs w:val="28"/>
          <w:lang w:val="en-US"/>
        </w:rPr>
        <w:t>Nagelkerke</w:t>
      </w:r>
      <w:proofErr w:type="spellEnd"/>
      <w:r w:rsidRPr="00244343">
        <w:rPr>
          <w:rFonts w:ascii="Times New Roman" w:hAnsi="Times New Roman" w:cs="Times New Roman"/>
          <w:sz w:val="28"/>
          <w:szCs w:val="28"/>
          <w:lang w:val="en-US"/>
        </w:rPr>
        <w:t xml:space="preserve"> R-squared indicates that the final model explains 83.1% of the variance in the dependent variable. The classification table shows an overall correct prediction rate of 88.3%, a 23.7% improvement from the baseline model. Sensitivity analysis reveals that the model correctly predicts 91.2% of employed graduates.</w:t>
      </w:r>
    </w:p>
    <w:p w14:paraId="4681C6E4"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model shows that having real work experience, understanding job market trends, making connections, getting university support for research and technology, and starting businesses are all important for helping graduates find jobs in Kazakhstan.    </w:t>
      </w:r>
    </w:p>
    <w:p w14:paraId="7BB7F702" w14:textId="77777777" w:rsidR="00600C79" w:rsidRPr="008A2E43" w:rsidRDefault="00600C79" w:rsidP="00600C79">
      <w:pPr>
        <w:spacing w:after="0" w:line="240" w:lineRule="auto"/>
        <w:ind w:firstLine="720"/>
        <w:contextualSpacing/>
        <w:jc w:val="both"/>
        <w:rPr>
          <w:rFonts w:ascii="Times New Roman" w:hAnsi="Times New Roman" w:cs="Times New Roman"/>
          <w:sz w:val="28"/>
          <w:szCs w:val="28"/>
          <w:lang w:val="en-US"/>
        </w:rPr>
      </w:pPr>
      <w:r w:rsidRPr="008A2E43">
        <w:rPr>
          <w:rFonts w:ascii="Times New Roman" w:hAnsi="Times New Roman" w:cs="Times New Roman"/>
          <w:sz w:val="28"/>
          <w:szCs w:val="28"/>
          <w:lang w:val="en-US"/>
        </w:rPr>
        <w:t xml:space="preserve">This chapter addresses Kazakhstan's challenges and opportunities in fostering innovation, focusing on implementing the THM. The author highlights a paradox </w:t>
      </w:r>
      <w:r w:rsidRPr="008A2E43">
        <w:rPr>
          <w:rFonts w:ascii="Times New Roman" w:hAnsi="Times New Roman" w:cs="Times New Roman"/>
          <w:sz w:val="28"/>
          <w:szCs w:val="28"/>
          <w:lang w:val="en-US"/>
        </w:rPr>
        <w:lastRenderedPageBreak/>
        <w:t>within Kazakhstan's innovation landscape: the country possesses significant scientific and technical potential, yet there is limited application of research outcomes in the industrial sector. This gap is attributed to a lack of understanding regarding the commercialization of technology by scientists and inventors. To mitigate these issues, the chapter suggests measures inspired by successful models from other innovative nations, such as government-backed innovation funds, enhanced tax benefits for R&amp;D, improved funding programs for startups and SMEs, and the creation of innovation zones with financial incentives.</w:t>
      </w:r>
    </w:p>
    <w:p w14:paraId="5B8C144A" w14:textId="77777777" w:rsidR="00600C79" w:rsidRPr="008A2E43" w:rsidRDefault="00600C79" w:rsidP="00600C79">
      <w:pPr>
        <w:spacing w:after="0" w:line="240" w:lineRule="auto"/>
        <w:ind w:firstLine="720"/>
        <w:contextualSpacing/>
        <w:jc w:val="both"/>
        <w:rPr>
          <w:rFonts w:ascii="Times New Roman" w:hAnsi="Times New Roman" w:cs="Times New Roman"/>
          <w:sz w:val="28"/>
          <w:szCs w:val="28"/>
          <w:lang w:val="en-US"/>
        </w:rPr>
      </w:pPr>
      <w:r w:rsidRPr="008A2E43">
        <w:rPr>
          <w:rFonts w:ascii="Times New Roman" w:hAnsi="Times New Roman" w:cs="Times New Roman"/>
          <w:sz w:val="28"/>
          <w:szCs w:val="28"/>
          <w:lang w:val="en-US"/>
        </w:rPr>
        <w:t>Additionally, the chapter advocates for strengthening UIC and regional clusters to foster innovation, referencing successful international examples, particularly China's institutional support and undergraduate research initiatives.</w:t>
      </w:r>
    </w:p>
    <w:p w14:paraId="27F351CC" w14:textId="77777777" w:rsidR="00600C79" w:rsidRPr="00EB3B51" w:rsidRDefault="00600C79" w:rsidP="00600C79">
      <w:pPr>
        <w:spacing w:after="0" w:line="240" w:lineRule="auto"/>
        <w:ind w:firstLine="720"/>
        <w:contextualSpacing/>
        <w:jc w:val="both"/>
        <w:rPr>
          <w:rFonts w:ascii="Times New Roman" w:hAnsi="Times New Roman" w:cs="Times New Roman"/>
          <w:sz w:val="28"/>
          <w:szCs w:val="28"/>
          <w:lang w:val="en-US"/>
        </w:rPr>
      </w:pPr>
      <w:r w:rsidRPr="008A2E43">
        <w:rPr>
          <w:rFonts w:ascii="Times New Roman" w:hAnsi="Times New Roman" w:cs="Times New Roman"/>
          <w:sz w:val="28"/>
          <w:szCs w:val="28"/>
          <w:lang w:val="en-US"/>
        </w:rPr>
        <w:t>The final section of the chapter delves into the determinants of university graduate employment in Kazakhstan, identifying key factors influencing post-graduation employment outcomes. A logistic regression modelling was conducted using data from 300 graduates reveals that practical experience, access to job opportunities in the field, social networks, and technological and entrepreneurial development are crucial predictors of employment success. The research highlights the significance of university support and networking in the job market, indicating that graduates possessing work experience, pertinent skills, and industry connections exhibit a greater likelihood of securing employment. The model demonstrates robust predictive capability, accounting for 83.1% of the variance in employment outcomes, with practical experience identified as the most influential factor. These results highlight the role of university-industry collaboration, innovation initiatives, and the cultivation of networks in improving employment prospects for graduates in Kazakhstan.</w:t>
      </w:r>
    </w:p>
    <w:p w14:paraId="3C95BCB3" w14:textId="1F69EE62" w:rsidR="00600C79" w:rsidRDefault="00600C79" w:rsidP="00600C79">
      <w:pPr>
        <w:spacing w:after="0" w:line="240" w:lineRule="auto"/>
        <w:ind w:firstLine="720"/>
        <w:contextualSpacing/>
        <w:jc w:val="both"/>
        <w:rPr>
          <w:rFonts w:ascii="Times New Roman" w:hAnsi="Times New Roman" w:cs="Times New Roman"/>
          <w:sz w:val="28"/>
          <w:szCs w:val="28"/>
          <w:lang w:val="en-US"/>
        </w:rPr>
      </w:pPr>
      <w:r w:rsidRPr="00C22B80">
        <w:rPr>
          <w:rFonts w:ascii="Times New Roman" w:hAnsi="Times New Roman" w:cs="Times New Roman"/>
          <w:sz w:val="28"/>
          <w:szCs w:val="28"/>
          <w:lang w:val="en-US"/>
        </w:rPr>
        <w:t xml:space="preserve">This study's empirical findings underscore the essential function of the Triple Helix Model in promoting innovation in Kazakhstan's universities and its broader economic framework.  Notwithstanding the nation's scientific capabilities, inadequate university-industry collaboration and insufficient research commercialization impede innovation-driven growth. </w:t>
      </w:r>
      <w:r>
        <w:rPr>
          <w:rFonts w:ascii="Times New Roman" w:hAnsi="Times New Roman" w:cs="Times New Roman"/>
          <w:sz w:val="28"/>
          <w:szCs w:val="28"/>
          <w:lang w:val="en-US"/>
        </w:rPr>
        <w:t xml:space="preserve">Moreover, the research conducted </w:t>
      </w:r>
      <w:r w:rsidRPr="00D86ABD">
        <w:rPr>
          <w:rFonts w:ascii="Times New Roman" w:hAnsi="Times New Roman" w:cs="Times New Roman"/>
          <w:sz w:val="28"/>
          <w:szCs w:val="28"/>
          <w:lang w:val="en-US"/>
        </w:rPr>
        <w:t>by</w:t>
      </w:r>
      <w:r w:rsidR="00D86ABD" w:rsidRPr="00D86ABD">
        <w:rPr>
          <w:rFonts w:ascii="Times New Roman" w:hAnsi="Times New Roman" w:cs="Times New Roman"/>
          <w:sz w:val="28"/>
          <w:szCs w:val="28"/>
          <w:lang w:val="en-US"/>
        </w:rPr>
        <w:t xml:space="preserve"> </w:t>
      </w:r>
      <w:r w:rsidRPr="00D86ABD">
        <w:rPr>
          <w:rFonts w:ascii="Times New Roman" w:hAnsi="Times New Roman" w:cs="Times New Roman"/>
          <w:sz w:val="28"/>
          <w:szCs w:val="28"/>
          <w:lang w:val="en-US"/>
        </w:rPr>
        <w:t>W.</w:t>
      </w:r>
      <w:r w:rsidR="00D86ABD" w:rsidRPr="00D86ABD">
        <w:rPr>
          <w:rFonts w:ascii="Times New Roman" w:hAnsi="Times New Roman" w:cs="Times New Roman"/>
          <w:sz w:val="28"/>
          <w:szCs w:val="28"/>
          <w:lang w:val="en-US"/>
        </w:rPr>
        <w:t xml:space="preserve"> </w:t>
      </w:r>
      <w:proofErr w:type="spellStart"/>
      <w:r w:rsidRPr="00D86ABD">
        <w:rPr>
          <w:rFonts w:ascii="Times New Roman" w:hAnsi="Times New Roman" w:cs="Times New Roman"/>
          <w:sz w:val="28"/>
          <w:szCs w:val="28"/>
          <w:lang w:val="en-US"/>
        </w:rPr>
        <w:t>Asamaoh</w:t>
      </w:r>
      <w:proofErr w:type="spellEnd"/>
      <w:r w:rsidRPr="00D86ABD">
        <w:rPr>
          <w:rFonts w:ascii="Times New Roman" w:hAnsi="Times New Roman" w:cs="Times New Roman"/>
          <w:sz w:val="28"/>
          <w:szCs w:val="28"/>
          <w:lang w:val="en-US"/>
        </w:rPr>
        <w:t>–Appiah</w:t>
      </w:r>
      <w:r w:rsidR="00D86ABD">
        <w:rPr>
          <w:rFonts w:ascii="Times New Roman" w:hAnsi="Times New Roman" w:cs="Times New Roman"/>
          <w:sz w:val="28"/>
          <w:szCs w:val="28"/>
          <w:lang w:val="en-US"/>
        </w:rPr>
        <w:t xml:space="preserve"> </w:t>
      </w:r>
      <w:r w:rsidRPr="00AB28FF">
        <w:rPr>
          <w:rFonts w:ascii="Times New Roman" w:hAnsi="Times New Roman" w:cs="Times New Roman"/>
          <w:sz w:val="28"/>
          <w:szCs w:val="28"/>
          <w:lang w:val="en-US"/>
        </w:rPr>
        <w:t>examines the impact of UIC on sustainable employment while assessing the mediating role of financial support</w:t>
      </w:r>
      <w:r w:rsidR="00D86ABD">
        <w:rPr>
          <w:rFonts w:ascii="Times New Roman" w:hAnsi="Times New Roman" w:cs="Times New Roman"/>
          <w:sz w:val="28"/>
          <w:szCs w:val="28"/>
          <w:lang w:val="en-US"/>
        </w:rPr>
        <w:t xml:space="preserve"> [25</w:t>
      </w:r>
      <w:r w:rsidR="00F44B8C">
        <w:rPr>
          <w:rFonts w:ascii="Times New Roman" w:hAnsi="Times New Roman" w:cs="Times New Roman"/>
          <w:sz w:val="28"/>
          <w:szCs w:val="28"/>
          <w:lang w:val="en-US"/>
        </w:rPr>
        <w:t>5</w:t>
      </w:r>
      <w:r w:rsidR="00D86ABD">
        <w:rPr>
          <w:rFonts w:ascii="Times New Roman" w:hAnsi="Times New Roman" w:cs="Times New Roman"/>
          <w:sz w:val="28"/>
          <w:szCs w:val="28"/>
          <w:lang w:val="en-US"/>
        </w:rPr>
        <w:t>]</w:t>
      </w:r>
      <w:r w:rsidRPr="00AB28FF">
        <w:rPr>
          <w:rFonts w:ascii="Times New Roman" w:hAnsi="Times New Roman" w:cs="Times New Roman"/>
          <w:sz w:val="28"/>
          <w:szCs w:val="28"/>
          <w:lang w:val="en-US"/>
        </w:rPr>
        <w:t>. The findings indicate that before mediation, UIC had a strong effect on employment outcomes (R² = 0.825, β = 0.651). Demonstrating finance as a mediator modified the relationship (R² = 0.279, β = 0.872), pointing out the essential importance of funding. The findings indicate that financing UIC is crucial for sustained employment, necessitating universities and companies to pursue varied funding sources, while policymakers should encourage entrepreneurship to mitigate elevated jobless rates.</w:t>
      </w:r>
      <w:r w:rsidRPr="00C22B80">
        <w:rPr>
          <w:rFonts w:ascii="Times New Roman" w:hAnsi="Times New Roman" w:cs="Times New Roman"/>
          <w:sz w:val="28"/>
          <w:szCs w:val="28"/>
          <w:lang w:val="en-US"/>
        </w:rPr>
        <w:t xml:space="preserve"> </w:t>
      </w:r>
    </w:p>
    <w:p w14:paraId="577504B4" w14:textId="77777777" w:rsidR="00600C79" w:rsidRDefault="00600C79" w:rsidP="00600C79">
      <w:pPr>
        <w:spacing w:after="0" w:line="240" w:lineRule="auto"/>
        <w:ind w:firstLine="720"/>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To sum up the chapter overall a</w:t>
      </w:r>
      <w:r w:rsidRPr="00C22B80">
        <w:rPr>
          <w:rFonts w:ascii="Times New Roman" w:hAnsi="Times New Roman" w:cs="Times New Roman"/>
          <w:sz w:val="28"/>
          <w:szCs w:val="28"/>
          <w:lang w:val="en-US"/>
        </w:rPr>
        <w:t xml:space="preserve"> comparative review of China, Japan, and Italy (additionally the U.S. and Israel tax policies are analyzed) highlights the imperative for institutional support, entrepreneurial incentives, and regulatory frameworks to enhance university-business-government connections.  The moderate link between (showing a weak correlation due to the limited UIC) U-C and cluster growth in Kazakhstan indicates the potential for focused policy interventions to improve KT </w:t>
      </w:r>
      <w:r w:rsidRPr="00C22B80">
        <w:rPr>
          <w:rFonts w:ascii="Times New Roman" w:hAnsi="Times New Roman" w:cs="Times New Roman"/>
          <w:sz w:val="28"/>
          <w:szCs w:val="28"/>
          <w:lang w:val="en-US"/>
        </w:rPr>
        <w:lastRenderedPageBreak/>
        <w:t xml:space="preserve">and regional competitiveness.  Overcoming obstacles such as inadequate funding </w:t>
      </w:r>
      <w:proofErr w:type="spellStart"/>
      <w:r w:rsidRPr="00C22B80">
        <w:rPr>
          <w:rFonts w:ascii="Times New Roman" w:hAnsi="Times New Roman" w:cs="Times New Roman"/>
          <w:sz w:val="28"/>
          <w:szCs w:val="28"/>
          <w:lang w:val="en-US"/>
        </w:rPr>
        <w:t>initatives</w:t>
      </w:r>
      <w:proofErr w:type="spellEnd"/>
      <w:r w:rsidRPr="00C22B80">
        <w:rPr>
          <w:rFonts w:ascii="Times New Roman" w:hAnsi="Times New Roman" w:cs="Times New Roman"/>
          <w:sz w:val="28"/>
          <w:szCs w:val="28"/>
          <w:lang w:val="en-US"/>
        </w:rPr>
        <w:t>, inflexible managerial frameworks, and insufficient research output necessitates a systematic and contextually tailored strategy.  The establishment of government-supported innovation funds, the encouragement of business participation, and the promotion of talent development can enhance the nation's innovation ecosystem.  Future studies should focus on enhancing policy recommendations and evaluating the long-term effects of Triple Helix projects on national and regional economic development.</w:t>
      </w:r>
    </w:p>
    <w:p w14:paraId="3F4259E3" w14:textId="77777777" w:rsidR="00600C79" w:rsidRPr="008A2E43" w:rsidRDefault="00600C79" w:rsidP="00600C79">
      <w:pPr>
        <w:spacing w:after="0" w:line="240" w:lineRule="auto"/>
        <w:ind w:firstLine="720"/>
        <w:contextualSpacing/>
        <w:jc w:val="both"/>
        <w:rPr>
          <w:rFonts w:ascii="Times New Roman" w:hAnsi="Times New Roman" w:cs="Times New Roman"/>
          <w:sz w:val="28"/>
          <w:szCs w:val="28"/>
          <w:lang w:val="en-US"/>
        </w:rPr>
      </w:pPr>
      <w:r w:rsidRPr="000300F5">
        <w:rPr>
          <w:rFonts w:ascii="Times New Roman" w:hAnsi="Times New Roman" w:cs="Times New Roman"/>
          <w:sz w:val="28"/>
          <w:szCs w:val="28"/>
          <w:lang w:val="en-US"/>
        </w:rPr>
        <w:t xml:space="preserve">Based on the empirical insights from subsection 2.1, Kazakhstan should implement targeted tax policies and governmental initiatives to enhance the collaboration from - UIC within the THM framework. Comparative analysis with China, Japan, and Italy points out the effectiveness of R&amp;D tax incentives, public-private research funding, and innovation-driven economic zones in fostering academic-industry partnerships. To address Kazakhstan's weak commercialization of research, the government should introduce super-deductions for R&amp;D expenditures (150-200%), follow China's model, and establish public co-financing schemes to support joint research projects, similar to South Korea's ITR&amp;D program. Additionally, creating university-affiliated innovation zones with corporate tax exemptions and reduced property taxes for R&amp;D firms would incentivize industry engagement, drawing from Singapore's One-North Hub experience. Strengthening government procurement programs prioritizing university-industry partnerships, akin to the UK's SBRI initiative, would further enhance knowledge transfer and regional innovation. Moreover, implementing a "Patent Box" tax regime, offering reduced taxation on revenues from university-developed patents, could drive technological commercialization, mirroring the success of the UK and European Union. Finally, fostering industry-funded research fellowships and student internships with tax incentives, as </w:t>
      </w:r>
      <w:proofErr w:type="spellStart"/>
      <w:r w:rsidRPr="000300F5">
        <w:rPr>
          <w:rFonts w:ascii="Times New Roman" w:hAnsi="Times New Roman" w:cs="Times New Roman"/>
          <w:sz w:val="28"/>
          <w:szCs w:val="28"/>
          <w:lang w:val="en-US"/>
        </w:rPr>
        <w:t>practised</w:t>
      </w:r>
      <w:proofErr w:type="spellEnd"/>
      <w:r w:rsidRPr="000300F5">
        <w:rPr>
          <w:rFonts w:ascii="Times New Roman" w:hAnsi="Times New Roman" w:cs="Times New Roman"/>
          <w:sz w:val="28"/>
          <w:szCs w:val="28"/>
          <w:lang w:val="en-US"/>
        </w:rPr>
        <w:t xml:space="preserve"> in Germany and Japan, would bridge skill gaps and create a more dynamic innovation ecosystem. These policy interventions would strengthen Kazakhstan's national innovation system, improving its integration into global knowledge economies while addressing existing barriers to UIC development.</w:t>
      </w:r>
    </w:p>
    <w:bookmarkEnd w:id="31"/>
    <w:p w14:paraId="6F7F33E7"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p>
    <w:p w14:paraId="7DF707F8" w14:textId="77777777" w:rsidR="00600C79" w:rsidRPr="00E149C5" w:rsidRDefault="00600C79" w:rsidP="00600C79">
      <w:pPr>
        <w:spacing w:line="240" w:lineRule="auto"/>
        <w:ind w:firstLine="720"/>
        <w:contextualSpacing/>
        <w:jc w:val="both"/>
        <w:rPr>
          <w:rFonts w:ascii="Times New Roman" w:hAnsi="Times New Roman" w:cs="Times New Roman"/>
          <w:sz w:val="28"/>
          <w:szCs w:val="28"/>
          <w:lang w:val="en-US"/>
        </w:rPr>
      </w:pPr>
    </w:p>
    <w:p w14:paraId="08F9BA65" w14:textId="77777777" w:rsidR="00600C79" w:rsidRPr="00E149C5" w:rsidRDefault="00600C79" w:rsidP="00600C79">
      <w:pPr>
        <w:spacing w:line="240" w:lineRule="auto"/>
        <w:ind w:firstLine="720"/>
        <w:contextualSpacing/>
        <w:jc w:val="both"/>
        <w:rPr>
          <w:rFonts w:ascii="Times New Roman" w:hAnsi="Times New Roman" w:cs="Times New Roman"/>
          <w:sz w:val="28"/>
          <w:szCs w:val="28"/>
          <w:lang w:val="en-US"/>
        </w:rPr>
      </w:pPr>
    </w:p>
    <w:p w14:paraId="05416825" w14:textId="49563D32" w:rsidR="00217684" w:rsidRDefault="00217684" w:rsidP="00EC13B6">
      <w:pPr>
        <w:jc w:val="both"/>
        <w:rPr>
          <w:rFonts w:ascii="Times New Roman" w:hAnsi="Times New Roman" w:cs="Times New Roman"/>
          <w:sz w:val="28"/>
          <w:szCs w:val="28"/>
          <w:lang w:val="en-US"/>
        </w:rPr>
      </w:pPr>
    </w:p>
    <w:p w14:paraId="0C7671DF" w14:textId="36FB2F29" w:rsidR="00600C79" w:rsidRDefault="00600C79" w:rsidP="00EC13B6">
      <w:pPr>
        <w:jc w:val="both"/>
        <w:rPr>
          <w:rFonts w:ascii="Times New Roman" w:hAnsi="Times New Roman" w:cs="Times New Roman"/>
          <w:sz w:val="28"/>
          <w:szCs w:val="28"/>
          <w:lang w:val="en-US"/>
        </w:rPr>
      </w:pPr>
    </w:p>
    <w:p w14:paraId="22C8A235" w14:textId="0603869A" w:rsidR="00600C79" w:rsidRDefault="00600C79" w:rsidP="00EC13B6">
      <w:pPr>
        <w:jc w:val="both"/>
        <w:rPr>
          <w:rFonts w:ascii="Times New Roman" w:hAnsi="Times New Roman" w:cs="Times New Roman"/>
          <w:sz w:val="28"/>
          <w:szCs w:val="28"/>
          <w:lang w:val="en-US"/>
        </w:rPr>
      </w:pPr>
    </w:p>
    <w:p w14:paraId="504F7007" w14:textId="4FAF609C" w:rsidR="00600C79" w:rsidRDefault="00600C79" w:rsidP="00EC13B6">
      <w:pPr>
        <w:jc w:val="both"/>
        <w:rPr>
          <w:rFonts w:ascii="Times New Roman" w:hAnsi="Times New Roman" w:cs="Times New Roman"/>
          <w:sz w:val="28"/>
          <w:szCs w:val="28"/>
          <w:lang w:val="en-US"/>
        </w:rPr>
      </w:pPr>
    </w:p>
    <w:p w14:paraId="1760A6C4" w14:textId="0F316C20" w:rsidR="007309A4" w:rsidRDefault="007309A4" w:rsidP="008862F5">
      <w:pPr>
        <w:spacing w:before="100" w:beforeAutospacing="1" w:after="100" w:afterAutospacing="1" w:line="240" w:lineRule="auto"/>
        <w:outlineLvl w:val="2"/>
        <w:rPr>
          <w:rFonts w:ascii="Times New Roman" w:hAnsi="Times New Roman" w:cs="Times New Roman"/>
          <w:sz w:val="28"/>
          <w:szCs w:val="28"/>
          <w:lang w:val="en-US"/>
        </w:rPr>
      </w:pPr>
    </w:p>
    <w:p w14:paraId="760DD1BA" w14:textId="77777777" w:rsidR="006C73BB" w:rsidRDefault="006C73BB" w:rsidP="008862F5">
      <w:pPr>
        <w:spacing w:before="100" w:beforeAutospacing="1" w:after="100" w:afterAutospacing="1" w:line="240" w:lineRule="auto"/>
        <w:outlineLvl w:val="2"/>
        <w:rPr>
          <w:rFonts w:ascii="Times New Roman" w:hAnsi="Times New Roman" w:cs="Times New Roman"/>
          <w:sz w:val="28"/>
          <w:szCs w:val="28"/>
          <w:lang w:val="en-US"/>
        </w:rPr>
      </w:pPr>
    </w:p>
    <w:p w14:paraId="440A9C4B" w14:textId="72ABF08F" w:rsidR="00600C79" w:rsidRDefault="00600C79" w:rsidP="008862F5">
      <w:pPr>
        <w:spacing w:after="0" w:line="240" w:lineRule="auto"/>
        <w:ind w:firstLine="720"/>
        <w:contextualSpacing/>
        <w:jc w:val="both"/>
        <w:rPr>
          <w:rFonts w:ascii="Times New Roman" w:eastAsia="Times New Roman" w:hAnsi="Times New Roman" w:cs="Times New Roman"/>
          <w:b/>
          <w:bCs/>
          <w:sz w:val="27"/>
          <w:szCs w:val="27"/>
          <w:lang w:val="en-US" w:eastAsia="ru-RU"/>
        </w:rPr>
      </w:pPr>
      <w:proofErr w:type="gramStart"/>
      <w:r>
        <w:rPr>
          <w:rFonts w:ascii="Times New Roman" w:eastAsia="Times New Roman" w:hAnsi="Times New Roman" w:cs="Times New Roman"/>
          <w:b/>
          <w:bCs/>
          <w:sz w:val="27"/>
          <w:szCs w:val="27"/>
          <w:lang w:val="en-US" w:eastAsia="ru-RU"/>
        </w:rPr>
        <w:lastRenderedPageBreak/>
        <w:t>3</w:t>
      </w:r>
      <w:r w:rsidR="008862F5">
        <w:rPr>
          <w:rFonts w:ascii="Times New Roman" w:eastAsia="Times New Roman" w:hAnsi="Times New Roman" w:cs="Times New Roman"/>
          <w:b/>
          <w:bCs/>
          <w:sz w:val="27"/>
          <w:szCs w:val="27"/>
          <w:lang w:val="en-US" w:eastAsia="ru-RU"/>
        </w:rPr>
        <w:t xml:space="preserve"> </w:t>
      </w:r>
      <w:r w:rsidR="00C300C8">
        <w:rPr>
          <w:rFonts w:ascii="Times New Roman" w:eastAsia="Times New Roman" w:hAnsi="Times New Roman" w:cs="Times New Roman"/>
          <w:b/>
          <w:bCs/>
          <w:sz w:val="27"/>
          <w:szCs w:val="27"/>
          <w:lang w:val="en-US" w:eastAsia="ru-RU"/>
        </w:rPr>
        <w:t xml:space="preserve"> </w:t>
      </w:r>
      <w:r w:rsidRPr="002A46AD">
        <w:rPr>
          <w:rFonts w:ascii="Times New Roman" w:eastAsia="Times New Roman" w:hAnsi="Times New Roman" w:cs="Times New Roman"/>
          <w:b/>
          <w:bCs/>
          <w:sz w:val="27"/>
          <w:szCs w:val="27"/>
          <w:lang w:val="en-US" w:eastAsia="ru-RU"/>
        </w:rPr>
        <w:t>RECOMMENDATIONS</w:t>
      </w:r>
      <w:proofErr w:type="gramEnd"/>
      <w:r w:rsidRPr="002A46AD">
        <w:rPr>
          <w:rFonts w:ascii="Times New Roman" w:eastAsia="Times New Roman" w:hAnsi="Times New Roman" w:cs="Times New Roman"/>
          <w:b/>
          <w:bCs/>
          <w:sz w:val="27"/>
          <w:szCs w:val="27"/>
          <w:lang w:val="en-US" w:eastAsia="ru-RU"/>
        </w:rPr>
        <w:t xml:space="preserve"> ON STRENGTHENING THE TRIPLE HELIX MODEL IN KAZAKHSTAN</w:t>
      </w:r>
    </w:p>
    <w:p w14:paraId="64DA9C15" w14:textId="77777777" w:rsidR="008862F5" w:rsidRPr="002A46AD" w:rsidRDefault="008862F5" w:rsidP="008862F5">
      <w:pPr>
        <w:spacing w:after="0" w:line="240" w:lineRule="auto"/>
        <w:ind w:firstLine="720"/>
        <w:contextualSpacing/>
        <w:jc w:val="both"/>
        <w:rPr>
          <w:rFonts w:ascii="Times New Roman" w:eastAsia="Times New Roman" w:hAnsi="Times New Roman" w:cs="Times New Roman"/>
          <w:b/>
          <w:bCs/>
          <w:sz w:val="27"/>
          <w:szCs w:val="27"/>
          <w:lang w:val="en-US" w:eastAsia="ru-RU"/>
        </w:rPr>
      </w:pPr>
    </w:p>
    <w:p w14:paraId="661AC269" w14:textId="1602560D" w:rsidR="00600C79" w:rsidRPr="008862F5" w:rsidRDefault="008862F5" w:rsidP="008862F5">
      <w:pPr>
        <w:spacing w:after="0" w:line="240" w:lineRule="auto"/>
        <w:ind w:firstLine="720"/>
        <w:jc w:val="both"/>
        <w:rPr>
          <w:rFonts w:ascii="Times New Roman" w:hAnsi="Times New Roman" w:cs="Times New Roman"/>
          <w:b/>
          <w:bCs/>
          <w:sz w:val="28"/>
          <w:szCs w:val="28"/>
          <w:lang w:val="en-US"/>
        </w:rPr>
      </w:pPr>
      <w:r w:rsidRPr="008862F5">
        <w:rPr>
          <w:rFonts w:ascii="Times New Roman" w:eastAsia="Times New Roman" w:hAnsi="Times New Roman" w:cs="Times New Roman"/>
          <w:b/>
          <w:bCs/>
          <w:sz w:val="28"/>
          <w:szCs w:val="28"/>
          <w:lang w:val="en-US" w:eastAsia="ru-RU"/>
        </w:rPr>
        <w:t>3.</w:t>
      </w:r>
      <w:r>
        <w:rPr>
          <w:rFonts w:ascii="Times New Roman" w:eastAsia="Times New Roman" w:hAnsi="Times New Roman" w:cs="Times New Roman"/>
          <w:b/>
          <w:bCs/>
          <w:sz w:val="28"/>
          <w:szCs w:val="28"/>
          <w:lang w:val="en-US" w:eastAsia="ru-RU"/>
        </w:rPr>
        <w:t xml:space="preserve">1 </w:t>
      </w:r>
      <w:r w:rsidR="00600C79" w:rsidRPr="008862F5">
        <w:rPr>
          <w:rFonts w:ascii="Times New Roman" w:eastAsia="Times New Roman" w:hAnsi="Times New Roman" w:cs="Times New Roman"/>
          <w:b/>
          <w:bCs/>
          <w:sz w:val="28"/>
          <w:szCs w:val="28"/>
          <w:lang w:val="en-US" w:eastAsia="ru-RU"/>
        </w:rPr>
        <w:t xml:space="preserve">University-Industry Collaboration and </w:t>
      </w:r>
      <w:r w:rsidR="00600C79" w:rsidRPr="008862F5">
        <w:rPr>
          <w:rFonts w:ascii="Times New Roman" w:hAnsi="Times New Roman" w:cs="Times New Roman"/>
          <w:b/>
          <w:bCs/>
          <w:sz w:val="28"/>
          <w:szCs w:val="28"/>
          <w:lang w:val="en-US"/>
        </w:rPr>
        <w:t>AI-Driven Career Centers for Graduate Employability</w:t>
      </w:r>
    </w:p>
    <w:p w14:paraId="07B762C0" w14:textId="77777777" w:rsidR="008862F5" w:rsidRDefault="008862F5" w:rsidP="00B2633D">
      <w:pPr>
        <w:spacing w:after="0" w:line="240" w:lineRule="auto"/>
        <w:ind w:firstLine="720"/>
        <w:contextualSpacing/>
        <w:jc w:val="both"/>
        <w:rPr>
          <w:rFonts w:ascii="Times New Roman" w:eastAsia="Times New Roman" w:hAnsi="Times New Roman" w:cs="Times New Roman"/>
          <w:sz w:val="28"/>
          <w:szCs w:val="28"/>
          <w:lang w:val="en-US"/>
        </w:rPr>
      </w:pPr>
    </w:p>
    <w:p w14:paraId="2BA115D4" w14:textId="02AB7BC2" w:rsidR="00600C79" w:rsidRPr="00670B01" w:rsidRDefault="00600C79" w:rsidP="00B2633D">
      <w:pPr>
        <w:spacing w:after="0" w:line="240" w:lineRule="auto"/>
        <w:ind w:firstLine="720"/>
        <w:contextualSpacing/>
        <w:jc w:val="both"/>
        <w:rPr>
          <w:rFonts w:ascii="Times New Roman" w:eastAsia="Times New Roman" w:hAnsi="Times New Roman" w:cs="Times New Roman"/>
          <w:sz w:val="28"/>
          <w:szCs w:val="28"/>
          <w:lang w:val="en-US"/>
        </w:rPr>
      </w:pPr>
      <w:r w:rsidRPr="00670B01">
        <w:rPr>
          <w:rFonts w:ascii="Times New Roman" w:eastAsia="Times New Roman" w:hAnsi="Times New Roman" w:cs="Times New Roman"/>
          <w:sz w:val="28"/>
          <w:szCs w:val="28"/>
          <w:lang w:val="en-US"/>
        </w:rPr>
        <w:t xml:space="preserve">Integrating artificial intelligence (AI) into university career </w:t>
      </w:r>
      <w:proofErr w:type="spellStart"/>
      <w:r w:rsidRPr="00670B01">
        <w:rPr>
          <w:rFonts w:ascii="Times New Roman" w:eastAsia="Times New Roman" w:hAnsi="Times New Roman" w:cs="Times New Roman"/>
          <w:sz w:val="28"/>
          <w:szCs w:val="28"/>
          <w:lang w:val="en-US"/>
        </w:rPr>
        <w:t>centres</w:t>
      </w:r>
      <w:proofErr w:type="spellEnd"/>
      <w:r w:rsidRPr="00670B01">
        <w:rPr>
          <w:rFonts w:ascii="Times New Roman" w:eastAsia="Times New Roman" w:hAnsi="Times New Roman" w:cs="Times New Roman"/>
          <w:sz w:val="28"/>
          <w:szCs w:val="28"/>
          <w:lang w:val="en-US"/>
        </w:rPr>
        <w:t xml:space="preserve"> is a significant breakthrough for aligning higher education with the increasing global </w:t>
      </w:r>
      <w:proofErr w:type="spellStart"/>
      <w:r w:rsidRPr="00670B01">
        <w:rPr>
          <w:rFonts w:ascii="Times New Roman" w:eastAsia="Times New Roman" w:hAnsi="Times New Roman" w:cs="Times New Roman"/>
          <w:sz w:val="28"/>
          <w:szCs w:val="28"/>
          <w:lang w:val="en-US"/>
        </w:rPr>
        <w:t>labour</w:t>
      </w:r>
      <w:proofErr w:type="spellEnd"/>
      <w:r w:rsidRPr="00670B01">
        <w:rPr>
          <w:rFonts w:ascii="Times New Roman" w:eastAsia="Times New Roman" w:hAnsi="Times New Roman" w:cs="Times New Roman"/>
          <w:sz w:val="28"/>
          <w:szCs w:val="28"/>
          <w:lang w:val="en-US"/>
        </w:rPr>
        <w:t xml:space="preserve"> market demands. Although Kazakhstan's colleges struggle with ongoing challenges in closing the gap between graduate credentials and industry expectations, the strategic use of artificial intelligence provides a timely fix for support of student employability, labor market alignment, and career services enhancement. Though artificial intelligence-driven career portals are now globally advanced, Kazakhstani universities are still underused. Inspired by global research and comparative models, this explanation suggests a theoretically informed and evidence-based basis for introducing artificial intelligence technology into university career development systems to increase graduate outcomes and institutional responsiveness.</w:t>
      </w:r>
    </w:p>
    <w:p w14:paraId="5DCF3E21" w14:textId="775FB15F" w:rsidR="00600C79" w:rsidRDefault="00600C79" w:rsidP="00B2633D">
      <w:pPr>
        <w:spacing w:after="0" w:line="240" w:lineRule="auto"/>
        <w:ind w:firstLine="720"/>
        <w:contextualSpacing/>
        <w:jc w:val="both"/>
        <w:rPr>
          <w:rFonts w:ascii="Times New Roman" w:eastAsia="Times New Roman" w:hAnsi="Times New Roman" w:cs="Times New Roman"/>
          <w:sz w:val="28"/>
          <w:szCs w:val="28"/>
          <w:lang w:val="en-US"/>
        </w:rPr>
      </w:pPr>
      <w:r w:rsidRPr="00670B01">
        <w:rPr>
          <w:rFonts w:ascii="Times New Roman" w:eastAsia="Times New Roman" w:hAnsi="Times New Roman" w:cs="Times New Roman"/>
          <w:sz w:val="28"/>
          <w:szCs w:val="28"/>
          <w:lang w:val="en-US"/>
        </w:rPr>
        <w:t xml:space="preserve"> Using predictive modelling, machine learning, and big data to connect student characteristics with </w:t>
      </w:r>
      <w:proofErr w:type="spellStart"/>
      <w:r w:rsidRPr="00670B01">
        <w:rPr>
          <w:rFonts w:ascii="Times New Roman" w:eastAsia="Times New Roman" w:hAnsi="Times New Roman" w:cs="Times New Roman"/>
          <w:sz w:val="28"/>
          <w:szCs w:val="28"/>
          <w:lang w:val="en-US"/>
        </w:rPr>
        <w:t>labour</w:t>
      </w:r>
      <w:proofErr w:type="spellEnd"/>
      <w:r w:rsidRPr="00670B01">
        <w:rPr>
          <w:rFonts w:ascii="Times New Roman" w:eastAsia="Times New Roman" w:hAnsi="Times New Roman" w:cs="Times New Roman"/>
          <w:sz w:val="28"/>
          <w:szCs w:val="28"/>
          <w:lang w:val="en-US"/>
        </w:rPr>
        <w:t xml:space="preserve"> market possibilities will help artificial intelligence enhance career advice services. It can increase placement rates and reduce mismatches between graduate capacity and company needs</w:t>
      </w:r>
      <w:r w:rsidR="003E7B10">
        <w:rPr>
          <w:rFonts w:ascii="Times New Roman" w:eastAsia="Times New Roman" w:hAnsi="Times New Roman" w:cs="Times New Roman"/>
          <w:sz w:val="28"/>
          <w:szCs w:val="28"/>
          <w:lang w:val="en-US"/>
        </w:rPr>
        <w:t xml:space="preserve"> [25</w:t>
      </w:r>
      <w:r w:rsidR="00F44B8C">
        <w:rPr>
          <w:rFonts w:ascii="Times New Roman" w:eastAsia="Times New Roman" w:hAnsi="Times New Roman" w:cs="Times New Roman"/>
          <w:sz w:val="28"/>
          <w:szCs w:val="28"/>
          <w:lang w:val="en-US"/>
        </w:rPr>
        <w:t>6</w:t>
      </w:r>
      <w:r w:rsidR="003E7B10">
        <w:rPr>
          <w:rFonts w:ascii="Times New Roman" w:eastAsia="Times New Roman" w:hAnsi="Times New Roman" w:cs="Times New Roman"/>
          <w:sz w:val="28"/>
          <w:szCs w:val="28"/>
          <w:lang w:val="en-US"/>
        </w:rPr>
        <w:t xml:space="preserve">]. </w:t>
      </w:r>
      <w:r w:rsidRPr="00670B01">
        <w:rPr>
          <w:rFonts w:ascii="Times New Roman" w:eastAsia="Times New Roman" w:hAnsi="Times New Roman" w:cs="Times New Roman"/>
          <w:sz w:val="28"/>
          <w:szCs w:val="28"/>
          <w:lang w:val="en-US"/>
        </w:rPr>
        <w:t>These technologies solve the resource restrictions of conventional career services and enable a shift towards more dynamic, responsive, and tailored employability help.</w:t>
      </w:r>
    </w:p>
    <w:p w14:paraId="728F6934" w14:textId="3E4D2ACB" w:rsidR="00600C79" w:rsidRPr="00670B01" w:rsidRDefault="00600C79" w:rsidP="00B2633D">
      <w:pPr>
        <w:spacing w:after="0" w:line="240" w:lineRule="auto"/>
        <w:ind w:firstLine="720"/>
        <w:contextualSpacing/>
        <w:jc w:val="both"/>
        <w:rPr>
          <w:rFonts w:ascii="Times New Roman" w:eastAsia="Times New Roman" w:hAnsi="Times New Roman" w:cs="Times New Roman"/>
          <w:sz w:val="28"/>
          <w:szCs w:val="28"/>
          <w:lang w:val="en-US"/>
        </w:rPr>
      </w:pPr>
      <w:r w:rsidRPr="00670B01">
        <w:rPr>
          <w:rFonts w:ascii="Times New Roman" w:eastAsia="Times New Roman" w:hAnsi="Times New Roman" w:cs="Times New Roman"/>
          <w:sz w:val="28"/>
          <w:szCs w:val="28"/>
          <w:lang w:val="en-US"/>
        </w:rPr>
        <w:t xml:space="preserve">International case studies substantiate the transformative impact of AI in higher education. </w:t>
      </w:r>
      <w:r w:rsidRPr="003E7B10">
        <w:rPr>
          <w:rFonts w:ascii="Times New Roman" w:eastAsia="Times New Roman" w:hAnsi="Times New Roman" w:cs="Times New Roman"/>
          <w:sz w:val="28"/>
          <w:szCs w:val="28"/>
          <w:lang w:val="en-US"/>
        </w:rPr>
        <w:t xml:space="preserve">Parveen and </w:t>
      </w:r>
      <w:proofErr w:type="spellStart"/>
      <w:r w:rsidRPr="003E7B10">
        <w:rPr>
          <w:rFonts w:ascii="Times New Roman" w:eastAsia="Times New Roman" w:hAnsi="Times New Roman" w:cs="Times New Roman"/>
          <w:sz w:val="28"/>
          <w:szCs w:val="28"/>
          <w:lang w:val="en-US"/>
        </w:rPr>
        <w:t>Alkudsi</w:t>
      </w:r>
      <w:proofErr w:type="spellEnd"/>
      <w:r w:rsidRPr="00670B01">
        <w:rPr>
          <w:rFonts w:ascii="Times New Roman" w:eastAsia="Times New Roman" w:hAnsi="Times New Roman" w:cs="Times New Roman"/>
          <w:sz w:val="28"/>
          <w:szCs w:val="28"/>
          <w:lang w:val="en-US"/>
        </w:rPr>
        <w:t xml:space="preserve"> surveyed undergraduate and graduate students in Saudi Arabia and found strong student support for AI integration in educational and career planning</w:t>
      </w:r>
      <w:r w:rsidR="003E7B10">
        <w:rPr>
          <w:rFonts w:ascii="Times New Roman" w:eastAsia="Times New Roman" w:hAnsi="Times New Roman" w:cs="Times New Roman"/>
          <w:sz w:val="28"/>
          <w:szCs w:val="28"/>
          <w:lang w:val="en-US"/>
        </w:rPr>
        <w:t xml:space="preserve"> [25</w:t>
      </w:r>
      <w:r w:rsidR="00F44B8C">
        <w:rPr>
          <w:rFonts w:ascii="Times New Roman" w:eastAsia="Times New Roman" w:hAnsi="Times New Roman" w:cs="Times New Roman"/>
          <w:sz w:val="28"/>
          <w:szCs w:val="28"/>
          <w:lang w:val="en-US"/>
        </w:rPr>
        <w:t>7</w:t>
      </w:r>
      <w:r w:rsidR="003E7B10">
        <w:rPr>
          <w:rFonts w:ascii="Times New Roman" w:eastAsia="Times New Roman" w:hAnsi="Times New Roman" w:cs="Times New Roman"/>
          <w:sz w:val="28"/>
          <w:szCs w:val="28"/>
          <w:lang w:val="en-US"/>
        </w:rPr>
        <w:t>]</w:t>
      </w:r>
      <w:r w:rsidRPr="00670B01">
        <w:rPr>
          <w:rFonts w:ascii="Times New Roman" w:eastAsia="Times New Roman" w:hAnsi="Times New Roman" w:cs="Times New Roman"/>
          <w:sz w:val="28"/>
          <w:szCs w:val="28"/>
          <w:lang w:val="en-US"/>
        </w:rPr>
        <w:t xml:space="preserve">. Students recognized AI's capacity to enhance their critical thinking, adaptability, and decision-making skills through </w:t>
      </w:r>
      <w:proofErr w:type="spellStart"/>
      <w:r w:rsidRPr="00670B01">
        <w:rPr>
          <w:rFonts w:ascii="Times New Roman" w:eastAsia="Times New Roman" w:hAnsi="Times New Roman" w:cs="Times New Roman"/>
          <w:sz w:val="28"/>
          <w:szCs w:val="28"/>
          <w:lang w:val="en-US"/>
        </w:rPr>
        <w:t>customised</w:t>
      </w:r>
      <w:proofErr w:type="spellEnd"/>
      <w:r w:rsidRPr="00670B01">
        <w:rPr>
          <w:rFonts w:ascii="Times New Roman" w:eastAsia="Times New Roman" w:hAnsi="Times New Roman" w:cs="Times New Roman"/>
          <w:sz w:val="28"/>
          <w:szCs w:val="28"/>
          <w:lang w:val="en-US"/>
        </w:rPr>
        <w:t xml:space="preserve"> learning trajectories and access to industry-relevant tools. This evidence substantiates the assertion that career platforms founded on artificial intelligence offer educational benefits and administrative efficacy. In a related study, </w:t>
      </w:r>
      <w:r w:rsidRPr="003E7B10">
        <w:rPr>
          <w:rFonts w:ascii="Times New Roman" w:eastAsia="Times New Roman" w:hAnsi="Times New Roman" w:cs="Times New Roman"/>
          <w:sz w:val="28"/>
          <w:szCs w:val="28"/>
          <w:lang w:val="en-US"/>
        </w:rPr>
        <w:t xml:space="preserve">Bennett et al. </w:t>
      </w:r>
      <w:r w:rsidRPr="00670B01">
        <w:rPr>
          <w:rFonts w:ascii="Times New Roman" w:eastAsia="Times New Roman" w:hAnsi="Times New Roman" w:cs="Times New Roman"/>
          <w:sz w:val="28"/>
          <w:szCs w:val="28"/>
          <w:lang w:val="en-US"/>
        </w:rPr>
        <w:t>showed that research-intensive universities use their websites to share hiring strategies, usually stressing digital tools and platforms as essential infrastructure components</w:t>
      </w:r>
      <w:r w:rsidR="003E7B10">
        <w:rPr>
          <w:rFonts w:ascii="Times New Roman" w:eastAsia="Times New Roman" w:hAnsi="Times New Roman" w:cs="Times New Roman"/>
          <w:sz w:val="28"/>
          <w:szCs w:val="28"/>
          <w:lang w:val="en-US"/>
        </w:rPr>
        <w:t xml:space="preserve"> [25</w:t>
      </w:r>
      <w:r w:rsidR="00F44B8C">
        <w:rPr>
          <w:rFonts w:ascii="Times New Roman" w:eastAsia="Times New Roman" w:hAnsi="Times New Roman" w:cs="Times New Roman"/>
          <w:sz w:val="28"/>
          <w:szCs w:val="28"/>
          <w:lang w:val="en-US"/>
        </w:rPr>
        <w:t>8</w:t>
      </w:r>
      <w:r w:rsidR="003E7B10">
        <w:rPr>
          <w:rFonts w:ascii="Times New Roman" w:eastAsia="Times New Roman" w:hAnsi="Times New Roman" w:cs="Times New Roman"/>
          <w:sz w:val="28"/>
          <w:szCs w:val="28"/>
          <w:lang w:val="en-US"/>
        </w:rPr>
        <w:t>]</w:t>
      </w:r>
      <w:r w:rsidRPr="00670B01">
        <w:rPr>
          <w:rFonts w:ascii="Times New Roman" w:eastAsia="Times New Roman" w:hAnsi="Times New Roman" w:cs="Times New Roman"/>
          <w:sz w:val="28"/>
          <w:szCs w:val="28"/>
          <w:lang w:val="en-US"/>
        </w:rPr>
        <w:t xml:space="preserve">. It highlights the imperative for Kazakhstani universities to modernize and digitize their career services to maintain competitiveness and meet student expectations. A passive, informational model of career services is insufficient in the face of evolving </w:t>
      </w:r>
      <w:proofErr w:type="spellStart"/>
      <w:r w:rsidRPr="00670B01">
        <w:rPr>
          <w:rFonts w:ascii="Times New Roman" w:eastAsia="Times New Roman" w:hAnsi="Times New Roman" w:cs="Times New Roman"/>
          <w:sz w:val="28"/>
          <w:szCs w:val="28"/>
          <w:lang w:val="en-US"/>
        </w:rPr>
        <w:t>labour</w:t>
      </w:r>
      <w:proofErr w:type="spellEnd"/>
      <w:r w:rsidRPr="00670B01">
        <w:rPr>
          <w:rFonts w:ascii="Times New Roman" w:eastAsia="Times New Roman" w:hAnsi="Times New Roman" w:cs="Times New Roman"/>
          <w:sz w:val="28"/>
          <w:szCs w:val="28"/>
          <w:lang w:val="en-US"/>
        </w:rPr>
        <w:t xml:space="preserve"> market complexity.</w:t>
      </w:r>
    </w:p>
    <w:p w14:paraId="02C3DB58" w14:textId="56889858" w:rsidR="00600C79" w:rsidRDefault="00600C79" w:rsidP="00B2633D">
      <w:pPr>
        <w:spacing w:after="0" w:line="240" w:lineRule="auto"/>
        <w:ind w:firstLine="720"/>
        <w:contextualSpacing/>
        <w:jc w:val="both"/>
        <w:rPr>
          <w:rFonts w:ascii="Times New Roman" w:eastAsia="Times New Roman" w:hAnsi="Times New Roman" w:cs="Times New Roman"/>
          <w:sz w:val="28"/>
          <w:szCs w:val="28"/>
          <w:lang w:val="en-US"/>
        </w:rPr>
      </w:pPr>
      <w:r w:rsidRPr="00670B01">
        <w:rPr>
          <w:rFonts w:ascii="Times New Roman" w:eastAsia="Times New Roman" w:hAnsi="Times New Roman" w:cs="Times New Roman"/>
          <w:sz w:val="28"/>
          <w:szCs w:val="28"/>
          <w:lang w:val="en-US"/>
        </w:rPr>
        <w:t>The literature also affirms the value of dynamic skill matching and AI-supported career pathing. In Kazakhstan, where economic diversification is a policy priority, such forward-looking systems are particularly pertinent.</w:t>
      </w:r>
      <w:r w:rsidR="003E7B10">
        <w:rPr>
          <w:rFonts w:ascii="Times New Roman" w:eastAsia="Times New Roman" w:hAnsi="Times New Roman" w:cs="Times New Roman"/>
          <w:sz w:val="28"/>
          <w:szCs w:val="28"/>
          <w:lang w:val="en-US"/>
        </w:rPr>
        <w:t xml:space="preserve"> </w:t>
      </w:r>
    </w:p>
    <w:p w14:paraId="2EC25E5D" w14:textId="444FE1C5" w:rsidR="00600C79" w:rsidRPr="00642B7E" w:rsidRDefault="00600C79" w:rsidP="00B2633D">
      <w:pPr>
        <w:spacing w:after="0" w:line="240" w:lineRule="auto"/>
        <w:ind w:firstLine="720"/>
        <w:contextualSpacing/>
        <w:jc w:val="both"/>
        <w:rPr>
          <w:rFonts w:ascii="Times New Roman" w:eastAsia="Times New Roman" w:hAnsi="Times New Roman" w:cs="Times New Roman"/>
          <w:sz w:val="28"/>
          <w:szCs w:val="28"/>
          <w:lang w:val="en-US"/>
        </w:rPr>
      </w:pPr>
      <w:r w:rsidRPr="00642B7E">
        <w:rPr>
          <w:rFonts w:ascii="Times New Roman" w:eastAsia="Times New Roman" w:hAnsi="Times New Roman" w:cs="Times New Roman"/>
          <w:sz w:val="28"/>
          <w:szCs w:val="28"/>
          <w:lang w:val="en-US"/>
        </w:rPr>
        <w:t xml:space="preserve">Employability must also be understood through the lens of university-industry collaboration. </w:t>
      </w:r>
      <w:proofErr w:type="spellStart"/>
      <w:r w:rsidRPr="003E7B10">
        <w:rPr>
          <w:rFonts w:ascii="Times New Roman" w:eastAsia="Times New Roman" w:hAnsi="Times New Roman" w:cs="Times New Roman"/>
          <w:sz w:val="28"/>
          <w:szCs w:val="28"/>
          <w:lang w:val="en-US"/>
        </w:rPr>
        <w:t>Ishengoma</w:t>
      </w:r>
      <w:proofErr w:type="spellEnd"/>
      <w:r w:rsidRPr="003E7B10">
        <w:rPr>
          <w:rFonts w:ascii="Times New Roman" w:eastAsia="Times New Roman" w:hAnsi="Times New Roman" w:cs="Times New Roman"/>
          <w:sz w:val="28"/>
          <w:szCs w:val="28"/>
          <w:lang w:val="en-US"/>
        </w:rPr>
        <w:t xml:space="preserve"> and </w:t>
      </w:r>
      <w:proofErr w:type="spellStart"/>
      <w:r w:rsidRPr="003E7B10">
        <w:rPr>
          <w:rFonts w:ascii="Times New Roman" w:eastAsia="Times New Roman" w:hAnsi="Times New Roman" w:cs="Times New Roman"/>
          <w:sz w:val="28"/>
          <w:szCs w:val="28"/>
          <w:lang w:val="en-US"/>
        </w:rPr>
        <w:t>Vaaland</w:t>
      </w:r>
      <w:proofErr w:type="spellEnd"/>
      <w:r w:rsidR="003E7B10">
        <w:rPr>
          <w:rFonts w:ascii="Times New Roman" w:eastAsia="Times New Roman" w:hAnsi="Times New Roman" w:cs="Times New Roman"/>
          <w:sz w:val="28"/>
          <w:szCs w:val="28"/>
          <w:lang w:val="en-US"/>
        </w:rPr>
        <w:t xml:space="preserve"> </w:t>
      </w:r>
      <w:r w:rsidRPr="00642B7E">
        <w:rPr>
          <w:rFonts w:ascii="Times New Roman" w:eastAsia="Times New Roman" w:hAnsi="Times New Roman" w:cs="Times New Roman"/>
          <w:sz w:val="28"/>
          <w:szCs w:val="28"/>
          <w:lang w:val="en-US"/>
        </w:rPr>
        <w:t>examined the potential of university-industry linkages (UILs) to enhance graduate employability through curriculum alignment, internships, and research partnerships</w:t>
      </w:r>
      <w:r w:rsidR="003E7B10">
        <w:rPr>
          <w:rFonts w:ascii="Times New Roman" w:eastAsia="Times New Roman" w:hAnsi="Times New Roman" w:cs="Times New Roman"/>
          <w:sz w:val="28"/>
          <w:szCs w:val="28"/>
          <w:lang w:val="en-US"/>
        </w:rPr>
        <w:t xml:space="preserve"> [2</w:t>
      </w:r>
      <w:r w:rsidR="00F44B8C">
        <w:rPr>
          <w:rFonts w:ascii="Times New Roman" w:eastAsia="Times New Roman" w:hAnsi="Times New Roman" w:cs="Times New Roman"/>
          <w:sz w:val="28"/>
          <w:szCs w:val="28"/>
          <w:lang w:val="en-US"/>
        </w:rPr>
        <w:t>59</w:t>
      </w:r>
      <w:r w:rsidR="003E7B10">
        <w:rPr>
          <w:rFonts w:ascii="Times New Roman" w:eastAsia="Times New Roman" w:hAnsi="Times New Roman" w:cs="Times New Roman"/>
          <w:sz w:val="28"/>
          <w:szCs w:val="28"/>
          <w:lang w:val="en-US"/>
        </w:rPr>
        <w:t>]</w:t>
      </w:r>
      <w:r w:rsidRPr="00642B7E">
        <w:rPr>
          <w:rFonts w:ascii="Times New Roman" w:eastAsia="Times New Roman" w:hAnsi="Times New Roman" w:cs="Times New Roman"/>
          <w:sz w:val="28"/>
          <w:szCs w:val="28"/>
          <w:lang w:val="en-US"/>
        </w:rPr>
        <w:t xml:space="preserve">. Although UILs are crucial, adding </w:t>
      </w:r>
      <w:r w:rsidRPr="00642B7E">
        <w:rPr>
          <w:rFonts w:ascii="Times New Roman" w:eastAsia="Times New Roman" w:hAnsi="Times New Roman" w:cs="Times New Roman"/>
          <w:sz w:val="28"/>
          <w:szCs w:val="28"/>
          <w:lang w:val="en-US"/>
        </w:rPr>
        <w:lastRenderedPageBreak/>
        <w:t>artificial intelligence, enabling scalable data analysis, skill mapping, and employer feedback integration into educational programs will significantly improve their efficacy.</w:t>
      </w:r>
    </w:p>
    <w:p w14:paraId="71AAF3BF" w14:textId="3EA630FF" w:rsidR="00600C79" w:rsidRPr="00642B7E" w:rsidRDefault="00600C79" w:rsidP="00B2633D">
      <w:pPr>
        <w:spacing w:after="0" w:line="240" w:lineRule="auto"/>
        <w:ind w:firstLine="720"/>
        <w:contextualSpacing/>
        <w:jc w:val="both"/>
        <w:rPr>
          <w:rFonts w:ascii="Times New Roman" w:eastAsia="Times New Roman" w:hAnsi="Times New Roman" w:cs="Times New Roman"/>
          <w:sz w:val="28"/>
          <w:szCs w:val="28"/>
          <w:lang w:val="en-US"/>
        </w:rPr>
      </w:pPr>
      <w:r w:rsidRPr="00642B7E">
        <w:rPr>
          <w:rFonts w:ascii="Times New Roman" w:eastAsia="Times New Roman" w:hAnsi="Times New Roman" w:cs="Times New Roman"/>
          <w:sz w:val="28"/>
          <w:szCs w:val="28"/>
          <w:lang w:val="en-US"/>
        </w:rPr>
        <w:t xml:space="preserve"> The application of artificial intelligence in career development has ethical aspects.  Examining employee responses to AI-led career systems, </w:t>
      </w:r>
      <w:proofErr w:type="spellStart"/>
      <w:r w:rsidRPr="003E7B10">
        <w:rPr>
          <w:rFonts w:ascii="Times New Roman" w:eastAsia="Times New Roman" w:hAnsi="Times New Roman" w:cs="Times New Roman"/>
          <w:sz w:val="28"/>
          <w:szCs w:val="28"/>
          <w:lang w:val="en-US"/>
        </w:rPr>
        <w:t>Köchling</w:t>
      </w:r>
      <w:proofErr w:type="spellEnd"/>
      <w:r w:rsidRPr="003E7B10">
        <w:rPr>
          <w:rFonts w:ascii="Times New Roman" w:eastAsia="Times New Roman" w:hAnsi="Times New Roman" w:cs="Times New Roman"/>
          <w:sz w:val="28"/>
          <w:szCs w:val="28"/>
          <w:lang w:val="en-US"/>
        </w:rPr>
        <w:t xml:space="preserve"> et al.</w:t>
      </w:r>
      <w:r w:rsidR="003E7B10">
        <w:rPr>
          <w:rFonts w:ascii="Times New Roman" w:eastAsia="Times New Roman" w:hAnsi="Times New Roman" w:cs="Times New Roman"/>
          <w:sz w:val="28"/>
          <w:szCs w:val="28"/>
          <w:lang w:val="en-US"/>
        </w:rPr>
        <w:t xml:space="preserve"> </w:t>
      </w:r>
      <w:r w:rsidRPr="00642B7E">
        <w:rPr>
          <w:rFonts w:ascii="Times New Roman" w:eastAsia="Times New Roman" w:hAnsi="Times New Roman" w:cs="Times New Roman"/>
          <w:sz w:val="28"/>
          <w:szCs w:val="28"/>
          <w:lang w:val="en-US"/>
        </w:rPr>
        <w:t>found worries about justice, privacy, and less human control</w:t>
      </w:r>
      <w:r w:rsidR="003E7B10">
        <w:rPr>
          <w:rFonts w:ascii="Times New Roman" w:eastAsia="Times New Roman" w:hAnsi="Times New Roman" w:cs="Times New Roman"/>
          <w:sz w:val="28"/>
          <w:szCs w:val="28"/>
          <w:lang w:val="en-US"/>
        </w:rPr>
        <w:t xml:space="preserve"> [25</w:t>
      </w:r>
      <w:r w:rsidR="00F44B8C">
        <w:rPr>
          <w:rFonts w:ascii="Times New Roman" w:eastAsia="Times New Roman" w:hAnsi="Times New Roman" w:cs="Times New Roman"/>
          <w:sz w:val="28"/>
          <w:szCs w:val="28"/>
          <w:lang w:val="en-US"/>
        </w:rPr>
        <w:t>6</w:t>
      </w:r>
      <w:r w:rsidR="003E7B10">
        <w:rPr>
          <w:rFonts w:ascii="Times New Roman" w:eastAsia="Times New Roman" w:hAnsi="Times New Roman" w:cs="Times New Roman"/>
          <w:sz w:val="28"/>
          <w:szCs w:val="28"/>
          <w:lang w:val="en-US"/>
        </w:rPr>
        <w:t>, p. 1201]</w:t>
      </w:r>
      <w:r w:rsidRPr="00642B7E">
        <w:rPr>
          <w:rFonts w:ascii="Times New Roman" w:eastAsia="Times New Roman" w:hAnsi="Times New Roman" w:cs="Times New Roman"/>
          <w:sz w:val="28"/>
          <w:szCs w:val="28"/>
          <w:lang w:val="en-US"/>
        </w:rPr>
        <w:t>.  Embedding transparency, responsibility, and hybrid decision-making models combining algorithmic recommendations with human judgment helps to reduce these risks.  Such methods guarantee that artificial intelligence improves rather than replaces human interaction.</w:t>
      </w:r>
    </w:p>
    <w:p w14:paraId="4655CEB0" w14:textId="42A9FD7C" w:rsidR="00600C79" w:rsidRDefault="00600C79" w:rsidP="00B2633D">
      <w:pPr>
        <w:spacing w:after="0" w:line="240" w:lineRule="auto"/>
        <w:ind w:firstLine="720"/>
        <w:contextualSpacing/>
        <w:jc w:val="both"/>
        <w:rPr>
          <w:rFonts w:ascii="Times New Roman" w:eastAsia="Times New Roman" w:hAnsi="Times New Roman" w:cs="Times New Roman"/>
          <w:sz w:val="28"/>
          <w:szCs w:val="28"/>
          <w:lang w:val="en-US"/>
        </w:rPr>
      </w:pPr>
      <w:r w:rsidRPr="00642B7E">
        <w:rPr>
          <w:rFonts w:ascii="Times New Roman" w:eastAsia="Times New Roman" w:hAnsi="Times New Roman" w:cs="Times New Roman"/>
          <w:sz w:val="28"/>
          <w:szCs w:val="28"/>
          <w:lang w:val="en-US"/>
        </w:rPr>
        <w:t xml:space="preserve"> The books also interact with criticisms of the employability agenda. </w:t>
      </w:r>
      <w:r w:rsidRPr="003D64FF">
        <w:rPr>
          <w:rFonts w:ascii="Times New Roman" w:eastAsia="Times New Roman" w:hAnsi="Times New Roman" w:cs="Times New Roman"/>
          <w:sz w:val="28"/>
          <w:szCs w:val="28"/>
          <w:lang w:val="en-US"/>
        </w:rPr>
        <w:t>McCowan</w:t>
      </w:r>
      <w:r w:rsidRPr="00642B7E">
        <w:rPr>
          <w:rFonts w:ascii="Times New Roman" w:eastAsia="Times New Roman" w:hAnsi="Times New Roman" w:cs="Times New Roman"/>
          <w:sz w:val="28"/>
          <w:szCs w:val="28"/>
          <w:lang w:val="en-US"/>
        </w:rPr>
        <w:t xml:space="preserve"> advises institutions to keep their larger goal of promoting human development rather than using education just for market results and cautions against instrumentalizing it</w:t>
      </w:r>
      <w:r w:rsidR="003D64FF">
        <w:rPr>
          <w:rFonts w:ascii="Times New Roman" w:eastAsia="Times New Roman" w:hAnsi="Times New Roman" w:cs="Times New Roman"/>
          <w:sz w:val="28"/>
          <w:szCs w:val="28"/>
          <w:lang w:val="en-US"/>
        </w:rPr>
        <w:t xml:space="preserve"> [26</w:t>
      </w:r>
      <w:r w:rsidR="00F44B8C">
        <w:rPr>
          <w:rFonts w:ascii="Times New Roman" w:eastAsia="Times New Roman" w:hAnsi="Times New Roman" w:cs="Times New Roman"/>
          <w:sz w:val="28"/>
          <w:szCs w:val="28"/>
          <w:lang w:val="en-US"/>
        </w:rPr>
        <w:t>0</w:t>
      </w:r>
      <w:r w:rsidR="003D64FF">
        <w:rPr>
          <w:rFonts w:ascii="Times New Roman" w:eastAsia="Times New Roman" w:hAnsi="Times New Roman" w:cs="Times New Roman"/>
          <w:sz w:val="28"/>
          <w:szCs w:val="28"/>
          <w:lang w:val="en-US"/>
        </w:rPr>
        <w:t>]</w:t>
      </w:r>
      <w:r w:rsidRPr="00642B7E">
        <w:rPr>
          <w:rFonts w:ascii="Times New Roman" w:eastAsia="Times New Roman" w:hAnsi="Times New Roman" w:cs="Times New Roman"/>
          <w:sz w:val="28"/>
          <w:szCs w:val="28"/>
          <w:lang w:val="en-US"/>
        </w:rPr>
        <w:t xml:space="preserve">. AI should thus be framed not just as a </w:t>
      </w:r>
      <w:proofErr w:type="spellStart"/>
      <w:r w:rsidRPr="00642B7E">
        <w:rPr>
          <w:rFonts w:ascii="Times New Roman" w:eastAsia="Times New Roman" w:hAnsi="Times New Roman" w:cs="Times New Roman"/>
          <w:sz w:val="28"/>
          <w:szCs w:val="28"/>
          <w:lang w:val="en-US"/>
        </w:rPr>
        <w:t>labour</w:t>
      </w:r>
      <w:proofErr w:type="spellEnd"/>
      <w:r w:rsidRPr="00642B7E">
        <w:rPr>
          <w:rFonts w:ascii="Times New Roman" w:eastAsia="Times New Roman" w:hAnsi="Times New Roman" w:cs="Times New Roman"/>
          <w:sz w:val="28"/>
          <w:szCs w:val="28"/>
          <w:lang w:val="en-US"/>
        </w:rPr>
        <w:t xml:space="preserve"> market tool but as an enabler of informed, meaningful career decisions that reflect students’ aspirations and values.</w:t>
      </w:r>
    </w:p>
    <w:p w14:paraId="64E709C8" w14:textId="398A9882" w:rsidR="00600C79" w:rsidRPr="00642B7E" w:rsidRDefault="00600C79" w:rsidP="00B2633D">
      <w:pPr>
        <w:spacing w:after="0" w:line="240" w:lineRule="auto"/>
        <w:ind w:firstLine="720"/>
        <w:contextualSpacing/>
        <w:jc w:val="both"/>
        <w:rPr>
          <w:rFonts w:ascii="Times New Roman" w:eastAsia="Times New Roman" w:hAnsi="Times New Roman" w:cs="Times New Roman"/>
          <w:sz w:val="28"/>
          <w:szCs w:val="28"/>
          <w:lang w:val="en-US"/>
        </w:rPr>
      </w:pPr>
      <w:r w:rsidRPr="00642B7E">
        <w:rPr>
          <w:rFonts w:ascii="Times New Roman" w:eastAsia="Times New Roman" w:hAnsi="Times New Roman" w:cs="Times New Roman"/>
          <w:sz w:val="28"/>
          <w:szCs w:val="28"/>
          <w:lang w:val="en-US"/>
        </w:rPr>
        <w:t xml:space="preserve">Global practices highlight even more AI's influence.  While UC Berkeley forecasts industry trends and new employment positions, Carnegie Mellon University uses AI in the United States for </w:t>
      </w:r>
      <w:proofErr w:type="spellStart"/>
      <w:r w:rsidRPr="00642B7E">
        <w:rPr>
          <w:rFonts w:ascii="Times New Roman" w:eastAsia="Times New Roman" w:hAnsi="Times New Roman" w:cs="Times New Roman"/>
          <w:sz w:val="28"/>
          <w:szCs w:val="28"/>
          <w:lang w:val="en-US"/>
        </w:rPr>
        <w:t>personalised</w:t>
      </w:r>
      <w:proofErr w:type="spellEnd"/>
      <w:r w:rsidRPr="00642B7E">
        <w:rPr>
          <w:rFonts w:ascii="Times New Roman" w:eastAsia="Times New Roman" w:hAnsi="Times New Roman" w:cs="Times New Roman"/>
          <w:sz w:val="28"/>
          <w:szCs w:val="28"/>
          <w:lang w:val="en-US"/>
        </w:rPr>
        <w:t xml:space="preserve"> career assistance, job matching, and talent assessments</w:t>
      </w:r>
      <w:r w:rsidR="003D64FF">
        <w:rPr>
          <w:rFonts w:ascii="Times New Roman" w:eastAsia="Times New Roman" w:hAnsi="Times New Roman" w:cs="Times New Roman"/>
          <w:sz w:val="28"/>
          <w:szCs w:val="28"/>
          <w:lang w:val="en-US"/>
        </w:rPr>
        <w:t xml:space="preserve"> [25</w:t>
      </w:r>
      <w:r w:rsidR="00F44B8C">
        <w:rPr>
          <w:rFonts w:ascii="Times New Roman" w:eastAsia="Times New Roman" w:hAnsi="Times New Roman" w:cs="Times New Roman"/>
          <w:sz w:val="28"/>
          <w:szCs w:val="28"/>
          <w:lang w:val="en-US"/>
        </w:rPr>
        <w:t>7</w:t>
      </w:r>
      <w:r w:rsidR="003D64FF">
        <w:rPr>
          <w:rFonts w:ascii="Times New Roman" w:eastAsia="Times New Roman" w:hAnsi="Times New Roman" w:cs="Times New Roman"/>
          <w:sz w:val="28"/>
          <w:szCs w:val="28"/>
          <w:lang w:val="en-US"/>
        </w:rPr>
        <w:t xml:space="preserve">, p. 13]. </w:t>
      </w:r>
      <w:r w:rsidRPr="00642B7E">
        <w:rPr>
          <w:rFonts w:ascii="Times New Roman" w:eastAsia="Times New Roman" w:hAnsi="Times New Roman" w:cs="Times New Roman"/>
          <w:sz w:val="28"/>
          <w:szCs w:val="28"/>
          <w:lang w:val="en-US"/>
        </w:rPr>
        <w:t xml:space="preserve">These models give Kazakhstan practical blueprints for </w:t>
      </w:r>
      <w:proofErr w:type="spellStart"/>
      <w:r w:rsidRPr="00642B7E">
        <w:rPr>
          <w:rFonts w:ascii="Times New Roman" w:eastAsia="Times New Roman" w:hAnsi="Times New Roman" w:cs="Times New Roman"/>
          <w:sz w:val="28"/>
          <w:szCs w:val="28"/>
          <w:lang w:val="en-US"/>
        </w:rPr>
        <w:t>localisation</w:t>
      </w:r>
      <w:proofErr w:type="spellEnd"/>
      <w:r w:rsidRPr="00642B7E">
        <w:rPr>
          <w:rFonts w:ascii="Times New Roman" w:eastAsia="Times New Roman" w:hAnsi="Times New Roman" w:cs="Times New Roman"/>
          <w:sz w:val="28"/>
          <w:szCs w:val="28"/>
          <w:lang w:val="en-US"/>
        </w:rPr>
        <w:t xml:space="preserve"> and adaptation.</w:t>
      </w:r>
    </w:p>
    <w:p w14:paraId="0E6F2150" w14:textId="77777777" w:rsidR="00600C79" w:rsidRPr="00642B7E" w:rsidRDefault="00600C79" w:rsidP="00B2633D">
      <w:pPr>
        <w:spacing w:after="0" w:line="240" w:lineRule="auto"/>
        <w:ind w:firstLine="720"/>
        <w:contextualSpacing/>
        <w:jc w:val="both"/>
        <w:rPr>
          <w:rFonts w:ascii="Times New Roman" w:eastAsia="Times New Roman" w:hAnsi="Times New Roman" w:cs="Times New Roman"/>
          <w:sz w:val="28"/>
          <w:szCs w:val="28"/>
          <w:lang w:val="en-US"/>
        </w:rPr>
      </w:pPr>
      <w:r w:rsidRPr="00642B7E">
        <w:rPr>
          <w:rFonts w:ascii="Times New Roman" w:eastAsia="Times New Roman" w:hAnsi="Times New Roman" w:cs="Times New Roman"/>
          <w:sz w:val="28"/>
          <w:szCs w:val="28"/>
          <w:lang w:val="en-US"/>
        </w:rPr>
        <w:t xml:space="preserve"> Further analysis of the more general literature on university-business cooperation supports the case that universities must change from passive teachers to active </w:t>
      </w:r>
      <w:proofErr w:type="spellStart"/>
      <w:r w:rsidRPr="00642B7E">
        <w:rPr>
          <w:rFonts w:ascii="Times New Roman" w:eastAsia="Times New Roman" w:hAnsi="Times New Roman" w:cs="Times New Roman"/>
          <w:sz w:val="28"/>
          <w:szCs w:val="28"/>
          <w:lang w:val="en-US"/>
        </w:rPr>
        <w:t>labour</w:t>
      </w:r>
      <w:proofErr w:type="spellEnd"/>
      <w:r w:rsidRPr="00642B7E">
        <w:rPr>
          <w:rFonts w:ascii="Times New Roman" w:eastAsia="Times New Roman" w:hAnsi="Times New Roman" w:cs="Times New Roman"/>
          <w:sz w:val="28"/>
          <w:szCs w:val="28"/>
          <w:lang w:val="en-US"/>
        </w:rPr>
        <w:t xml:space="preserve"> market intermediaries.  Improving employability calls for co-designing courses with companies, including practical experiences, and using digital tools for ongoing learning.  The process depends on artificial intelligence-based systems providing scale and real-time reachability.</w:t>
      </w:r>
    </w:p>
    <w:p w14:paraId="585DC3DE" w14:textId="77777777" w:rsidR="00600C79" w:rsidRDefault="00600C79" w:rsidP="0055199F">
      <w:pPr>
        <w:spacing w:after="0" w:line="240" w:lineRule="auto"/>
        <w:ind w:firstLine="720"/>
        <w:contextualSpacing/>
        <w:jc w:val="both"/>
        <w:rPr>
          <w:rFonts w:ascii="Times New Roman" w:eastAsia="Times New Roman" w:hAnsi="Times New Roman" w:cs="Times New Roman"/>
          <w:sz w:val="28"/>
          <w:szCs w:val="28"/>
          <w:lang w:val="en-US"/>
        </w:rPr>
      </w:pPr>
      <w:r w:rsidRPr="00642B7E">
        <w:rPr>
          <w:rFonts w:ascii="Times New Roman" w:eastAsia="Times New Roman" w:hAnsi="Times New Roman" w:cs="Times New Roman"/>
          <w:sz w:val="28"/>
          <w:szCs w:val="28"/>
          <w:lang w:val="en-US"/>
        </w:rPr>
        <w:t xml:space="preserve"> To sum up, the research examined firmly supports the incorporation of artificial intelligence into university career </w:t>
      </w:r>
      <w:proofErr w:type="spellStart"/>
      <w:r w:rsidRPr="00642B7E">
        <w:rPr>
          <w:rFonts w:ascii="Times New Roman" w:eastAsia="Times New Roman" w:hAnsi="Times New Roman" w:cs="Times New Roman"/>
          <w:sz w:val="28"/>
          <w:szCs w:val="28"/>
          <w:lang w:val="en-US"/>
        </w:rPr>
        <w:t>centres</w:t>
      </w:r>
      <w:proofErr w:type="spellEnd"/>
      <w:r w:rsidRPr="00642B7E">
        <w:rPr>
          <w:rFonts w:ascii="Times New Roman" w:eastAsia="Times New Roman" w:hAnsi="Times New Roman" w:cs="Times New Roman"/>
          <w:sz w:val="28"/>
          <w:szCs w:val="28"/>
          <w:lang w:val="en-US"/>
        </w:rPr>
        <w:t xml:space="preserve"> as a necessary innovation to improve graduate employability. These technologies present ethical, scalable, and pragmatic answers to problems with the systematic transition from education to employment. Adopting AI in career services for Kazakhstan is feasible and essential for aligning higher education with economic development goals</w:t>
      </w:r>
      <w:r>
        <w:rPr>
          <w:rFonts w:ascii="Times New Roman" w:eastAsia="Times New Roman" w:hAnsi="Times New Roman" w:cs="Times New Roman"/>
          <w:sz w:val="28"/>
          <w:szCs w:val="28"/>
          <w:lang w:val="en-US"/>
        </w:rPr>
        <w:t>.</w:t>
      </w:r>
    </w:p>
    <w:p w14:paraId="202FF245" w14:textId="77777777" w:rsidR="00600C79" w:rsidRPr="00A16D8C" w:rsidRDefault="00600C79" w:rsidP="00B2633D">
      <w:pPr>
        <w:spacing w:after="0" w:line="240" w:lineRule="auto"/>
        <w:ind w:firstLine="720"/>
        <w:contextualSpacing/>
        <w:rPr>
          <w:rFonts w:ascii="Times New Roman" w:hAnsi="Times New Roman" w:cs="Times New Roman"/>
          <w:i/>
          <w:iCs/>
          <w:sz w:val="28"/>
          <w:szCs w:val="28"/>
          <w:lang w:val="en-US"/>
        </w:rPr>
      </w:pPr>
      <w:r w:rsidRPr="00A16D8C">
        <w:rPr>
          <w:rFonts w:ascii="Times New Roman" w:hAnsi="Times New Roman" w:cs="Times New Roman"/>
          <w:i/>
          <w:iCs/>
          <w:sz w:val="28"/>
          <w:szCs w:val="28"/>
          <w:lang w:val="en-US"/>
        </w:rPr>
        <w:t>Graduates’ employability enhancement via career centers</w:t>
      </w:r>
      <w:r>
        <w:rPr>
          <w:rFonts w:ascii="Times New Roman" w:hAnsi="Times New Roman" w:cs="Times New Roman"/>
          <w:i/>
          <w:iCs/>
          <w:sz w:val="28"/>
          <w:szCs w:val="28"/>
          <w:lang w:val="en-US"/>
        </w:rPr>
        <w:t>:</w:t>
      </w:r>
    </w:p>
    <w:p w14:paraId="6A6DF3A4" w14:textId="77777777" w:rsidR="00600C79" w:rsidRPr="00244343" w:rsidRDefault="00600C79" w:rsidP="00B2633D">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state establishes objectives to enhance the employment of university graduates and undertakes actions to accomplish them through the formulation and execution of diverse programs. It mainly pertains to students enrolled under the state order. </w:t>
      </w:r>
    </w:p>
    <w:p w14:paraId="1728CBB9" w14:textId="77777777" w:rsidR="00600C79" w:rsidRPr="00244343" w:rsidRDefault="00600C79" w:rsidP="00600C79">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Numerous issues exist within the realm of higher education in the republic. Some were inherited from the Soviet era, while others emerged during the years of freedom.</w:t>
      </w:r>
    </w:p>
    <w:p w14:paraId="131C3653" w14:textId="2B196F7A" w:rsidR="00600C79" w:rsidRPr="00244343" w:rsidRDefault="00600C79" w:rsidP="00600C79">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significance of higher education should be noticed, as it is a crucial aspect of a nation's economic development</w:t>
      </w:r>
      <w:r w:rsidR="0032235E">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[2</w:t>
      </w:r>
      <w:r w:rsidR="0032235E">
        <w:rPr>
          <w:rFonts w:ascii="Times New Roman" w:hAnsi="Times New Roman" w:cs="Times New Roman"/>
          <w:sz w:val="28"/>
          <w:szCs w:val="28"/>
          <w:lang w:val="en-US"/>
        </w:rPr>
        <w:t>6</w:t>
      </w:r>
      <w:r w:rsidR="00F44B8C">
        <w:rPr>
          <w:rFonts w:ascii="Times New Roman" w:hAnsi="Times New Roman" w:cs="Times New Roman"/>
          <w:sz w:val="28"/>
          <w:szCs w:val="28"/>
          <w:lang w:val="en-US"/>
        </w:rPr>
        <w:t>1</w:t>
      </w:r>
      <w:r w:rsidRPr="00244343">
        <w:rPr>
          <w:rFonts w:ascii="Times New Roman" w:hAnsi="Times New Roman" w:cs="Times New Roman"/>
          <w:sz w:val="28"/>
          <w:szCs w:val="28"/>
          <w:lang w:val="en-US"/>
        </w:rPr>
        <w:t xml:space="preserve">], demonstrated by linear regression that an increase in the number of graduates positively influences the nation's economy. </w:t>
      </w:r>
      <w:r w:rsidRPr="00244343">
        <w:rPr>
          <w:rFonts w:ascii="Times New Roman" w:hAnsi="Times New Roman" w:cs="Times New Roman"/>
          <w:sz w:val="28"/>
          <w:szCs w:val="28"/>
          <w:lang w:val="en-US"/>
        </w:rPr>
        <w:lastRenderedPageBreak/>
        <w:t xml:space="preserve">However, it's not just the quantity, but the quality of these graduates that is essential for the nation's economic success. The study's findings provide significant results into the difficulties encountered by Kazakhstani university graduates in obtaining jobs in their selected disciplines. These results augment the existing understanding of the interaction of higher education, governmental policy, and corporate participation within Kazakhstan. This research is crucial in examining the relevance of the Triple Helix concept, which aims to improve strategic development and assure favorable job outcomes for graduates and, subsequently, economic growth. </w:t>
      </w:r>
    </w:p>
    <w:p w14:paraId="3C5CD7E2" w14:textId="77777777" w:rsidR="00600C79" w:rsidRPr="00244343" w:rsidRDefault="00600C79" w:rsidP="00600C79">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empirical analysis of the study, employing the ARDL model, solidifies the notion that higher education has a lasting, positive impact on economic growth. The delayed effect of fluctuations in the number of university graduates on GDP per capita underscores the enduring nature of this correlation. These findings not only validate previous research that underscores the role of educated youth and higher education in a nation's economic growth but also provide a sense of reassurance about the robustness</w:t>
      </w:r>
      <w:r w:rsidRPr="00244343">
        <w:rPr>
          <w:rFonts w:ascii="Times New Roman" w:hAnsi="Times New Roman" w:cs="Times New Roman"/>
          <w:b/>
          <w:bCs/>
          <w:sz w:val="28"/>
          <w:szCs w:val="28"/>
          <w:lang w:val="en-US"/>
        </w:rPr>
        <w:t xml:space="preserve"> </w:t>
      </w:r>
      <w:r w:rsidRPr="00244343">
        <w:rPr>
          <w:rFonts w:ascii="Times New Roman" w:hAnsi="Times New Roman" w:cs="Times New Roman"/>
          <w:sz w:val="28"/>
          <w:szCs w:val="28"/>
          <w:lang w:val="en-US"/>
        </w:rPr>
        <w:t>of this relationship, even in the face of contextual complexities.</w:t>
      </w:r>
    </w:p>
    <w:p w14:paraId="50D2C8C0" w14:textId="77777777" w:rsidR="00600C79" w:rsidRPr="00244343" w:rsidRDefault="00600C79" w:rsidP="00600C79">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following figure shows the formal and informal types of knowledge transfer channels which can be a helpful tool in policy making. </w:t>
      </w:r>
    </w:p>
    <w:p w14:paraId="416C4AD0" w14:textId="1773A8FE" w:rsidR="00600C79" w:rsidRDefault="00600C79" w:rsidP="00600C79">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Figure 4</w:t>
      </w:r>
      <w:r w:rsidR="00B2633D">
        <w:rPr>
          <w:rFonts w:ascii="Times New Roman" w:hAnsi="Times New Roman" w:cs="Times New Roman"/>
          <w:sz w:val="28"/>
          <w:szCs w:val="28"/>
          <w:lang w:val="en-US"/>
        </w:rPr>
        <w:t>0</w:t>
      </w:r>
      <w:r w:rsidRPr="00244343">
        <w:rPr>
          <w:rFonts w:ascii="Times New Roman" w:hAnsi="Times New Roman" w:cs="Times New Roman"/>
          <w:sz w:val="28"/>
          <w:szCs w:val="28"/>
          <w:lang w:val="en-US"/>
        </w:rPr>
        <w:t xml:space="preserve"> depicts how rich is the knowledge transfer channels, and how various are the ways and forms of collaboration with industry and university can be. Universities are essential in promoting entrepreneurship and enhancing employment stability. Primarily, universities assume a pivotal role in:</w:t>
      </w:r>
    </w:p>
    <w:p w14:paraId="4B26D291" w14:textId="77777777" w:rsidR="00700108" w:rsidRDefault="00700108" w:rsidP="00600C79">
      <w:pPr>
        <w:spacing w:after="0" w:line="240" w:lineRule="auto"/>
        <w:ind w:firstLine="720"/>
        <w:jc w:val="both"/>
        <w:rPr>
          <w:rFonts w:ascii="Times New Roman" w:hAnsi="Times New Roman" w:cs="Times New Roman"/>
          <w:sz w:val="28"/>
          <w:szCs w:val="28"/>
          <w:lang w:val="en-US"/>
        </w:rPr>
      </w:pPr>
    </w:p>
    <w:p w14:paraId="3A8876C7" w14:textId="77777777" w:rsidR="00700108" w:rsidRPr="00244343" w:rsidRDefault="00700108" w:rsidP="00700108">
      <w:pPr>
        <w:spacing w:after="0" w:line="240" w:lineRule="auto"/>
        <w:jc w:val="center"/>
        <w:rPr>
          <w:rFonts w:ascii="Times New Roman" w:hAnsi="Times New Roman" w:cs="Times New Roman"/>
          <w:sz w:val="28"/>
          <w:szCs w:val="28"/>
          <w:lang w:val="en-US"/>
        </w:rPr>
      </w:pPr>
      <w:r w:rsidRPr="00244343">
        <w:rPr>
          <w:rFonts w:ascii="Times New Roman" w:eastAsia="Times New Roman" w:hAnsi="Times New Roman" w:cs="Times New Roman"/>
          <w:b/>
          <w:noProof/>
          <w:sz w:val="28"/>
          <w:szCs w:val="28"/>
          <w:lang w:eastAsia="ru-RU"/>
        </w:rPr>
        <w:drawing>
          <wp:inline distT="0" distB="0" distL="0" distR="0" wp14:anchorId="07BAF554" wp14:editId="21DE0B30">
            <wp:extent cx="4203865" cy="3256280"/>
            <wp:effectExtent l="0" t="0" r="6350" b="1270"/>
            <wp:docPr id="56" name="Рисунок 22" descr="KT channel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 channels (3).jpg"/>
                    <pic:cNvPicPr/>
                  </pic:nvPicPr>
                  <pic:blipFill rotWithShape="1">
                    <a:blip r:embed="rId69"/>
                    <a:srcRect b="4454"/>
                    <a:stretch/>
                  </pic:blipFill>
                  <pic:spPr bwMode="auto">
                    <a:xfrm>
                      <a:off x="0" y="0"/>
                      <a:ext cx="4312902" cy="3340739"/>
                    </a:xfrm>
                    <a:prstGeom prst="rect">
                      <a:avLst/>
                    </a:prstGeom>
                    <a:ln>
                      <a:noFill/>
                    </a:ln>
                    <a:extLst>
                      <a:ext uri="{53640926-AAD7-44D8-BBD7-CCE9431645EC}">
                        <a14:shadowObscured xmlns:a14="http://schemas.microsoft.com/office/drawing/2010/main"/>
                      </a:ext>
                    </a:extLst>
                  </pic:spPr>
                </pic:pic>
              </a:graphicData>
            </a:graphic>
          </wp:inline>
        </w:drawing>
      </w:r>
    </w:p>
    <w:p w14:paraId="204180EB" w14:textId="77777777" w:rsidR="00700108" w:rsidRPr="00244343" w:rsidRDefault="00700108" w:rsidP="00700108">
      <w:pPr>
        <w:spacing w:after="0"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4</w:t>
      </w:r>
      <w:r>
        <w:rPr>
          <w:rFonts w:ascii="Times New Roman" w:hAnsi="Times New Roman" w:cs="Times New Roman"/>
          <w:sz w:val="28"/>
          <w:szCs w:val="28"/>
          <w:lang w:val="en-US"/>
        </w:rPr>
        <w:t>0</w:t>
      </w:r>
      <w:r w:rsidRPr="00244343">
        <w:rPr>
          <w:rFonts w:ascii="Times New Roman" w:hAnsi="Times New Roman" w:cs="Times New Roman"/>
          <w:sz w:val="28"/>
          <w:szCs w:val="28"/>
          <w:lang w:val="en-US"/>
        </w:rPr>
        <w:t xml:space="preserve"> - Knowledge transfer channels</w:t>
      </w:r>
    </w:p>
    <w:p w14:paraId="0BFB7BEF" w14:textId="77777777" w:rsidR="00700108" w:rsidRPr="00244343" w:rsidRDefault="00700108" w:rsidP="00700108">
      <w:pPr>
        <w:spacing w:after="0" w:line="240" w:lineRule="auto"/>
        <w:jc w:val="both"/>
        <w:rPr>
          <w:rFonts w:ascii="Times New Roman" w:hAnsi="Times New Roman" w:cs="Times New Roman"/>
          <w:sz w:val="28"/>
          <w:szCs w:val="28"/>
          <w:lang w:val="en-US"/>
        </w:rPr>
      </w:pPr>
    </w:p>
    <w:p w14:paraId="49CE3B04" w14:textId="77777777" w:rsidR="00700108" w:rsidRPr="001D0258" w:rsidRDefault="00700108" w:rsidP="00700108">
      <w:pPr>
        <w:spacing w:after="0" w:line="240" w:lineRule="auto"/>
        <w:ind w:firstLine="720"/>
        <w:jc w:val="both"/>
        <w:rPr>
          <w:rFonts w:ascii="Times New Roman" w:hAnsi="Times New Roman" w:cs="Times New Roman"/>
          <w:sz w:val="24"/>
          <w:szCs w:val="24"/>
          <w:lang w:val="en-US"/>
        </w:rPr>
      </w:pPr>
      <w:r w:rsidRPr="001D0258">
        <w:rPr>
          <w:rFonts w:ascii="Times New Roman" w:hAnsi="Times New Roman" w:cs="Times New Roman"/>
          <w:sz w:val="24"/>
          <w:szCs w:val="24"/>
          <w:lang w:val="en-US"/>
        </w:rPr>
        <w:t>Note - compiled by the author based on source [26</w:t>
      </w:r>
      <w:r>
        <w:rPr>
          <w:rFonts w:ascii="Times New Roman" w:hAnsi="Times New Roman" w:cs="Times New Roman"/>
          <w:sz w:val="24"/>
          <w:szCs w:val="24"/>
          <w:lang w:val="en-US"/>
        </w:rPr>
        <w:t>2</w:t>
      </w:r>
      <w:r w:rsidRPr="001D0258">
        <w:rPr>
          <w:rFonts w:ascii="Times New Roman" w:hAnsi="Times New Roman" w:cs="Times New Roman"/>
          <w:sz w:val="24"/>
          <w:szCs w:val="24"/>
          <w:lang w:val="en-US"/>
        </w:rPr>
        <w:t>]</w:t>
      </w:r>
    </w:p>
    <w:p w14:paraId="7319C651" w14:textId="77777777" w:rsidR="00700108" w:rsidRPr="00244343" w:rsidRDefault="00700108" w:rsidP="00600C79">
      <w:pPr>
        <w:spacing w:after="0" w:line="240" w:lineRule="auto"/>
        <w:ind w:firstLine="720"/>
        <w:jc w:val="both"/>
        <w:rPr>
          <w:rFonts w:ascii="Times New Roman" w:hAnsi="Times New Roman" w:cs="Times New Roman"/>
          <w:sz w:val="28"/>
          <w:szCs w:val="28"/>
          <w:lang w:val="en-US"/>
        </w:rPr>
      </w:pPr>
    </w:p>
    <w:p w14:paraId="727ED7F7" w14:textId="0B33BF10" w:rsidR="00600C79" w:rsidRPr="00244343" w:rsidRDefault="00600C79" w:rsidP="00600C79">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1.Talent Development and Education: Entrepreneurial Education: Universities may provide specialized courses, programs, and incubators that give </w:t>
      </w:r>
      <w:r w:rsidRPr="00244343">
        <w:rPr>
          <w:rFonts w:ascii="Times New Roman" w:hAnsi="Times New Roman" w:cs="Times New Roman"/>
          <w:sz w:val="28"/>
          <w:szCs w:val="28"/>
          <w:lang w:val="en-US"/>
        </w:rPr>
        <w:lastRenderedPageBreak/>
        <w:t>students the requisite information, skills, and mentality to achieve entrepreneurial success.</w:t>
      </w:r>
    </w:p>
    <w:p w14:paraId="073006BC" w14:textId="3F0A8017" w:rsidR="00600C79" w:rsidRDefault="00600C79" w:rsidP="00600C79">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Skill Development: By establishing a robust foundation in several disciplines, colleges may cultivate graduates with the proficiency to initiate and oversee enterprises.</w:t>
      </w:r>
    </w:p>
    <w:p w14:paraId="1BAA4478" w14:textId="094B8B65" w:rsidR="00B2633D" w:rsidRPr="00244343" w:rsidRDefault="00B2633D" w:rsidP="00B2633D">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2.Research and Innovation: Technology Transfer: Universities can enable the transition of research outcomes to the private sector, resulting in the development of novel goods, services, and enterprises.</w:t>
      </w:r>
    </w:p>
    <w:p w14:paraId="6E115DE6" w14:textId="77777777" w:rsidR="00B2633D" w:rsidRPr="00244343" w:rsidRDefault="00B2633D" w:rsidP="00B2633D">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Innovation Hubs: Universities may develop innovation hubs and research parks to cultivate a culture of innovation and offer businesses access to resources and mentorship.</w:t>
      </w:r>
    </w:p>
    <w:p w14:paraId="380BB17D" w14:textId="3C022D16" w:rsidR="00600C79" w:rsidRPr="00244343" w:rsidRDefault="00B2633D" w:rsidP="00700108">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3.Development of the Entrepreneurship Environment: Networking Opportunities: Universities can facilitate connections between students, teachers, local firms, investors, and mentors, fostering a healthy entrepreneurship environment.</w:t>
      </w:r>
    </w:p>
    <w:p w14:paraId="432D59D1" w14:textId="77777777" w:rsidR="00600C79" w:rsidRPr="00244343" w:rsidRDefault="00600C79" w:rsidP="00600C79">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Incubators and accelerators furnish entrepreneurs with essential resources, mentorship, and capital to facilitate business growth.</w:t>
      </w:r>
    </w:p>
    <w:p w14:paraId="3DDB8AE2" w14:textId="322F56AB" w:rsidR="00600C79" w:rsidRPr="00244343" w:rsidRDefault="00600C79" w:rsidP="00600C79">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4.Community Engagement: Social Entrepreneurship: Universities can promote student involvement in social entrepreneurship initiatives that tackle societal issues and establish sustainable enterprises.</w:t>
      </w:r>
    </w:p>
    <w:p w14:paraId="2A6BD66C" w14:textId="77777777" w:rsidR="00600C79" w:rsidRPr="00244343" w:rsidRDefault="00600C79" w:rsidP="00600C79">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Community Collaborations: Engaging with local enterprises and groups enables universities to generate employment possibilities for their graduates and foster economic growth within the community.</w:t>
      </w:r>
    </w:p>
    <w:p w14:paraId="060DAA4E" w14:textId="5D1CA1B4" w:rsidR="00600C79" w:rsidRPr="00244343" w:rsidRDefault="00600C79" w:rsidP="00600C79">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5.Policy Advocacy: Government Collaborations: Universities can promote policies that foster entrepreneurship, innovation, and employment generation, including tax incentives, research funding, and regulatory reforms.</w:t>
      </w:r>
    </w:p>
    <w:p w14:paraId="554B273C" w14:textId="77777777" w:rsidR="00600C79" w:rsidRPr="00244343" w:rsidRDefault="00600C79" w:rsidP="00600C79">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By adeptly executing these functions, universities can substantially help cultivate entrepreneurs and stabilize employment rates. They can also provide a proficient and innovative personnel pipeline, cultivate an entrepreneurial culture, and stimulate economic growth.</w:t>
      </w:r>
    </w:p>
    <w:p w14:paraId="3F2D0BC7"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Universities face a complex challenge in managing graduate employment. It involves ensuring that educational achievements meet job market requirements, establishing performance metrics, and strategically managing academic talent. </w:t>
      </w:r>
    </w:p>
    <w:p w14:paraId="3E29A91C"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issue of human resource allocation has affected our society for the past decade. Human resource theory elucidates the graduate employment dilemma and proposes a resolution from theoretical and practical standpoints. Maslow's hierarchy of needs influences students' employment outcomes. Institutions of higher education Students must expedite the reformation of the job paradigm to hasten structural adjustments and facilitate the industrialization of education. Advise and motivate students to secure employment by employing two-factor theory; ensure that college students maintain a preeminent position in the intellectual property of human resources. Universities must prevent graduate unemployment and optimize students' skills to be valuable assets for future employers.</w:t>
      </w:r>
    </w:p>
    <w:p w14:paraId="5F496C83" w14:textId="01B0F7B8"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lastRenderedPageBreak/>
        <w:t xml:space="preserve">One of the interesting global projects is Azerbaijan's program, where university graduates who are unemployed and not in training must gain the requisite skills and knowledge necessary for post-graduation prospects. The Sabah initiative sought to resolve this issue. The research done by a group of scholars, </w:t>
      </w:r>
      <w:proofErr w:type="spellStart"/>
      <w:r w:rsidRPr="00244343">
        <w:rPr>
          <w:rFonts w:ascii="Times New Roman" w:hAnsi="Times New Roman" w:cs="Times New Roman"/>
          <w:sz w:val="28"/>
          <w:szCs w:val="28"/>
          <w:lang w:val="en-US"/>
        </w:rPr>
        <w:t>Asgarova</w:t>
      </w:r>
      <w:proofErr w:type="spellEnd"/>
      <w:r w:rsidRPr="00244343">
        <w:rPr>
          <w:rFonts w:ascii="Times New Roman" w:hAnsi="Times New Roman" w:cs="Times New Roman"/>
          <w:sz w:val="28"/>
          <w:szCs w:val="28"/>
          <w:lang w:val="en-US"/>
        </w:rPr>
        <w:t>, V. et al. in 2023, interviewed 25 undergraduate students majoring in human resource management, teaching English as a foreign language, business administration, law, economic science, and earth sciences</w:t>
      </w:r>
      <w:r w:rsidR="000A76C9">
        <w:rPr>
          <w:rFonts w:ascii="Times New Roman" w:hAnsi="Times New Roman" w:cs="Times New Roman"/>
          <w:sz w:val="28"/>
          <w:szCs w:val="28"/>
          <w:lang w:val="en-US"/>
        </w:rPr>
        <w:t xml:space="preserve"> [26</w:t>
      </w:r>
      <w:r w:rsidR="00F44B8C">
        <w:rPr>
          <w:rFonts w:ascii="Times New Roman" w:hAnsi="Times New Roman" w:cs="Times New Roman"/>
          <w:sz w:val="28"/>
          <w:szCs w:val="28"/>
          <w:lang w:val="en-US"/>
        </w:rPr>
        <w:t>3</w:t>
      </w:r>
      <w:r w:rsidR="000A76C9">
        <w:rPr>
          <w:rFonts w:ascii="Times New Roman" w:hAnsi="Times New Roman" w:cs="Times New Roman"/>
          <w:sz w:val="28"/>
          <w:szCs w:val="28"/>
          <w:lang w:val="en-US"/>
        </w:rPr>
        <w:t>]</w:t>
      </w:r>
      <w:r w:rsidRPr="00244343">
        <w:rPr>
          <w:rFonts w:ascii="Times New Roman" w:hAnsi="Times New Roman" w:cs="Times New Roman"/>
          <w:sz w:val="28"/>
          <w:szCs w:val="28"/>
          <w:lang w:val="en-US"/>
        </w:rPr>
        <w:t>. Two principal aspects of perceptions were emphasized: the pursuit of innovations in university education and the prospective benefits of educational programs. Also, the article examines the perceived advantages of this advanced education program regarding students' eligibility for post-graduation possibilities, including employment. The analysis demonstrates that the Sabah program [26</w:t>
      </w:r>
      <w:r w:rsidR="00F44B8C">
        <w:rPr>
          <w:rFonts w:ascii="Times New Roman" w:hAnsi="Times New Roman" w:cs="Times New Roman"/>
          <w:sz w:val="28"/>
          <w:szCs w:val="28"/>
          <w:lang w:val="en-US"/>
        </w:rPr>
        <w:t>4</w:t>
      </w:r>
      <w:r w:rsidRPr="00244343">
        <w:rPr>
          <w:rFonts w:ascii="Times New Roman" w:hAnsi="Times New Roman" w:cs="Times New Roman"/>
          <w:sz w:val="28"/>
          <w:szCs w:val="28"/>
          <w:lang w:val="en-US"/>
        </w:rPr>
        <w:t xml:space="preserve">] functions as a 'change maker' in educational practice by innovatively integrating business partners into classrooms and facilitating job placements aligned with students' individual and professional profiles. The research paper concluded that incorporating international and intercultural aspects into higher education and involving potential employers in the teaching process can enhance students' competencies for employment and improve graduates' access to post-graduation opportunities. So do Kazakhstani University </w:t>
      </w:r>
      <w:proofErr w:type="spellStart"/>
      <w:r w:rsidRPr="00244343">
        <w:rPr>
          <w:rFonts w:ascii="Times New Roman" w:hAnsi="Times New Roman" w:cs="Times New Roman"/>
          <w:sz w:val="28"/>
          <w:szCs w:val="28"/>
          <w:lang w:val="en-US"/>
        </w:rPr>
        <w:t>Narxoz</w:t>
      </w:r>
      <w:proofErr w:type="spellEnd"/>
      <w:r w:rsidRPr="00244343">
        <w:rPr>
          <w:rFonts w:ascii="Times New Roman" w:hAnsi="Times New Roman" w:cs="Times New Roman"/>
          <w:sz w:val="28"/>
          <w:szCs w:val="28"/>
          <w:lang w:val="en-US"/>
        </w:rPr>
        <w:t xml:space="preserve"> have almost the same project initiated two decades ago, but in the finance sector.</w:t>
      </w:r>
    </w:p>
    <w:p w14:paraId="66A9ADCA" w14:textId="366761B7" w:rsidR="00600C79" w:rsidRPr="00244343" w:rsidRDefault="00600C79" w:rsidP="00B2633D">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So, given that, university where no personnel training programs exist, should focus on the graduate training programs with a business unit. Initially, to start with one company and one specialty. If it works well, to spread the framework into other specialties.</w:t>
      </w:r>
    </w:p>
    <w:p w14:paraId="167CFC7F" w14:textId="371C832C"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goal and the center value of the program is successful graduate employment in a competitive labor market. Whereas the actors of partnerships are mutually investing into the prosperity of the market via assisting each other on agreement. So do the universities of Kazakhstan career </w:t>
      </w:r>
      <w:proofErr w:type="spellStart"/>
      <w:r w:rsidRPr="00244343">
        <w:rPr>
          <w:rFonts w:ascii="Times New Roman" w:hAnsi="Times New Roman" w:cs="Times New Roman"/>
          <w:sz w:val="28"/>
          <w:szCs w:val="28"/>
          <w:lang w:val="en-US"/>
        </w:rPr>
        <w:t>centres</w:t>
      </w:r>
      <w:proofErr w:type="spellEnd"/>
      <w:r w:rsidRPr="00244343">
        <w:rPr>
          <w:rFonts w:ascii="Times New Roman" w:hAnsi="Times New Roman" w:cs="Times New Roman"/>
          <w:sz w:val="28"/>
          <w:szCs w:val="28"/>
          <w:lang w:val="en-US"/>
        </w:rPr>
        <w:t xml:space="preserve"> and cooperation programs rarely work.</w:t>
      </w:r>
    </w:p>
    <w:p w14:paraId="53EF4D02" w14:textId="0B84DADE"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proofErr w:type="spellStart"/>
      <w:r w:rsidRPr="00244343">
        <w:rPr>
          <w:rFonts w:ascii="Times New Roman" w:hAnsi="Times New Roman" w:cs="Times New Roman"/>
          <w:sz w:val="28"/>
          <w:szCs w:val="28"/>
          <w:lang w:val="en-US"/>
        </w:rPr>
        <w:t>Narxoz</w:t>
      </w:r>
      <w:proofErr w:type="spellEnd"/>
      <w:r w:rsidRPr="00244343">
        <w:rPr>
          <w:rFonts w:ascii="Times New Roman" w:hAnsi="Times New Roman" w:cs="Times New Roman"/>
          <w:sz w:val="28"/>
          <w:szCs w:val="28"/>
          <w:lang w:val="en-US"/>
        </w:rPr>
        <w:t xml:space="preserve"> case best suits these recommendations. "The Master's program in Applied Finance at </w:t>
      </w:r>
      <w:proofErr w:type="spellStart"/>
      <w:r w:rsidRPr="00244343">
        <w:rPr>
          <w:rFonts w:ascii="Times New Roman" w:hAnsi="Times New Roman" w:cs="Times New Roman"/>
          <w:sz w:val="28"/>
          <w:szCs w:val="28"/>
          <w:lang w:val="en-US"/>
        </w:rPr>
        <w:t>Narxoz</w:t>
      </w:r>
      <w:proofErr w:type="spellEnd"/>
      <w:r w:rsidRPr="00244343">
        <w:rPr>
          <w:rFonts w:ascii="Times New Roman" w:hAnsi="Times New Roman" w:cs="Times New Roman"/>
          <w:sz w:val="28"/>
          <w:szCs w:val="28"/>
          <w:lang w:val="en-US"/>
        </w:rPr>
        <w:t xml:space="preserve"> University is unique not only because </w:t>
      </w:r>
      <w:proofErr w:type="spellStart"/>
      <w:r w:rsidRPr="00244343">
        <w:rPr>
          <w:rFonts w:ascii="Times New Roman" w:hAnsi="Times New Roman" w:cs="Times New Roman"/>
          <w:sz w:val="28"/>
          <w:szCs w:val="28"/>
          <w:lang w:val="en-US"/>
        </w:rPr>
        <w:t>Narxoz</w:t>
      </w:r>
      <w:proofErr w:type="spellEnd"/>
      <w:r w:rsidRPr="00244343">
        <w:rPr>
          <w:rFonts w:ascii="Times New Roman" w:hAnsi="Times New Roman" w:cs="Times New Roman"/>
          <w:sz w:val="28"/>
          <w:szCs w:val="28"/>
          <w:lang w:val="en-US"/>
        </w:rPr>
        <w:t xml:space="preserve"> trains highly professional personnel. It is not just a fusion of classical and modern economic theory and thought but also the knowledge and experience of practical teachers. It is the practical training on specific cases from the Kazakhstani and global economic reality. Such approach provides the opportunity for masters to have deep practical experience upon completion of the program, which is widely in demand by employers, such as the National Bank and the financial regulator, as well as in financial organizations," said Vitaly </w:t>
      </w:r>
      <w:proofErr w:type="spellStart"/>
      <w:r w:rsidRPr="00244343">
        <w:rPr>
          <w:rFonts w:ascii="Times New Roman" w:hAnsi="Times New Roman" w:cs="Times New Roman"/>
          <w:sz w:val="28"/>
          <w:szCs w:val="28"/>
          <w:lang w:val="en-US"/>
        </w:rPr>
        <w:t>Tutushkin</w:t>
      </w:r>
      <w:proofErr w:type="spellEnd"/>
      <w:r w:rsidRPr="00244343">
        <w:rPr>
          <w:rFonts w:ascii="Times New Roman" w:hAnsi="Times New Roman" w:cs="Times New Roman"/>
          <w:sz w:val="28"/>
          <w:szCs w:val="28"/>
          <w:lang w:val="en-US"/>
        </w:rPr>
        <w:t>, Deputy Chairman of the National Bank of the Republic of Kazakhstan.</w:t>
      </w:r>
    </w:p>
    <w:p w14:paraId="1E6A1A66"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Grants from the National Bank, the Agency of the Republic of Kazakhstan for Regulation and Development of the Financial Market, and the Insurance Payments Guarantee Fund support the program.</w:t>
      </w:r>
    </w:p>
    <w:p w14:paraId="67837845"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During this time, more than 770 graduates have completed training under this program. One hundred per cent of graduates find work in the first three months after </w:t>
      </w:r>
      <w:r w:rsidRPr="00244343">
        <w:rPr>
          <w:rFonts w:ascii="Times New Roman" w:hAnsi="Times New Roman" w:cs="Times New Roman"/>
          <w:sz w:val="28"/>
          <w:szCs w:val="28"/>
          <w:lang w:val="en-US"/>
        </w:rPr>
        <w:lastRenderedPageBreak/>
        <w:t>receiving their diploma. As a result, the country has formed a pool of highly qualified specialists who successfully work in the National Bank of the Republic of Kazakhstan, the Agency of the Republic of Kazakhstan for Regulation and Development of the Financial Market, second-tier banks, investment and insurance organizations, Big Four companies and in the quasi-public sector.</w:t>
      </w:r>
    </w:p>
    <w:p w14:paraId="39A9D844"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Applied Finance program is designed to meet the needs of the financial industry, with a strong focus on training in-demand professionals. A curriculum is aligned with the requirements of international professional qualifications such as CFA, FRM, and actuary. This ensures that </w:t>
      </w:r>
      <w:proofErr w:type="spellStart"/>
      <w:r w:rsidRPr="00244343">
        <w:rPr>
          <w:rFonts w:ascii="Times New Roman" w:hAnsi="Times New Roman" w:cs="Times New Roman"/>
          <w:sz w:val="28"/>
          <w:szCs w:val="28"/>
          <w:lang w:val="en-US"/>
        </w:rPr>
        <w:t>Narxoz</w:t>
      </w:r>
      <w:proofErr w:type="spellEnd"/>
      <w:r w:rsidRPr="00244343">
        <w:rPr>
          <w:rFonts w:ascii="Times New Roman" w:hAnsi="Times New Roman" w:cs="Times New Roman"/>
          <w:sz w:val="28"/>
          <w:szCs w:val="28"/>
          <w:lang w:val="en-US"/>
        </w:rPr>
        <w:t xml:space="preserve"> graduates are equipped with the skills and knowledge needed to excel in their careers as financial analysts, risk managers, </w:t>
      </w:r>
      <w:proofErr w:type="spellStart"/>
      <w:r w:rsidRPr="00244343">
        <w:rPr>
          <w:rFonts w:ascii="Times New Roman" w:hAnsi="Times New Roman" w:cs="Times New Roman"/>
          <w:sz w:val="28"/>
          <w:szCs w:val="28"/>
          <w:lang w:val="en-US"/>
        </w:rPr>
        <w:t>macroanalytics</w:t>
      </w:r>
      <w:proofErr w:type="spellEnd"/>
      <w:r w:rsidRPr="00244343">
        <w:rPr>
          <w:rFonts w:ascii="Times New Roman" w:hAnsi="Times New Roman" w:cs="Times New Roman"/>
          <w:sz w:val="28"/>
          <w:szCs w:val="28"/>
          <w:lang w:val="en-US"/>
        </w:rPr>
        <w:t xml:space="preserve"> and forecasting specialists, and actuaries. What's more, over half of this program's teachers are experienced professionals from the National Bank and the Agency of the Republic of Kazakhstan for Regulation and Development of the Financial Market, providing students with real-world insights and expertise.</w:t>
      </w:r>
    </w:p>
    <w:p w14:paraId="43DA8371" w14:textId="357A0354"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In a significant milestone, the Applied Finance program was awarded unconditional international accreditation from FIBAA in 2022. This recognition not only validates the program's quality but also ensures that the diplomas of our graduates are now accepted throughout the European Higher Education Area. This is a testament to the program's success and the high standards it upholds, making it a top choice for aspiring finance professionals [26</w:t>
      </w:r>
      <w:r w:rsidR="00F44B8C">
        <w:rPr>
          <w:rFonts w:ascii="Times New Roman" w:hAnsi="Times New Roman" w:cs="Times New Roman"/>
          <w:sz w:val="28"/>
          <w:szCs w:val="28"/>
          <w:lang w:val="en-US"/>
        </w:rPr>
        <w:t>5</w:t>
      </w:r>
      <w:r w:rsidRPr="00244343">
        <w:rPr>
          <w:rFonts w:ascii="Times New Roman" w:hAnsi="Times New Roman" w:cs="Times New Roman"/>
          <w:sz w:val="28"/>
          <w:szCs w:val="28"/>
          <w:lang w:val="en-US"/>
        </w:rPr>
        <w:t xml:space="preserve">]. </w:t>
      </w:r>
    </w:p>
    <w:p w14:paraId="30F15E9E"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While Sabah group project is totally different in their approach. The objective of Sabah is to cultivate students' intellectual and creative capacities, guarantee their comprehensive mastery of credentials pertinent to their fields, enhance the quality of higher education, and implement innovative forms and methods in the organization of learning. </w:t>
      </w:r>
    </w:p>
    <w:p w14:paraId="36C7A1B3" w14:textId="77777777" w:rsidR="00600C79" w:rsidRPr="00244343" w:rsidRDefault="00600C79" w:rsidP="00600C79">
      <w:pPr>
        <w:pStyle w:val="a4"/>
        <w:spacing w:before="0" w:beforeAutospacing="0" w:after="0" w:afterAutospacing="0"/>
        <w:ind w:firstLine="720"/>
        <w:contextualSpacing/>
        <w:jc w:val="both"/>
        <w:rPr>
          <w:sz w:val="28"/>
          <w:szCs w:val="28"/>
          <w:lang w:val="en-US"/>
        </w:rPr>
      </w:pPr>
      <w:r w:rsidRPr="00244343">
        <w:rPr>
          <w:sz w:val="28"/>
          <w:szCs w:val="28"/>
          <w:lang w:val="en-US"/>
        </w:rPr>
        <w:t>If you are a citizen of Azerbaijan enrolled in a full-time first-year program at a higher education institution under the Ministry of Education, you may be eligible to apply to the Sabah</w:t>
      </w:r>
      <w:r w:rsidRPr="00244343" w:rsidDel="002A7564">
        <w:rPr>
          <w:sz w:val="28"/>
          <w:szCs w:val="28"/>
          <w:lang w:val="en-US"/>
        </w:rPr>
        <w:t xml:space="preserve"> </w:t>
      </w:r>
      <w:r w:rsidRPr="00244343">
        <w:rPr>
          <w:sz w:val="28"/>
          <w:szCs w:val="28"/>
          <w:lang w:val="en-US"/>
        </w:rPr>
        <w:t>groups. To qualify, you should have no academic debts at the conclusion of the first semester and maintain an average success rate of at least 61. The Sabah groups offer a variety of developmental initiatives and activities as part of the program.</w:t>
      </w:r>
    </w:p>
    <w:p w14:paraId="239322C0" w14:textId="77777777" w:rsidR="00600C79" w:rsidRPr="00244343" w:rsidRDefault="00600C79" w:rsidP="00600C79">
      <w:pPr>
        <w:pStyle w:val="a4"/>
        <w:spacing w:before="0" w:beforeAutospacing="0" w:after="0" w:afterAutospacing="0"/>
        <w:ind w:firstLine="720"/>
        <w:contextualSpacing/>
        <w:jc w:val="both"/>
        <w:rPr>
          <w:sz w:val="28"/>
          <w:szCs w:val="28"/>
          <w:lang w:val="en-US"/>
        </w:rPr>
      </w:pPr>
      <w:r w:rsidRPr="00244343">
        <w:rPr>
          <w:sz w:val="28"/>
          <w:szCs w:val="28"/>
          <w:lang w:val="en-US"/>
        </w:rPr>
        <w:t>Sabah Career Development Exhibition; Sabah</w:t>
      </w:r>
      <w:r w:rsidRPr="00244343" w:rsidDel="002A7564">
        <w:rPr>
          <w:sz w:val="28"/>
          <w:szCs w:val="28"/>
          <w:lang w:val="en-US"/>
        </w:rPr>
        <w:t xml:space="preserve"> </w:t>
      </w:r>
      <w:r w:rsidRPr="00244343">
        <w:rPr>
          <w:sz w:val="28"/>
          <w:szCs w:val="28"/>
          <w:lang w:val="en-US"/>
        </w:rPr>
        <w:t>Innovation Forum; Study Abroad Education Exhibition; Sabah Career Academy; Sabah Winter Career School; Sabah Knowledge Contest; Sabah Art Festival; "Your English Voice" Contest; Sabah Student Debate Forum; Sabah</w:t>
      </w:r>
      <w:r w:rsidRPr="00244343" w:rsidDel="002A7564">
        <w:rPr>
          <w:sz w:val="28"/>
          <w:szCs w:val="28"/>
          <w:lang w:val="en-US"/>
        </w:rPr>
        <w:t xml:space="preserve"> </w:t>
      </w:r>
      <w:r w:rsidRPr="00244343">
        <w:rPr>
          <w:sz w:val="28"/>
          <w:szCs w:val="28"/>
          <w:lang w:val="en-US"/>
        </w:rPr>
        <w:t>Tax Knowledge Contest; London Summer School; "</w:t>
      </w:r>
      <w:proofErr w:type="spellStart"/>
      <w:r w:rsidRPr="00244343">
        <w:rPr>
          <w:sz w:val="28"/>
          <w:szCs w:val="28"/>
          <w:lang w:val="en-US"/>
        </w:rPr>
        <w:t>Sarbon</w:t>
      </w:r>
      <w:proofErr w:type="spellEnd"/>
      <w:r w:rsidRPr="00244343">
        <w:rPr>
          <w:sz w:val="28"/>
          <w:szCs w:val="28"/>
          <w:lang w:val="en-US"/>
        </w:rPr>
        <w:t>-Abu-Dhabi" Experience Exchange Events; Sabah Teacher Internship Program.</w:t>
      </w:r>
    </w:p>
    <w:p w14:paraId="5EA8E79B" w14:textId="05C25957" w:rsidR="00600C79" w:rsidRPr="00244343" w:rsidRDefault="00600C79" w:rsidP="00600C79">
      <w:pPr>
        <w:pStyle w:val="a4"/>
        <w:spacing w:before="0" w:beforeAutospacing="0" w:after="0" w:afterAutospacing="0"/>
        <w:ind w:firstLine="720"/>
        <w:contextualSpacing/>
        <w:jc w:val="both"/>
        <w:rPr>
          <w:sz w:val="28"/>
          <w:szCs w:val="28"/>
          <w:lang w:val="en-US"/>
        </w:rPr>
      </w:pPr>
      <w:r w:rsidRPr="00DC742F">
        <w:rPr>
          <w:rStyle w:val="a6"/>
          <w:b w:val="0"/>
          <w:bCs w:val="0"/>
          <w:i/>
          <w:iCs/>
          <w:sz w:val="28"/>
          <w:szCs w:val="28"/>
          <w:lang w:val="en-US"/>
        </w:rPr>
        <w:t>Coverage scope:</w:t>
      </w:r>
      <w:r w:rsidRPr="00244343">
        <w:rPr>
          <w:sz w:val="28"/>
          <w:szCs w:val="28"/>
          <w:lang w:val="en-US"/>
        </w:rPr>
        <w:t xml:space="preserve"> During the academic year 2021-2022, 724 students were designated "Sabah students" throughout 29 specialties. The project encompasses 11 higher education institutions, 35 disciplines, 2,435 students, and 3,099 graduates. The overall number of teaching faculty exceeds 600 individuals</w:t>
      </w:r>
      <w:r w:rsidR="005C1593">
        <w:rPr>
          <w:sz w:val="28"/>
          <w:szCs w:val="28"/>
          <w:lang w:val="en-US"/>
        </w:rPr>
        <w:t xml:space="preserve"> </w:t>
      </w:r>
      <w:r w:rsidRPr="00244343">
        <w:rPr>
          <w:sz w:val="28"/>
          <w:szCs w:val="28"/>
          <w:lang w:val="en-US"/>
        </w:rPr>
        <w:t>[26</w:t>
      </w:r>
      <w:r w:rsidR="00F44B8C">
        <w:rPr>
          <w:sz w:val="28"/>
          <w:szCs w:val="28"/>
          <w:lang w:val="en-US"/>
        </w:rPr>
        <w:t>4</w:t>
      </w:r>
      <w:r w:rsidRPr="00244343">
        <w:rPr>
          <w:sz w:val="28"/>
          <w:szCs w:val="28"/>
          <w:lang w:val="en-US"/>
        </w:rPr>
        <w:t xml:space="preserve">]. </w:t>
      </w:r>
    </w:p>
    <w:p w14:paraId="10CA0692"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As modern management evolves, HRM has emerged as a crucial component of the strategic management of universities, leading to the growing significance of </w:t>
      </w:r>
      <w:r w:rsidRPr="00244343">
        <w:rPr>
          <w:rFonts w:ascii="Times New Roman" w:hAnsi="Times New Roman" w:cs="Times New Roman"/>
          <w:sz w:val="28"/>
          <w:szCs w:val="28"/>
          <w:lang w:val="en-US"/>
        </w:rPr>
        <w:lastRenderedPageBreak/>
        <w:t>human resource management courses. The curriculum encompasses diverse topics such as human resource planning, job analysis and design, recruitment and hiring, human resources management, cost and value accounting, contracts and records management, training and development, performance appraisal and evaluation, and compensation system design. The HRM course and employers' recruitment procedures are closely linked, with Graduate Employment showing the most significant and direct linkage. Consequently, implementing teaching reform in human resources management courses, viewed through the lens of university student employment, merits our investigation and recommendations.</w:t>
      </w:r>
    </w:p>
    <w:p w14:paraId="316AB9AD" w14:textId="77777777" w:rsidR="00600C79" w:rsidRPr="00244343" w:rsidRDefault="00600C79" w:rsidP="00600C79">
      <w:pPr>
        <w:spacing w:after="0" w:line="240" w:lineRule="auto"/>
        <w:ind w:firstLine="720"/>
        <w:contextualSpacing/>
        <w:jc w:val="both"/>
        <w:rPr>
          <w:rFonts w:ascii="Times New Roman" w:hAnsi="Times New Roman" w:cs="Times New Roman"/>
          <w:i/>
          <w:iCs/>
          <w:sz w:val="28"/>
          <w:szCs w:val="28"/>
          <w:lang w:val="en-US"/>
        </w:rPr>
      </w:pPr>
      <w:r w:rsidRPr="00244343">
        <w:rPr>
          <w:rFonts w:ascii="Times New Roman" w:hAnsi="Times New Roman" w:cs="Times New Roman"/>
          <w:i/>
          <w:iCs/>
          <w:sz w:val="28"/>
          <w:szCs w:val="28"/>
          <w:lang w:val="en-US"/>
        </w:rPr>
        <w:t>Education meets the job market</w:t>
      </w:r>
    </w:p>
    <w:p w14:paraId="6661E2E2" w14:textId="2F3FF03B"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A significant proportion of graduates from higher education institutions are not in demand in their </w:t>
      </w:r>
      <w:proofErr w:type="spellStart"/>
      <w:r w:rsidRPr="00244343">
        <w:rPr>
          <w:rFonts w:ascii="Times New Roman" w:hAnsi="Times New Roman" w:cs="Times New Roman"/>
          <w:sz w:val="28"/>
          <w:szCs w:val="28"/>
          <w:lang w:val="en-US"/>
        </w:rPr>
        <w:t>speciality</w:t>
      </w:r>
      <w:proofErr w:type="spellEnd"/>
      <w:r w:rsidRPr="00244343">
        <w:rPr>
          <w:rFonts w:ascii="Times New Roman" w:hAnsi="Times New Roman" w:cs="Times New Roman"/>
          <w:sz w:val="28"/>
          <w:szCs w:val="28"/>
          <w:lang w:val="en-US"/>
        </w:rPr>
        <w:t xml:space="preserve"> due to the discrepancy between the labor market's demands and education content [26</w:t>
      </w:r>
      <w:r w:rsidR="00F44B8C">
        <w:rPr>
          <w:rFonts w:ascii="Times New Roman" w:hAnsi="Times New Roman" w:cs="Times New Roman"/>
          <w:sz w:val="28"/>
          <w:szCs w:val="28"/>
          <w:lang w:val="en-US"/>
        </w:rPr>
        <w:t>6</w:t>
      </w:r>
      <w:r w:rsidRPr="00244343">
        <w:rPr>
          <w:rFonts w:ascii="Times New Roman" w:hAnsi="Times New Roman" w:cs="Times New Roman"/>
          <w:sz w:val="28"/>
          <w:szCs w:val="28"/>
          <w:lang w:val="en-US"/>
        </w:rPr>
        <w:t>].</w:t>
      </w:r>
    </w:p>
    <w:p w14:paraId="5449EB6A" w14:textId="0F29B113"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Institutions need to modify their educational programs to align with the changing technological requirements of the labor market, thereby assuring that graduates acquire a combination of technical and interpersonal abilities [26</w:t>
      </w:r>
      <w:r w:rsidR="005C1593">
        <w:rPr>
          <w:rFonts w:ascii="Times New Roman" w:hAnsi="Times New Roman" w:cs="Times New Roman"/>
          <w:sz w:val="28"/>
          <w:szCs w:val="28"/>
          <w:lang w:val="en-US"/>
        </w:rPr>
        <w:t>8</w:t>
      </w:r>
      <w:r w:rsidRPr="00244343">
        <w:rPr>
          <w:rFonts w:ascii="Times New Roman" w:hAnsi="Times New Roman" w:cs="Times New Roman"/>
          <w:sz w:val="28"/>
          <w:szCs w:val="28"/>
          <w:lang w:val="en-US"/>
        </w:rPr>
        <w:t xml:space="preserve">]. </w:t>
      </w:r>
      <w:proofErr w:type="spellStart"/>
      <w:r w:rsidRPr="00244343">
        <w:rPr>
          <w:rFonts w:ascii="Times New Roman" w:hAnsi="Times New Roman" w:cs="Times New Roman"/>
          <w:sz w:val="28"/>
          <w:szCs w:val="28"/>
          <w:lang w:val="en-US"/>
        </w:rPr>
        <w:t>Narxoz</w:t>
      </w:r>
      <w:proofErr w:type="spellEnd"/>
      <w:r w:rsidRPr="00244343">
        <w:rPr>
          <w:rFonts w:ascii="Times New Roman" w:hAnsi="Times New Roman" w:cs="Times New Roman"/>
          <w:sz w:val="28"/>
          <w:szCs w:val="28"/>
          <w:lang w:val="en-US"/>
        </w:rPr>
        <w:t xml:space="preserve"> case is a good paragon for tackling graduate unemployment issues, however in </w:t>
      </w:r>
      <w:proofErr w:type="spellStart"/>
      <w:r w:rsidRPr="00244343">
        <w:rPr>
          <w:rFonts w:ascii="Times New Roman" w:hAnsi="Times New Roman" w:cs="Times New Roman"/>
          <w:sz w:val="28"/>
          <w:szCs w:val="28"/>
          <w:lang w:val="en-US"/>
        </w:rPr>
        <w:t>Narxoz</w:t>
      </w:r>
      <w:proofErr w:type="spellEnd"/>
      <w:r w:rsidRPr="00244343">
        <w:rPr>
          <w:rFonts w:ascii="Times New Roman" w:hAnsi="Times New Roman" w:cs="Times New Roman"/>
          <w:sz w:val="28"/>
          <w:szCs w:val="28"/>
          <w:lang w:val="en-US"/>
        </w:rPr>
        <w:t xml:space="preserve"> only masters’ students in applied finance program are eligible and can benefit this opportunity. What about the rest of university graduates of other specialties?</w:t>
      </w:r>
    </w:p>
    <w:p w14:paraId="32D93041"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proofErr w:type="spellStart"/>
      <w:r w:rsidRPr="00244343">
        <w:rPr>
          <w:rFonts w:ascii="Times New Roman" w:hAnsi="Times New Roman" w:cs="Times New Roman"/>
          <w:sz w:val="28"/>
          <w:szCs w:val="28"/>
          <w:lang w:val="en-US"/>
        </w:rPr>
        <w:t>Kazakshtani</w:t>
      </w:r>
      <w:proofErr w:type="spellEnd"/>
      <w:r w:rsidRPr="00244343">
        <w:rPr>
          <w:rFonts w:ascii="Times New Roman" w:hAnsi="Times New Roman" w:cs="Times New Roman"/>
          <w:sz w:val="28"/>
          <w:szCs w:val="28"/>
          <w:lang w:val="en-US"/>
        </w:rPr>
        <w:t xml:space="preserve"> universities learning programs involve the partnerships with companies in specialty fields, and usually these partnerships are the network of employed graduates, connections and networks of the university stuff. Unfortunately, Kazakhstani companies are not eager to cooperate with universities where they need to secure a job for the graduates they have been working with. </w:t>
      </w:r>
    </w:p>
    <w:p w14:paraId="511CF2EC" w14:textId="2B4D4DFB"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Carrier Centre, according to </w:t>
      </w:r>
      <w:proofErr w:type="spellStart"/>
      <w:r w:rsidRPr="00244343">
        <w:rPr>
          <w:rFonts w:ascii="Times New Roman" w:hAnsi="Times New Roman" w:cs="Times New Roman"/>
          <w:sz w:val="28"/>
          <w:szCs w:val="28"/>
          <w:lang w:val="en-US"/>
        </w:rPr>
        <w:t>Shatovska</w:t>
      </w:r>
      <w:proofErr w:type="spellEnd"/>
      <w:r w:rsidRPr="00244343">
        <w:rPr>
          <w:rFonts w:ascii="Times New Roman" w:hAnsi="Times New Roman" w:cs="Times New Roman"/>
          <w:sz w:val="28"/>
          <w:szCs w:val="28"/>
          <w:lang w:val="en-US"/>
        </w:rPr>
        <w:t xml:space="preserve">, </w:t>
      </w:r>
      <w:proofErr w:type="spellStart"/>
      <w:r w:rsidRPr="00244343">
        <w:rPr>
          <w:rFonts w:ascii="Times New Roman" w:hAnsi="Times New Roman" w:cs="Times New Roman"/>
          <w:sz w:val="28"/>
          <w:szCs w:val="28"/>
          <w:lang w:val="en-US"/>
        </w:rPr>
        <w:t>Tetyana</w:t>
      </w:r>
      <w:proofErr w:type="spellEnd"/>
      <w:r w:rsidRPr="00244343">
        <w:rPr>
          <w:rFonts w:ascii="Times New Roman" w:hAnsi="Times New Roman" w:cs="Times New Roman"/>
          <w:sz w:val="28"/>
          <w:szCs w:val="28"/>
          <w:lang w:val="en-US"/>
        </w:rPr>
        <w:t xml:space="preserve"> et al</w:t>
      </w:r>
      <w:r w:rsidR="00497802">
        <w:rPr>
          <w:rFonts w:ascii="Times New Roman" w:hAnsi="Times New Roman" w:cs="Times New Roman"/>
          <w:sz w:val="28"/>
          <w:szCs w:val="28"/>
          <w:lang w:val="en-US"/>
        </w:rPr>
        <w:t>.</w:t>
      </w:r>
      <w:r w:rsidRPr="00244343">
        <w:rPr>
          <w:rFonts w:ascii="Times New Roman" w:hAnsi="Times New Roman" w:cs="Times New Roman"/>
          <w:sz w:val="28"/>
          <w:szCs w:val="28"/>
          <w:lang w:val="en-US"/>
        </w:rPr>
        <w:t xml:space="preserve"> offers informational, analytical, and organizational assistance for the career placements of students and graduates</w:t>
      </w:r>
      <w:r w:rsidR="00497802">
        <w:rPr>
          <w:rFonts w:ascii="Times New Roman" w:hAnsi="Times New Roman" w:cs="Times New Roman"/>
          <w:sz w:val="28"/>
          <w:szCs w:val="28"/>
          <w:lang w:val="en-US"/>
        </w:rPr>
        <w:t xml:space="preserve"> [26</w:t>
      </w:r>
      <w:r w:rsidR="00F44B8C">
        <w:rPr>
          <w:rFonts w:ascii="Times New Roman" w:hAnsi="Times New Roman" w:cs="Times New Roman"/>
          <w:sz w:val="28"/>
          <w:szCs w:val="28"/>
          <w:lang w:val="en-US"/>
        </w:rPr>
        <w:t>8</w:t>
      </w:r>
      <w:r w:rsidR="00497802">
        <w:rPr>
          <w:rFonts w:ascii="Times New Roman" w:hAnsi="Times New Roman" w:cs="Times New Roman"/>
          <w:sz w:val="28"/>
          <w:szCs w:val="28"/>
          <w:lang w:val="en-US"/>
        </w:rPr>
        <w:t>]</w:t>
      </w:r>
      <w:r w:rsidRPr="00244343">
        <w:rPr>
          <w:rFonts w:ascii="Times New Roman" w:hAnsi="Times New Roman" w:cs="Times New Roman"/>
          <w:sz w:val="28"/>
          <w:szCs w:val="28"/>
          <w:lang w:val="en-US"/>
        </w:rPr>
        <w:t>. The researchers offered the information system to support its primary tasks. The system according to previously mentioned authors enhances connections between students and firms while functioning as a storehouse for resumes and job vacancies. Also, the system must function as a virtual recruiter that considers students' capabilities and preferences, available positions, company profiles, local labor market infrastructure, industrial and technological trends, job specifications, and available HR to facilitate effective employment decisions. Another study by Huang L in 2022 reveals that implementing a job advisory system for college students, incorporating AI and civic education, can significantly enhance students' career prospects. The study mentioned above proposes a college student employment guidance system that provides career guidance courses in higher education institutions, assists graduates in addressing their uncertainties, and facilitates the adjustment of their psychological condition during the job search process [2</w:t>
      </w:r>
      <w:r w:rsidR="00F44B8C">
        <w:rPr>
          <w:rFonts w:ascii="Times New Roman" w:hAnsi="Times New Roman" w:cs="Times New Roman"/>
          <w:sz w:val="28"/>
          <w:szCs w:val="28"/>
          <w:lang w:val="en-US"/>
        </w:rPr>
        <w:t>69</w:t>
      </w:r>
      <w:r w:rsidRPr="00244343">
        <w:rPr>
          <w:rFonts w:ascii="Times New Roman" w:hAnsi="Times New Roman" w:cs="Times New Roman"/>
          <w:sz w:val="28"/>
          <w:szCs w:val="28"/>
          <w:lang w:val="en-US"/>
        </w:rPr>
        <w:t>].</w:t>
      </w:r>
      <w:r w:rsidRPr="00244343">
        <w:rPr>
          <w:rFonts w:ascii="Times New Roman" w:hAnsi="Times New Roman" w:cs="Times New Roman"/>
          <w:sz w:val="28"/>
          <w:szCs w:val="28"/>
          <w:shd w:val="clear" w:color="auto" w:fill="FFFFFF"/>
          <w:lang w:val="en-US"/>
        </w:rPr>
        <w:t xml:space="preserve"> </w:t>
      </w:r>
    </w:p>
    <w:p w14:paraId="3E513BCC" w14:textId="77777777" w:rsidR="00B2633D"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Probably, present and existing career </w:t>
      </w:r>
      <w:proofErr w:type="spellStart"/>
      <w:r w:rsidRPr="00244343">
        <w:rPr>
          <w:rFonts w:ascii="Times New Roman" w:hAnsi="Times New Roman" w:cs="Times New Roman"/>
          <w:sz w:val="28"/>
          <w:szCs w:val="28"/>
          <w:lang w:val="en-US"/>
        </w:rPr>
        <w:t>centres</w:t>
      </w:r>
      <w:proofErr w:type="spellEnd"/>
      <w:r w:rsidRPr="00244343">
        <w:rPr>
          <w:rFonts w:ascii="Times New Roman" w:hAnsi="Times New Roman" w:cs="Times New Roman"/>
          <w:sz w:val="28"/>
          <w:szCs w:val="28"/>
          <w:lang w:val="en-US"/>
        </w:rPr>
        <w:t xml:space="preserve"> should integrate: a) AI powered automatic information system, and CC workers will be entering the graduate’s data on time and b) approach to potential employers. </w:t>
      </w:r>
    </w:p>
    <w:p w14:paraId="404EB4E9" w14:textId="6180D5CE" w:rsidR="00600C79" w:rsidRPr="00244343" w:rsidRDefault="00600C79" w:rsidP="00DF4EC0">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lastRenderedPageBreak/>
        <w:t>AI integration into CC platforms has the potential to significantly improve employment outcomes for graduates and organizations seeking to recruit talent. Moreover, AI can streamline the processes associated with career centers, specifically in the areas of documentation, candidate search and matching, and skill development. By leveraging AI technologies, career services can enhance their efficiency and effectiveness in connecting graduates with appropriate employment opportunities.</w:t>
      </w:r>
    </w:p>
    <w:p w14:paraId="267F294F" w14:textId="122902F4" w:rsidR="00600C79" w:rsidRPr="00244343" w:rsidRDefault="00600C79" w:rsidP="00B2633D">
      <w:pPr>
        <w:spacing w:after="0" w:line="240" w:lineRule="auto"/>
        <w:ind w:firstLine="720"/>
        <w:contextualSpacing/>
        <w:jc w:val="both"/>
        <w:rPr>
          <w:rFonts w:ascii="Times New Roman" w:hAnsi="Times New Roman" w:cs="Times New Roman"/>
          <w:sz w:val="28"/>
          <w:szCs w:val="28"/>
          <w:shd w:val="clear" w:color="auto" w:fill="FFFFFF"/>
          <w:lang w:val="en-US"/>
        </w:rPr>
      </w:pPr>
      <w:r w:rsidRPr="00244343">
        <w:rPr>
          <w:rFonts w:ascii="Times New Roman" w:hAnsi="Times New Roman" w:cs="Times New Roman"/>
          <w:sz w:val="28"/>
          <w:szCs w:val="28"/>
          <w:lang w:val="en-US"/>
        </w:rPr>
        <w:t>In recent years, numerous initiatives have emerged to restructure higher education in accordance with market principles and company management strategies [</w:t>
      </w:r>
      <w:r w:rsidR="002B0177">
        <w:rPr>
          <w:rFonts w:ascii="Times New Roman" w:hAnsi="Times New Roman" w:cs="Times New Roman"/>
          <w:sz w:val="28"/>
          <w:szCs w:val="28"/>
          <w:lang w:val="en-US"/>
        </w:rPr>
        <w:t>27</w:t>
      </w:r>
      <w:r w:rsidR="00F44B8C">
        <w:rPr>
          <w:rFonts w:ascii="Times New Roman" w:hAnsi="Times New Roman" w:cs="Times New Roman"/>
          <w:sz w:val="28"/>
          <w:szCs w:val="28"/>
          <w:lang w:val="en-US"/>
        </w:rPr>
        <w:t>0</w:t>
      </w:r>
      <w:r w:rsidRPr="00244343">
        <w:rPr>
          <w:rFonts w:ascii="Times New Roman" w:hAnsi="Times New Roman" w:cs="Times New Roman"/>
          <w:sz w:val="28"/>
          <w:szCs w:val="28"/>
          <w:lang w:val="en-US"/>
        </w:rPr>
        <w:t>]</w:t>
      </w:r>
      <w:r w:rsidRPr="00244343">
        <w:rPr>
          <w:rFonts w:ascii="Times New Roman" w:hAnsi="Times New Roman" w:cs="Times New Roman"/>
          <w:spacing w:val="-5"/>
          <w:sz w:val="28"/>
          <w:szCs w:val="28"/>
          <w:shd w:val="clear" w:color="auto" w:fill="FFFFFF"/>
          <w:lang w:val="en-US"/>
        </w:rPr>
        <w:t xml:space="preserve">. However, AI being deployed in career </w:t>
      </w:r>
      <w:proofErr w:type="spellStart"/>
      <w:r w:rsidRPr="00244343">
        <w:rPr>
          <w:rFonts w:ascii="Times New Roman" w:hAnsi="Times New Roman" w:cs="Times New Roman"/>
          <w:spacing w:val="-5"/>
          <w:sz w:val="28"/>
          <w:szCs w:val="28"/>
          <w:shd w:val="clear" w:color="auto" w:fill="FFFFFF"/>
          <w:lang w:val="en-US"/>
        </w:rPr>
        <w:t>centres</w:t>
      </w:r>
      <w:proofErr w:type="spellEnd"/>
      <w:r w:rsidRPr="00244343">
        <w:rPr>
          <w:rFonts w:ascii="Times New Roman" w:hAnsi="Times New Roman" w:cs="Times New Roman"/>
          <w:spacing w:val="-5"/>
          <w:sz w:val="28"/>
          <w:szCs w:val="28"/>
          <w:shd w:val="clear" w:color="auto" w:fill="FFFFFF"/>
          <w:lang w:val="en-US"/>
        </w:rPr>
        <w:t xml:space="preserve"> of HEIs is brand new, unlike AI used in a workplace [2</w:t>
      </w:r>
      <w:r w:rsidR="002B0177">
        <w:rPr>
          <w:rFonts w:ascii="Times New Roman" w:hAnsi="Times New Roman" w:cs="Times New Roman"/>
          <w:spacing w:val="-5"/>
          <w:sz w:val="28"/>
          <w:szCs w:val="28"/>
          <w:shd w:val="clear" w:color="auto" w:fill="FFFFFF"/>
          <w:lang w:val="en-US"/>
        </w:rPr>
        <w:t>7</w:t>
      </w:r>
      <w:r w:rsidR="00F44B8C">
        <w:rPr>
          <w:rFonts w:ascii="Times New Roman" w:hAnsi="Times New Roman" w:cs="Times New Roman"/>
          <w:spacing w:val="-5"/>
          <w:sz w:val="28"/>
          <w:szCs w:val="28"/>
          <w:shd w:val="clear" w:color="auto" w:fill="FFFFFF"/>
          <w:lang w:val="en-US"/>
        </w:rPr>
        <w:t>1</w:t>
      </w:r>
      <w:r w:rsidRPr="00244343">
        <w:rPr>
          <w:rFonts w:ascii="Times New Roman" w:hAnsi="Times New Roman" w:cs="Times New Roman"/>
          <w:spacing w:val="-5"/>
          <w:sz w:val="28"/>
          <w:szCs w:val="28"/>
          <w:shd w:val="clear" w:color="auto" w:fill="FFFFFF"/>
          <w:lang w:val="en-US"/>
        </w:rPr>
        <w:t xml:space="preserve">]. </w:t>
      </w:r>
      <w:r w:rsidRPr="00244343">
        <w:rPr>
          <w:rFonts w:ascii="Times New Roman" w:hAnsi="Times New Roman" w:cs="Times New Roman"/>
          <w:sz w:val="28"/>
          <w:szCs w:val="28"/>
          <w:lang w:val="en-US"/>
        </w:rPr>
        <w:t xml:space="preserve">The study conducted </w:t>
      </w:r>
      <w:r w:rsidRPr="002B0177">
        <w:rPr>
          <w:rFonts w:ascii="Times New Roman" w:hAnsi="Times New Roman" w:cs="Times New Roman"/>
          <w:sz w:val="28"/>
          <w:szCs w:val="28"/>
          <w:lang w:val="en-US"/>
        </w:rPr>
        <w:t xml:space="preserve">by </w:t>
      </w:r>
      <w:hyperlink r:id="rId70" w:tgtFrame="_blank" w:history="1">
        <w:proofErr w:type="spellStart"/>
        <w:r w:rsidRPr="00DF4EC0">
          <w:rPr>
            <w:rFonts w:ascii="Times New Roman" w:hAnsi="Times New Roman" w:cs="Times New Roman"/>
            <w:sz w:val="28"/>
            <w:szCs w:val="28"/>
            <w:lang w:val="en-US"/>
          </w:rPr>
          <w:t>Slimi</w:t>
        </w:r>
        <w:proofErr w:type="spellEnd"/>
        <w:r w:rsidRPr="00DF4EC0">
          <w:rPr>
            <w:rFonts w:ascii="Times New Roman" w:hAnsi="Times New Roman" w:cs="Times New Roman"/>
            <w:sz w:val="28"/>
            <w:szCs w:val="28"/>
            <w:lang w:val="en-US"/>
          </w:rPr>
          <w:t>, Z</w:t>
        </w:r>
      </w:hyperlink>
      <w:r w:rsidRPr="002B0177">
        <w:rPr>
          <w:rFonts w:ascii="Times New Roman" w:hAnsi="Times New Roman" w:cs="Times New Roman"/>
          <w:sz w:val="28"/>
          <w:szCs w:val="28"/>
          <w:lang w:val="en-US"/>
        </w:rPr>
        <w:t>, and </w:t>
      </w:r>
      <w:proofErr w:type="spellStart"/>
      <w:r w:rsidR="00C25782">
        <w:fldChar w:fldCharType="begin"/>
      </w:r>
      <w:r w:rsidR="00C25782" w:rsidRPr="00725682">
        <w:rPr>
          <w:lang w:val="en-US"/>
        </w:rPr>
        <w:instrText xml:space="preserve"> HYPERLINK "https://www.webofscience.com/wos/author/record/46051219" \t "_blank" </w:instrText>
      </w:r>
      <w:r w:rsidR="00C25782">
        <w:fldChar w:fldCharType="separate"/>
      </w:r>
      <w:r w:rsidRPr="00DF4EC0">
        <w:rPr>
          <w:rFonts w:ascii="Times New Roman" w:hAnsi="Times New Roman" w:cs="Times New Roman"/>
          <w:sz w:val="28"/>
          <w:szCs w:val="28"/>
          <w:lang w:val="en-US"/>
        </w:rPr>
        <w:t>Carballido</w:t>
      </w:r>
      <w:proofErr w:type="spellEnd"/>
      <w:r w:rsidRPr="00DF4EC0">
        <w:rPr>
          <w:rFonts w:ascii="Times New Roman" w:hAnsi="Times New Roman" w:cs="Times New Roman"/>
          <w:sz w:val="28"/>
          <w:szCs w:val="28"/>
          <w:lang w:val="en-US"/>
        </w:rPr>
        <w:t>, BV</w:t>
      </w:r>
      <w:r w:rsidR="00C25782">
        <w:rPr>
          <w:rFonts w:ascii="Times New Roman" w:hAnsi="Times New Roman" w:cs="Times New Roman"/>
          <w:sz w:val="28"/>
          <w:szCs w:val="28"/>
          <w:lang w:val="en-US"/>
        </w:rPr>
        <w:fldChar w:fldCharType="end"/>
      </w:r>
      <w:r w:rsidRPr="002B0177">
        <w:rPr>
          <w:rFonts w:ascii="Times New Roman" w:hAnsi="Times New Roman" w:cs="Times New Roman"/>
          <w:sz w:val="28"/>
          <w:szCs w:val="28"/>
          <w:lang w:val="en-US"/>
        </w:rPr>
        <w:t>,</w:t>
      </w:r>
      <w:r w:rsidRPr="00244343">
        <w:rPr>
          <w:rFonts w:ascii="Times New Roman" w:hAnsi="Times New Roman" w:cs="Times New Roman"/>
          <w:sz w:val="28"/>
          <w:szCs w:val="28"/>
          <w:lang w:val="en-US"/>
        </w:rPr>
        <w:t xml:space="preserve"> in 2023 concluded that AI can enhance educational quality, offer effective learning and teaching methodologies, and refine evaluations to equip students for their jobs better. Also, it highlights AI's capacity to influence future employment prospects and the necessity for universities and HEIs to integrate AI to align with market requirements</w:t>
      </w:r>
      <w:r w:rsidR="002B0177">
        <w:rPr>
          <w:rFonts w:ascii="Times New Roman" w:hAnsi="Times New Roman" w:cs="Times New Roman"/>
          <w:sz w:val="28"/>
          <w:szCs w:val="28"/>
          <w:lang w:val="en-US"/>
        </w:rPr>
        <w:t xml:space="preserve"> [27</w:t>
      </w:r>
      <w:r w:rsidR="00F44B8C">
        <w:rPr>
          <w:rFonts w:ascii="Times New Roman" w:hAnsi="Times New Roman" w:cs="Times New Roman"/>
          <w:sz w:val="28"/>
          <w:szCs w:val="28"/>
          <w:lang w:val="en-US"/>
        </w:rPr>
        <w:t>2</w:t>
      </w:r>
      <w:r w:rsidR="002B0177">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 xml:space="preserve">Artificial intelligence (AI) is progressively integrating into numerous human resource management (HRM) processes, including sourcing job candidates, choosing personnel, distributing tasks, and providing tailored career coaching. There is more AI deployment in HRM rather than by career </w:t>
      </w:r>
      <w:proofErr w:type="spellStart"/>
      <w:r w:rsidRPr="00244343">
        <w:rPr>
          <w:rFonts w:ascii="Times New Roman" w:hAnsi="Times New Roman" w:cs="Times New Roman"/>
          <w:sz w:val="28"/>
          <w:szCs w:val="28"/>
          <w:lang w:val="en-US"/>
        </w:rPr>
        <w:t>centres</w:t>
      </w:r>
      <w:proofErr w:type="spellEnd"/>
      <w:r w:rsidRPr="00244343">
        <w:rPr>
          <w:rFonts w:ascii="Times New Roman" w:hAnsi="Times New Roman" w:cs="Times New Roman"/>
          <w:sz w:val="28"/>
          <w:szCs w:val="28"/>
          <w:lang w:val="en-US"/>
        </w:rPr>
        <w:t xml:space="preserve"> or HEIs agents for regulating graduate employment. Unfortunately, the scientific databases as Scopus and </w:t>
      </w:r>
      <w:proofErr w:type="spellStart"/>
      <w:r w:rsidRPr="00244343">
        <w:rPr>
          <w:rFonts w:ascii="Times New Roman" w:hAnsi="Times New Roman" w:cs="Times New Roman"/>
          <w:sz w:val="28"/>
          <w:szCs w:val="28"/>
          <w:lang w:val="en-US"/>
        </w:rPr>
        <w:t>WebOf</w:t>
      </w:r>
      <w:proofErr w:type="spellEnd"/>
      <w:r w:rsidRPr="00244343">
        <w:rPr>
          <w:rFonts w:ascii="Times New Roman" w:hAnsi="Times New Roman" w:cs="Times New Roman"/>
          <w:sz w:val="28"/>
          <w:szCs w:val="28"/>
          <w:lang w:val="en-US"/>
        </w:rPr>
        <w:t xml:space="preserve"> science revealed no research in the domain: AI in career </w:t>
      </w:r>
      <w:proofErr w:type="spellStart"/>
      <w:r w:rsidRPr="00244343">
        <w:rPr>
          <w:rFonts w:ascii="Times New Roman" w:hAnsi="Times New Roman" w:cs="Times New Roman"/>
          <w:sz w:val="28"/>
          <w:szCs w:val="28"/>
          <w:lang w:val="en-US"/>
        </w:rPr>
        <w:t>centres</w:t>
      </w:r>
      <w:proofErr w:type="spellEnd"/>
      <w:r w:rsidRPr="00244343">
        <w:rPr>
          <w:rFonts w:ascii="Times New Roman" w:hAnsi="Times New Roman" w:cs="Times New Roman"/>
          <w:sz w:val="28"/>
          <w:szCs w:val="28"/>
          <w:lang w:val="en-US"/>
        </w:rPr>
        <w:t>. Research on the impact of AI expertise on career prospects is sparse [27</w:t>
      </w:r>
      <w:r w:rsidR="00F44B8C">
        <w:rPr>
          <w:rFonts w:ascii="Times New Roman" w:hAnsi="Times New Roman" w:cs="Times New Roman"/>
          <w:sz w:val="28"/>
          <w:szCs w:val="28"/>
          <w:lang w:val="en-US"/>
        </w:rPr>
        <w:t>3</w:t>
      </w:r>
      <w:r w:rsidRPr="00244343">
        <w:rPr>
          <w:rFonts w:ascii="Times New Roman" w:hAnsi="Times New Roman" w:cs="Times New Roman"/>
          <w:sz w:val="28"/>
          <w:szCs w:val="28"/>
          <w:lang w:val="en-US"/>
        </w:rPr>
        <w:t>]</w:t>
      </w:r>
      <w:r w:rsidRPr="00244343">
        <w:rPr>
          <w:rFonts w:ascii="Times New Roman" w:hAnsi="Times New Roman" w:cs="Times New Roman"/>
          <w:sz w:val="28"/>
          <w:szCs w:val="28"/>
          <w:shd w:val="clear" w:color="auto" w:fill="FFFFFF"/>
          <w:lang w:val="en-US"/>
        </w:rPr>
        <w:t xml:space="preserve">. Kazakhstani career </w:t>
      </w:r>
      <w:proofErr w:type="spellStart"/>
      <w:r w:rsidRPr="00244343">
        <w:rPr>
          <w:rFonts w:ascii="Times New Roman" w:hAnsi="Times New Roman" w:cs="Times New Roman"/>
          <w:sz w:val="28"/>
          <w:szCs w:val="28"/>
          <w:shd w:val="clear" w:color="auto" w:fill="FFFFFF"/>
          <w:lang w:val="en-US"/>
        </w:rPr>
        <w:t>centres</w:t>
      </w:r>
      <w:proofErr w:type="spellEnd"/>
      <w:r w:rsidRPr="00244343">
        <w:rPr>
          <w:rFonts w:ascii="Times New Roman" w:hAnsi="Times New Roman" w:cs="Times New Roman"/>
          <w:sz w:val="28"/>
          <w:szCs w:val="28"/>
          <w:shd w:val="clear" w:color="auto" w:fill="FFFFFF"/>
          <w:lang w:val="en-US"/>
        </w:rPr>
        <w:t xml:space="preserve"> of universities apply mainly dual collaboration resulted in further student employment</w:t>
      </w:r>
      <w:r w:rsidR="002B0177">
        <w:rPr>
          <w:rFonts w:ascii="Times New Roman" w:hAnsi="Times New Roman" w:cs="Times New Roman"/>
          <w:sz w:val="28"/>
          <w:szCs w:val="28"/>
          <w:shd w:val="clear" w:color="auto" w:fill="FFFFFF"/>
          <w:lang w:val="en-US"/>
        </w:rPr>
        <w:t xml:space="preserve"> </w:t>
      </w:r>
      <w:r w:rsidRPr="00244343">
        <w:rPr>
          <w:rFonts w:ascii="Times New Roman" w:hAnsi="Times New Roman" w:cs="Times New Roman"/>
          <w:sz w:val="28"/>
          <w:szCs w:val="28"/>
          <w:shd w:val="clear" w:color="auto" w:fill="FFFFFF"/>
          <w:lang w:val="en-US"/>
        </w:rPr>
        <w:t xml:space="preserve">while we offer to integrate AI, or AI-powered/ AI- built app or platform to dual collaboration enhancing graduate employment in its program. </w:t>
      </w:r>
    </w:p>
    <w:p w14:paraId="77608D4B" w14:textId="7D3837A6" w:rsidR="00600C79" w:rsidRPr="00244343" w:rsidRDefault="005C6D95" w:rsidP="00600C79">
      <w:pPr>
        <w:spacing w:after="0" w:line="240" w:lineRule="auto"/>
        <w:ind w:firstLine="720"/>
        <w:contextualSpacing/>
        <w:jc w:val="both"/>
        <w:rPr>
          <w:rFonts w:ascii="Times New Roman" w:hAnsi="Times New Roman" w:cs="Times New Roman"/>
          <w:sz w:val="28"/>
          <w:szCs w:val="28"/>
          <w:lang w:val="en-US"/>
        </w:rPr>
      </w:pPr>
      <w:r w:rsidRPr="005C6D95">
        <w:rPr>
          <w:rFonts w:ascii="Times New Roman" w:hAnsi="Times New Roman" w:cs="Times New Roman"/>
          <w:sz w:val="28"/>
          <w:szCs w:val="28"/>
          <w:lang w:val="en-US"/>
        </w:rPr>
        <w:t xml:space="preserve">Recent applied research has highlighted the recommendations encompass augmenting collaboration between career centers and academic departments, incorporating career development into the curriculum, and establishing enduring collaborations with industry stakeholders to facilitate structured internship and mentorship opportunities.  Career </w:t>
      </w:r>
      <w:proofErr w:type="spellStart"/>
      <w:r w:rsidRPr="005C6D95">
        <w:rPr>
          <w:rFonts w:ascii="Times New Roman" w:hAnsi="Times New Roman" w:cs="Times New Roman"/>
          <w:sz w:val="28"/>
          <w:szCs w:val="28"/>
          <w:lang w:val="en-US"/>
        </w:rPr>
        <w:t>centres</w:t>
      </w:r>
      <w:proofErr w:type="spellEnd"/>
      <w:r w:rsidRPr="005C6D95">
        <w:rPr>
          <w:rFonts w:ascii="Times New Roman" w:hAnsi="Times New Roman" w:cs="Times New Roman"/>
          <w:sz w:val="28"/>
          <w:szCs w:val="28"/>
          <w:lang w:val="en-US"/>
        </w:rPr>
        <w:t xml:space="preserve"> should also function as coordination hubs for entrepreneurship training, soft skills enhancement, and exposure to practical difficulties via innovation laboratories and collaboratively planned industry initiatives.  These initiatives are especially vital in emerging nations where discrepancies between graduate competencies and labor market demands exist.  </w:t>
      </w:r>
      <w:r w:rsidR="00600C79" w:rsidRPr="00244343">
        <w:rPr>
          <w:rFonts w:ascii="Times New Roman" w:hAnsi="Times New Roman" w:cs="Times New Roman"/>
          <w:sz w:val="28"/>
          <w:szCs w:val="28"/>
          <w:lang w:val="en-US"/>
        </w:rPr>
        <w:t>[</w:t>
      </w:r>
      <w:r w:rsidR="002B0177">
        <w:rPr>
          <w:rFonts w:ascii="Times New Roman" w:hAnsi="Times New Roman" w:cs="Times New Roman"/>
          <w:sz w:val="28"/>
          <w:szCs w:val="28"/>
          <w:lang w:val="en-US"/>
        </w:rPr>
        <w:t>218</w:t>
      </w:r>
      <w:r w:rsidR="00600C79" w:rsidRPr="00244343">
        <w:rPr>
          <w:rFonts w:ascii="Times New Roman" w:hAnsi="Times New Roman" w:cs="Times New Roman"/>
          <w:sz w:val="28"/>
          <w:szCs w:val="28"/>
          <w:lang w:val="en-US"/>
        </w:rPr>
        <w:t xml:space="preserve">, p.691]. To develop an advanced online platform and various analytics-driven career services utilizing machine learning algorithms, artificial intelligence, and big data technologies to align graduates' skills with job opportunities and analyze employment trends and graduates' performance in the job market. Secondly, new surveys that encompass information on referrals and social networks should be introduced to facilitate researchers' access to administrative data, and innovative technology should be advocated to address issues associated with labor market information. Thirdly, it will facilitate students acquiring professional experience at the institution via long-term internships, cooperative education programs, </w:t>
      </w:r>
      <w:r w:rsidR="00600C79" w:rsidRPr="00244343">
        <w:rPr>
          <w:rFonts w:ascii="Times New Roman" w:hAnsi="Times New Roman" w:cs="Times New Roman"/>
          <w:sz w:val="28"/>
          <w:szCs w:val="28"/>
          <w:lang w:val="en-US"/>
        </w:rPr>
        <w:lastRenderedPageBreak/>
        <w:t xml:space="preserve">apprenticeships, dual education initiatives, and mentorship schemes. Fourthly, networking skills should be included in university curricula, and career development and lifelong learning initiatives should be established with the participation of university alumni. Lastly, various incubation and acceleration programs are implemented in business incubators, accelerators, technology parks, and entrepreneurial and innovation hubs affiliated with universities to establish a company infrastructure and atmosphere. </w:t>
      </w:r>
    </w:p>
    <w:p w14:paraId="4E196F08" w14:textId="559E5555" w:rsidR="00600C79"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While employability is a key focus, it is also important for higher education to prioritize personal and intellectual growth. This balance can indirectly enhance professional opportunities for graduates, adding a layer of complexity to the issue [27</w:t>
      </w:r>
      <w:r w:rsidR="00F44B8C">
        <w:rPr>
          <w:rFonts w:ascii="Times New Roman" w:hAnsi="Times New Roman" w:cs="Times New Roman"/>
          <w:sz w:val="28"/>
          <w:szCs w:val="28"/>
          <w:lang w:val="en-US"/>
        </w:rPr>
        <w:t>4</w:t>
      </w:r>
      <w:r w:rsidRPr="00244343">
        <w:rPr>
          <w:rFonts w:ascii="Times New Roman" w:hAnsi="Times New Roman" w:cs="Times New Roman"/>
          <w:sz w:val="28"/>
          <w:szCs w:val="28"/>
          <w:lang w:val="en-US"/>
        </w:rPr>
        <w:t>].</w:t>
      </w:r>
    </w:p>
    <w:p w14:paraId="40C55841" w14:textId="77777777" w:rsidR="00600C79" w:rsidRPr="00E96379" w:rsidRDefault="00600C79" w:rsidP="00600C79">
      <w:pPr>
        <w:spacing w:after="0" w:line="240" w:lineRule="auto"/>
        <w:ind w:firstLine="720"/>
        <w:contextualSpacing/>
        <w:jc w:val="both"/>
        <w:rPr>
          <w:rFonts w:ascii="Times New Roman" w:hAnsi="Times New Roman" w:cs="Times New Roman"/>
          <w:sz w:val="28"/>
          <w:szCs w:val="28"/>
          <w:lang w:val="en-US"/>
        </w:rPr>
      </w:pPr>
      <w:r w:rsidRPr="00E96379">
        <w:rPr>
          <w:rFonts w:ascii="Times New Roman" w:hAnsi="Times New Roman" w:cs="Times New Roman"/>
          <w:sz w:val="28"/>
          <w:szCs w:val="28"/>
          <w:lang w:val="en-US"/>
        </w:rPr>
        <w:t>An extensive analysis was conducted on over 100 websites of Kazakhstani universities and the websites of leading universities worldwide to evaluate the extent to which their Career Centers integrate artificial intelligence (AI) and whether their learning platforms incorporate tools designed to enhance student motivation. Given the increasing role of AI in higher education and the growing emphasis on student engagement, this study aimed to assess the current state of technological adoption in these domains.</w:t>
      </w:r>
    </w:p>
    <w:p w14:paraId="6DD780FD" w14:textId="77777777" w:rsidR="00600C79" w:rsidRPr="00F91190" w:rsidRDefault="00600C79" w:rsidP="00600C79">
      <w:pPr>
        <w:spacing w:after="0" w:line="240" w:lineRule="auto"/>
        <w:ind w:firstLine="720"/>
        <w:contextualSpacing/>
        <w:jc w:val="both"/>
        <w:rPr>
          <w:rFonts w:ascii="Times New Roman" w:hAnsi="Times New Roman" w:cs="Times New Roman"/>
          <w:sz w:val="28"/>
          <w:szCs w:val="28"/>
          <w:lang w:val="en-US"/>
        </w:rPr>
      </w:pPr>
      <w:bookmarkStart w:id="32" w:name="_Hlk190772548"/>
      <w:r w:rsidRPr="00E96379">
        <w:rPr>
          <w:rFonts w:ascii="Times New Roman" w:hAnsi="Times New Roman" w:cs="Times New Roman"/>
          <w:sz w:val="28"/>
          <w:szCs w:val="28"/>
          <w:lang w:val="en-US"/>
        </w:rPr>
        <w:t>A specialized program named "</w:t>
      </w:r>
      <w:proofErr w:type="spellStart"/>
      <w:r w:rsidRPr="00E96379">
        <w:rPr>
          <w:rFonts w:ascii="Times New Roman" w:hAnsi="Times New Roman" w:cs="Times New Roman"/>
          <w:sz w:val="28"/>
          <w:szCs w:val="28"/>
          <w:lang w:val="en-US"/>
        </w:rPr>
        <w:t>Unichecker</w:t>
      </w:r>
      <w:proofErr w:type="spellEnd"/>
      <w:r w:rsidRPr="00E96379">
        <w:rPr>
          <w:rFonts w:ascii="Times New Roman" w:hAnsi="Times New Roman" w:cs="Times New Roman"/>
          <w:sz w:val="28"/>
          <w:szCs w:val="28"/>
          <w:lang w:val="en-US"/>
        </w:rPr>
        <w:t xml:space="preserve">" was developed to facilitate this analysis using Python 3.12.1. The program was designed to systematically scan and analyze each university website based on the presence of specific keywords, namely "motivation in learning platforms" and "AI in Career Center." By employing keyword-based detection, the </w:t>
      </w:r>
      <w:proofErr w:type="spellStart"/>
      <w:r w:rsidRPr="00E96379">
        <w:rPr>
          <w:rFonts w:ascii="Times New Roman" w:hAnsi="Times New Roman" w:cs="Times New Roman"/>
          <w:sz w:val="28"/>
          <w:szCs w:val="28"/>
          <w:lang w:val="en-US"/>
        </w:rPr>
        <w:t>Unichecker</w:t>
      </w:r>
      <w:proofErr w:type="spellEnd"/>
      <w:r w:rsidRPr="00E96379">
        <w:rPr>
          <w:rFonts w:ascii="Times New Roman" w:hAnsi="Times New Roman" w:cs="Times New Roman"/>
          <w:sz w:val="28"/>
          <w:szCs w:val="28"/>
          <w:lang w:val="en-US"/>
        </w:rPr>
        <w:t xml:space="preserve"> program provided an efficient and standardized approach to identifying instances where AI-driven tools were integrated into career services, and learning platforms featured motivational components to enhance student engagement and academic performance.</w:t>
      </w:r>
      <w:r w:rsidRPr="009B61D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following </w:t>
      </w:r>
      <w:proofErr w:type="spellStart"/>
      <w:r>
        <w:rPr>
          <w:rFonts w:ascii="Times New Roman" w:hAnsi="Times New Roman" w:cs="Times New Roman"/>
          <w:sz w:val="28"/>
          <w:szCs w:val="28"/>
          <w:lang w:val="en-US"/>
        </w:rPr>
        <w:t>kewords</w:t>
      </w:r>
      <w:proofErr w:type="spellEnd"/>
      <w:r>
        <w:rPr>
          <w:rFonts w:ascii="Times New Roman" w:hAnsi="Times New Roman" w:cs="Times New Roman"/>
          <w:sz w:val="28"/>
          <w:szCs w:val="28"/>
          <w:lang w:val="en-US"/>
        </w:rPr>
        <w:t xml:space="preserve"> are used in the program to set the task for analysis: </w:t>
      </w:r>
      <w:r w:rsidRPr="009B61DF">
        <w:rPr>
          <w:rFonts w:ascii="Times New Roman" w:hAnsi="Times New Roman" w:cs="Times New Roman"/>
          <w:sz w:val="28"/>
          <w:szCs w:val="28"/>
          <w:lang w:val="en-US"/>
        </w:rPr>
        <w:t>AI keywords: "artificial intelligence", "machine learning", "AI", "chatbot", "career center AI", "</w:t>
      </w:r>
      <w:proofErr w:type="spellStart"/>
      <w:r w:rsidRPr="009B61DF">
        <w:rPr>
          <w:rFonts w:ascii="Times New Roman" w:hAnsi="Times New Roman" w:cs="Times New Roman"/>
          <w:sz w:val="28"/>
          <w:szCs w:val="28"/>
          <w:lang w:val="en-US"/>
        </w:rPr>
        <w:t>искусственный</w:t>
      </w:r>
      <w:proofErr w:type="spellEnd"/>
      <w:r w:rsidRPr="009B61DF">
        <w:rPr>
          <w:rFonts w:ascii="Times New Roman" w:hAnsi="Times New Roman" w:cs="Times New Roman"/>
          <w:sz w:val="28"/>
          <w:szCs w:val="28"/>
          <w:lang w:val="en-US"/>
        </w:rPr>
        <w:t xml:space="preserve"> </w:t>
      </w:r>
      <w:proofErr w:type="spellStart"/>
      <w:r w:rsidRPr="009B61DF">
        <w:rPr>
          <w:rFonts w:ascii="Times New Roman" w:hAnsi="Times New Roman" w:cs="Times New Roman"/>
          <w:sz w:val="28"/>
          <w:szCs w:val="28"/>
          <w:lang w:val="en-US"/>
        </w:rPr>
        <w:t>интеллект</w:t>
      </w:r>
      <w:proofErr w:type="spellEnd"/>
      <w:r w:rsidRPr="009B61DF">
        <w:rPr>
          <w:rFonts w:ascii="Times New Roman" w:hAnsi="Times New Roman" w:cs="Times New Roman"/>
          <w:sz w:val="28"/>
          <w:szCs w:val="28"/>
          <w:lang w:val="en-US"/>
        </w:rPr>
        <w:t>", "</w:t>
      </w:r>
      <w:proofErr w:type="spellStart"/>
      <w:r w:rsidRPr="009B61DF">
        <w:rPr>
          <w:rFonts w:ascii="Times New Roman" w:hAnsi="Times New Roman" w:cs="Times New Roman"/>
          <w:sz w:val="28"/>
          <w:szCs w:val="28"/>
          <w:lang w:val="en-US"/>
        </w:rPr>
        <w:t>машинное</w:t>
      </w:r>
      <w:proofErr w:type="spellEnd"/>
      <w:r w:rsidRPr="009B61DF">
        <w:rPr>
          <w:rFonts w:ascii="Times New Roman" w:hAnsi="Times New Roman" w:cs="Times New Roman"/>
          <w:sz w:val="28"/>
          <w:szCs w:val="28"/>
          <w:lang w:val="en-US"/>
        </w:rPr>
        <w:t xml:space="preserve"> </w:t>
      </w:r>
      <w:proofErr w:type="spellStart"/>
      <w:r w:rsidRPr="009B61DF">
        <w:rPr>
          <w:rFonts w:ascii="Times New Roman" w:hAnsi="Times New Roman" w:cs="Times New Roman"/>
          <w:sz w:val="28"/>
          <w:szCs w:val="28"/>
          <w:lang w:val="en-US"/>
        </w:rPr>
        <w:t>обучение</w:t>
      </w:r>
      <w:proofErr w:type="spellEnd"/>
      <w:r w:rsidRPr="009B61DF">
        <w:rPr>
          <w:rFonts w:ascii="Times New Roman" w:hAnsi="Times New Roman" w:cs="Times New Roman"/>
          <w:sz w:val="28"/>
          <w:szCs w:val="28"/>
          <w:lang w:val="en-US"/>
        </w:rPr>
        <w:t>", "</w:t>
      </w:r>
      <w:proofErr w:type="spellStart"/>
      <w:r w:rsidRPr="009B61DF">
        <w:rPr>
          <w:rFonts w:ascii="Times New Roman" w:hAnsi="Times New Roman" w:cs="Times New Roman"/>
          <w:sz w:val="28"/>
          <w:szCs w:val="28"/>
          <w:lang w:val="en-US"/>
        </w:rPr>
        <w:t>чат-бот</w:t>
      </w:r>
      <w:proofErr w:type="spellEnd"/>
      <w:r w:rsidRPr="009B61DF">
        <w:rPr>
          <w:rFonts w:ascii="Times New Roman" w:hAnsi="Times New Roman" w:cs="Times New Roman"/>
          <w:sz w:val="28"/>
          <w:szCs w:val="28"/>
          <w:lang w:val="en-US"/>
        </w:rPr>
        <w:t>", "ИИ"</w:t>
      </w:r>
      <w:r>
        <w:rPr>
          <w:rFonts w:ascii="Times New Roman" w:hAnsi="Times New Roman" w:cs="Times New Roman"/>
          <w:sz w:val="28"/>
          <w:szCs w:val="28"/>
          <w:lang w:val="en-US"/>
        </w:rPr>
        <w:t>.</w:t>
      </w:r>
    </w:p>
    <w:p w14:paraId="7F7C5FC5" w14:textId="4BB7987F" w:rsidR="00600C79" w:rsidRDefault="00600C79" w:rsidP="00600C79">
      <w:pPr>
        <w:spacing w:after="0" w:line="240" w:lineRule="auto"/>
        <w:ind w:firstLine="720"/>
        <w:contextualSpacing/>
        <w:jc w:val="both"/>
        <w:rPr>
          <w:rFonts w:ascii="Times New Roman" w:hAnsi="Times New Roman" w:cs="Times New Roman"/>
          <w:sz w:val="28"/>
          <w:szCs w:val="28"/>
          <w:lang w:val="en-US"/>
        </w:rPr>
      </w:pPr>
      <w:r w:rsidRPr="00E96379">
        <w:rPr>
          <w:rFonts w:ascii="Times New Roman" w:hAnsi="Times New Roman" w:cs="Times New Roman"/>
          <w:sz w:val="28"/>
          <w:szCs w:val="28"/>
          <w:lang w:val="en-US"/>
        </w:rPr>
        <w:t>The analysis revealed that AI integration in Career Center platforms among Kazakhstani universities remains limited. Only six of the 100 universities examined</w:t>
      </w:r>
      <w:r>
        <w:rPr>
          <w:rFonts w:ascii="Times New Roman" w:hAnsi="Times New Roman" w:cs="Times New Roman"/>
          <w:sz w:val="28"/>
          <w:szCs w:val="28"/>
          <w:lang w:val="en-US"/>
        </w:rPr>
        <w:t xml:space="preserve"> (Appendix </w:t>
      </w:r>
      <w:r w:rsidR="0054045C">
        <w:rPr>
          <w:rFonts w:ascii="Times New Roman" w:hAnsi="Times New Roman" w:cs="Times New Roman"/>
          <w:sz w:val="28"/>
          <w:szCs w:val="28"/>
          <w:lang w:val="en-US"/>
        </w:rPr>
        <w:t>D</w:t>
      </w:r>
      <w:r>
        <w:rPr>
          <w:rFonts w:ascii="Times New Roman" w:hAnsi="Times New Roman" w:cs="Times New Roman"/>
          <w:sz w:val="28"/>
          <w:szCs w:val="28"/>
          <w:lang w:val="en-US"/>
        </w:rPr>
        <w:t>)</w:t>
      </w:r>
      <w:r w:rsidRPr="00E96379">
        <w:rPr>
          <w:rFonts w:ascii="Times New Roman" w:hAnsi="Times New Roman" w:cs="Times New Roman"/>
          <w:sz w:val="28"/>
          <w:szCs w:val="28"/>
          <w:lang w:val="en-US"/>
        </w:rPr>
        <w:t xml:space="preserve"> had incorporated AI-driven functionalities into their Career Centers. </w:t>
      </w:r>
    </w:p>
    <w:p w14:paraId="6172FE21" w14:textId="16E4A4FF" w:rsidR="00600C79" w:rsidRPr="00A747FE" w:rsidRDefault="00600C79" w:rsidP="00600C79">
      <w:pPr>
        <w:spacing w:after="0" w:line="240" w:lineRule="auto"/>
        <w:ind w:firstLine="720"/>
        <w:contextualSpacing/>
        <w:jc w:val="both"/>
        <w:rPr>
          <w:rFonts w:ascii="Times New Roman" w:hAnsi="Times New Roman" w:cs="Times New Roman"/>
          <w:sz w:val="28"/>
          <w:szCs w:val="28"/>
          <w:lang w:val="en-US"/>
        </w:rPr>
      </w:pPr>
      <w:r w:rsidRPr="00A747FE">
        <w:rPr>
          <w:rFonts w:ascii="Times New Roman" w:hAnsi="Times New Roman" w:cs="Times New Roman"/>
          <w:sz w:val="28"/>
          <w:szCs w:val="28"/>
          <w:lang w:val="en-US"/>
        </w:rPr>
        <w:t>The results indicate that among the world’s leading universities, AI is integrated into the Career Center platforms of Harvard University, the University of Oxford, Stanford University, the University of Cambridge, and the Massachusetts Institute of Technology (MIT). Regarding student motivational tools, only Harvard University and Stanford University were found to utilize such features in their learning platforms</w:t>
      </w:r>
      <w:r>
        <w:rPr>
          <w:rFonts w:ascii="Times New Roman" w:hAnsi="Times New Roman" w:cs="Times New Roman"/>
          <w:sz w:val="28"/>
          <w:szCs w:val="28"/>
          <w:lang w:val="en-US"/>
        </w:rPr>
        <w:t xml:space="preserve"> (Appendix </w:t>
      </w:r>
      <w:r w:rsidR="0054045C">
        <w:rPr>
          <w:rFonts w:ascii="Times New Roman" w:hAnsi="Times New Roman" w:cs="Times New Roman"/>
          <w:sz w:val="28"/>
          <w:szCs w:val="28"/>
          <w:lang w:val="en-US"/>
        </w:rPr>
        <w:t>D</w:t>
      </w:r>
      <w:r>
        <w:rPr>
          <w:rFonts w:ascii="Times New Roman" w:hAnsi="Times New Roman" w:cs="Times New Roman"/>
          <w:sz w:val="28"/>
          <w:szCs w:val="28"/>
          <w:lang w:val="en-US"/>
        </w:rPr>
        <w:t>)</w:t>
      </w:r>
      <w:r w:rsidRPr="00A747FE">
        <w:rPr>
          <w:rFonts w:ascii="Times New Roman" w:hAnsi="Times New Roman" w:cs="Times New Roman"/>
          <w:sz w:val="28"/>
          <w:szCs w:val="28"/>
          <w:lang w:val="en-US"/>
        </w:rPr>
        <w:t>.</w:t>
      </w:r>
    </w:p>
    <w:p w14:paraId="138C11AE" w14:textId="5D2A143A" w:rsidR="00600C79" w:rsidRPr="00144E09" w:rsidRDefault="00600C79" w:rsidP="00600C79">
      <w:pPr>
        <w:spacing w:after="0" w:line="240" w:lineRule="auto"/>
        <w:ind w:firstLine="720"/>
        <w:contextualSpacing/>
        <w:jc w:val="both"/>
        <w:rPr>
          <w:rFonts w:ascii="Times New Roman" w:hAnsi="Times New Roman" w:cs="Times New Roman"/>
          <w:sz w:val="28"/>
          <w:szCs w:val="28"/>
          <w:lang w:val="en-US"/>
        </w:rPr>
      </w:pPr>
      <w:r w:rsidRPr="00A747FE">
        <w:rPr>
          <w:rFonts w:ascii="Times New Roman" w:hAnsi="Times New Roman" w:cs="Times New Roman"/>
          <w:sz w:val="28"/>
          <w:szCs w:val="28"/>
          <w:lang w:val="en-US"/>
        </w:rPr>
        <w:t xml:space="preserve">In Kazakhstani universities, AI is employed in the Career Center platforms of </w:t>
      </w:r>
      <w:proofErr w:type="spellStart"/>
      <w:r w:rsidRPr="00A747FE">
        <w:rPr>
          <w:rFonts w:ascii="Times New Roman" w:hAnsi="Times New Roman" w:cs="Times New Roman"/>
          <w:sz w:val="28"/>
          <w:szCs w:val="28"/>
          <w:lang w:val="en-US"/>
        </w:rPr>
        <w:t>Korkyt</w:t>
      </w:r>
      <w:proofErr w:type="spellEnd"/>
      <w:r w:rsidRPr="00A747FE">
        <w:rPr>
          <w:rFonts w:ascii="Times New Roman" w:hAnsi="Times New Roman" w:cs="Times New Roman"/>
          <w:sz w:val="28"/>
          <w:szCs w:val="28"/>
          <w:lang w:val="en-US"/>
        </w:rPr>
        <w:t xml:space="preserve"> Ata Kyzylorda University, Astana IT University, Almaty Management University (</w:t>
      </w:r>
      <w:proofErr w:type="spellStart"/>
      <w:r w:rsidRPr="00A747FE">
        <w:rPr>
          <w:rFonts w:ascii="Times New Roman" w:hAnsi="Times New Roman" w:cs="Times New Roman"/>
          <w:sz w:val="28"/>
          <w:szCs w:val="28"/>
          <w:lang w:val="en-US"/>
        </w:rPr>
        <w:t>AlmaU</w:t>
      </w:r>
      <w:proofErr w:type="spellEnd"/>
      <w:r w:rsidRPr="00A747FE">
        <w:rPr>
          <w:rFonts w:ascii="Times New Roman" w:hAnsi="Times New Roman" w:cs="Times New Roman"/>
          <w:sz w:val="28"/>
          <w:szCs w:val="28"/>
          <w:lang w:val="en-US"/>
        </w:rPr>
        <w:t>), Kostanay Engineering and Economics University (</w:t>
      </w:r>
      <w:proofErr w:type="spellStart"/>
      <w:r w:rsidRPr="00A747FE">
        <w:rPr>
          <w:rFonts w:ascii="Times New Roman" w:hAnsi="Times New Roman" w:cs="Times New Roman"/>
          <w:sz w:val="28"/>
          <w:szCs w:val="28"/>
          <w:lang w:val="en-US"/>
        </w:rPr>
        <w:t>KinEU</w:t>
      </w:r>
      <w:proofErr w:type="spellEnd"/>
      <w:r w:rsidRPr="00A747FE">
        <w:rPr>
          <w:rFonts w:ascii="Times New Roman" w:hAnsi="Times New Roman" w:cs="Times New Roman"/>
          <w:sz w:val="28"/>
          <w:szCs w:val="28"/>
          <w:lang w:val="en-US"/>
        </w:rPr>
        <w:t xml:space="preserve">), KIMEP University, and Nazarbayev University. Meanwhile, motivational tools in learning platforms are implemented at the Kazakh-German University (DKU), Kazakh </w:t>
      </w:r>
      <w:proofErr w:type="spellStart"/>
      <w:r w:rsidRPr="00A747FE">
        <w:rPr>
          <w:rFonts w:ascii="Times New Roman" w:hAnsi="Times New Roman" w:cs="Times New Roman"/>
          <w:sz w:val="28"/>
          <w:szCs w:val="28"/>
          <w:lang w:val="en-US"/>
        </w:rPr>
        <w:t>Ablai</w:t>
      </w:r>
      <w:proofErr w:type="spellEnd"/>
      <w:r w:rsidRPr="00A747FE">
        <w:rPr>
          <w:rFonts w:ascii="Times New Roman" w:hAnsi="Times New Roman" w:cs="Times New Roman"/>
          <w:sz w:val="28"/>
          <w:szCs w:val="28"/>
          <w:lang w:val="en-US"/>
        </w:rPr>
        <w:t xml:space="preserve"> Khan University of International Relations and World Languages, </w:t>
      </w:r>
      <w:r w:rsidRPr="00A747FE">
        <w:rPr>
          <w:rFonts w:ascii="Times New Roman" w:hAnsi="Times New Roman" w:cs="Times New Roman"/>
          <w:sz w:val="28"/>
          <w:szCs w:val="28"/>
          <w:lang w:val="en-US"/>
        </w:rPr>
        <w:lastRenderedPageBreak/>
        <w:t xml:space="preserve">Karaganda Economic University (KEU), and </w:t>
      </w:r>
      <w:proofErr w:type="spellStart"/>
      <w:r w:rsidRPr="00A747FE">
        <w:rPr>
          <w:rFonts w:ascii="Times New Roman" w:hAnsi="Times New Roman" w:cs="Times New Roman"/>
          <w:sz w:val="28"/>
          <w:szCs w:val="28"/>
          <w:lang w:val="en-US"/>
        </w:rPr>
        <w:t>AlmaU</w:t>
      </w:r>
      <w:proofErr w:type="spellEnd"/>
      <w:r w:rsidRPr="00A747FE">
        <w:rPr>
          <w:rFonts w:ascii="Times New Roman" w:hAnsi="Times New Roman" w:cs="Times New Roman"/>
          <w:sz w:val="28"/>
          <w:szCs w:val="28"/>
          <w:lang w:val="en-US"/>
        </w:rPr>
        <w:t>.</w:t>
      </w:r>
      <w:r>
        <w:rPr>
          <w:rFonts w:ascii="Times New Roman" w:hAnsi="Times New Roman" w:cs="Times New Roman"/>
          <w:sz w:val="28"/>
          <w:szCs w:val="28"/>
          <w:lang w:val="en-US"/>
        </w:rPr>
        <w:t xml:space="preserve"> Interesting t</w:t>
      </w:r>
      <w:r w:rsidRPr="00144E09">
        <w:rPr>
          <w:rFonts w:ascii="Times New Roman" w:hAnsi="Times New Roman" w:cs="Times New Roman"/>
          <w:sz w:val="28"/>
          <w:szCs w:val="28"/>
          <w:lang w:val="en-US"/>
        </w:rPr>
        <w:t xml:space="preserve">o note that, the Beam platform is utilized by local universities, including Kazakh-British Technical University (KBTU), </w:t>
      </w:r>
      <w:proofErr w:type="spellStart"/>
      <w:r w:rsidRPr="00144E09">
        <w:rPr>
          <w:rFonts w:ascii="Times New Roman" w:hAnsi="Times New Roman" w:cs="Times New Roman"/>
          <w:sz w:val="28"/>
          <w:szCs w:val="28"/>
          <w:lang w:val="en-US"/>
        </w:rPr>
        <w:t>Satbayev</w:t>
      </w:r>
      <w:proofErr w:type="spellEnd"/>
      <w:r w:rsidRPr="00144E09">
        <w:rPr>
          <w:rFonts w:ascii="Times New Roman" w:hAnsi="Times New Roman" w:cs="Times New Roman"/>
          <w:sz w:val="28"/>
          <w:szCs w:val="28"/>
          <w:lang w:val="en-US"/>
        </w:rPr>
        <w:t xml:space="preserve"> University, </w:t>
      </w:r>
      <w:proofErr w:type="spellStart"/>
      <w:r w:rsidRPr="00144E09">
        <w:rPr>
          <w:rFonts w:ascii="Times New Roman" w:hAnsi="Times New Roman" w:cs="Times New Roman"/>
          <w:sz w:val="28"/>
          <w:szCs w:val="28"/>
          <w:lang w:val="en-US"/>
        </w:rPr>
        <w:t>Narxoz</w:t>
      </w:r>
      <w:proofErr w:type="spellEnd"/>
      <w:r w:rsidRPr="00144E09">
        <w:rPr>
          <w:rFonts w:ascii="Times New Roman" w:hAnsi="Times New Roman" w:cs="Times New Roman"/>
          <w:sz w:val="28"/>
          <w:szCs w:val="28"/>
          <w:lang w:val="en-US"/>
        </w:rPr>
        <w:t xml:space="preserve"> University (with only a link provided), and Karaganda </w:t>
      </w:r>
      <w:proofErr w:type="spellStart"/>
      <w:r w:rsidRPr="00144E09">
        <w:rPr>
          <w:rFonts w:ascii="Times New Roman" w:hAnsi="Times New Roman" w:cs="Times New Roman"/>
          <w:sz w:val="28"/>
          <w:szCs w:val="28"/>
          <w:lang w:val="en-US"/>
        </w:rPr>
        <w:t>Buketov</w:t>
      </w:r>
      <w:proofErr w:type="spellEnd"/>
      <w:r w:rsidRPr="00144E09">
        <w:rPr>
          <w:rFonts w:ascii="Times New Roman" w:hAnsi="Times New Roman" w:cs="Times New Roman"/>
          <w:sz w:val="28"/>
          <w:szCs w:val="28"/>
          <w:lang w:val="en-US"/>
        </w:rPr>
        <w:t xml:space="preserve"> University</w:t>
      </w:r>
      <w:r>
        <w:rPr>
          <w:rFonts w:ascii="Times New Roman" w:hAnsi="Times New Roman" w:cs="Times New Roman"/>
          <w:sz w:val="28"/>
          <w:szCs w:val="28"/>
          <w:lang w:val="en-US"/>
        </w:rPr>
        <w:t xml:space="preserve"> (Table 1</w:t>
      </w:r>
      <w:r w:rsidR="008862F5">
        <w:rPr>
          <w:rFonts w:ascii="Times New Roman" w:hAnsi="Times New Roman" w:cs="Times New Roman"/>
          <w:sz w:val="28"/>
          <w:szCs w:val="28"/>
          <w:lang w:val="en-US"/>
        </w:rPr>
        <w:t>9</w:t>
      </w:r>
      <w:r>
        <w:rPr>
          <w:rFonts w:ascii="Times New Roman" w:hAnsi="Times New Roman" w:cs="Times New Roman"/>
          <w:sz w:val="28"/>
          <w:szCs w:val="28"/>
          <w:lang w:val="en-US"/>
        </w:rPr>
        <w:t>)</w:t>
      </w:r>
      <w:r w:rsidRPr="00144E09">
        <w:rPr>
          <w:rFonts w:ascii="Times New Roman" w:hAnsi="Times New Roman" w:cs="Times New Roman"/>
          <w:sz w:val="28"/>
          <w:szCs w:val="28"/>
          <w:lang w:val="en-US"/>
        </w:rPr>
        <w:t>. This platform serves as a tool for career development and employment rather than an AI-driven system.</w:t>
      </w:r>
    </w:p>
    <w:p w14:paraId="7F8F03F1" w14:textId="77777777" w:rsidR="00600C79" w:rsidRDefault="00600C79" w:rsidP="00600C79">
      <w:pPr>
        <w:spacing w:after="0" w:line="240" w:lineRule="auto"/>
        <w:ind w:firstLine="720"/>
        <w:contextualSpacing/>
        <w:jc w:val="both"/>
        <w:rPr>
          <w:rFonts w:ascii="Times New Roman" w:hAnsi="Times New Roman" w:cs="Times New Roman"/>
          <w:sz w:val="28"/>
          <w:szCs w:val="28"/>
          <w:lang w:val="en-US"/>
        </w:rPr>
      </w:pPr>
      <w:r w:rsidRPr="00A747FE">
        <w:rPr>
          <w:rFonts w:ascii="Times New Roman" w:hAnsi="Times New Roman" w:cs="Times New Roman"/>
          <w:sz w:val="28"/>
          <w:szCs w:val="28"/>
          <w:lang w:val="en-US"/>
        </w:rPr>
        <w:t>The remaining universities in the analysis do not utilize AI in their Career Centers or incorporate motivational tools in their learning platforms.</w:t>
      </w:r>
    </w:p>
    <w:p w14:paraId="2C973C8C"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5E7674">
        <w:rPr>
          <w:rFonts w:ascii="Times New Roman" w:hAnsi="Times New Roman" w:cs="Times New Roman"/>
          <w:sz w:val="28"/>
          <w:szCs w:val="28"/>
          <w:lang w:val="en-US"/>
        </w:rPr>
        <w:t>The majority of universities, based on a manual examination of their websites, suggest the existence of Career Support Offices rather than distinct platforms or AI-integrated career counseling platforms. Such offices offer employment information at their job-hunting area and provide career advice while organizing and conducting various career-related seminars and activities.</w:t>
      </w:r>
    </w:p>
    <w:bookmarkEnd w:id="32"/>
    <w:p w14:paraId="40FA9469" w14:textId="34426A98"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Apart from </w:t>
      </w:r>
      <w:proofErr w:type="spellStart"/>
      <w:r w:rsidRPr="00244343">
        <w:rPr>
          <w:rFonts w:ascii="Times New Roman" w:hAnsi="Times New Roman" w:cs="Times New Roman"/>
          <w:sz w:val="28"/>
          <w:szCs w:val="28"/>
          <w:lang w:val="en-US"/>
        </w:rPr>
        <w:t>analysing</w:t>
      </w:r>
      <w:proofErr w:type="spellEnd"/>
      <w:r w:rsidRPr="00244343">
        <w:rPr>
          <w:rFonts w:ascii="Times New Roman" w:hAnsi="Times New Roman" w:cs="Times New Roman"/>
          <w:sz w:val="28"/>
          <w:szCs w:val="28"/>
          <w:lang w:val="en-US"/>
        </w:rPr>
        <w:t xml:space="preserve"> research papers on existing AI tools and Goal-gradient effect progress bar tools in the learning platform, we have conducted manual research of 10 websites of Kazakhstani Universities, as seen in Table </w:t>
      </w:r>
      <w:r w:rsidR="00D631EB">
        <w:rPr>
          <w:rFonts w:ascii="Times New Roman" w:hAnsi="Times New Roman" w:cs="Times New Roman"/>
          <w:sz w:val="28"/>
          <w:szCs w:val="28"/>
          <w:lang w:val="en-US"/>
        </w:rPr>
        <w:t>21</w:t>
      </w:r>
      <w:r w:rsidRPr="00244343">
        <w:rPr>
          <w:rFonts w:ascii="Times New Roman" w:hAnsi="Times New Roman" w:cs="Times New Roman"/>
          <w:sz w:val="28"/>
          <w:szCs w:val="28"/>
          <w:lang w:val="en-US"/>
        </w:rPr>
        <w:t xml:space="preserve">.  </w:t>
      </w:r>
    </w:p>
    <w:p w14:paraId="681C59E8"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p>
    <w:p w14:paraId="2343D5D8" w14:textId="71905D34" w:rsidR="00600C79" w:rsidRDefault="00600C79" w:rsidP="008862F5">
      <w:pPr>
        <w:spacing w:after="0" w:line="240" w:lineRule="auto"/>
        <w:ind w:firstLine="720"/>
        <w:contextualSpacing/>
        <w:jc w:val="both"/>
        <w:rPr>
          <w:rFonts w:ascii="Times New Roman" w:hAnsi="Times New Roman" w:cs="Times New Roman"/>
          <w:sz w:val="28"/>
          <w:szCs w:val="28"/>
          <w:lang w:val="en-US"/>
        </w:rPr>
      </w:pPr>
      <w:r w:rsidRPr="008862F5">
        <w:rPr>
          <w:rFonts w:ascii="Times New Roman" w:hAnsi="Times New Roman" w:cs="Times New Roman"/>
          <w:sz w:val="28"/>
          <w:szCs w:val="28"/>
          <w:lang w:val="en-US"/>
        </w:rPr>
        <w:t xml:space="preserve">Table </w:t>
      </w:r>
      <w:r w:rsidR="00D631EB">
        <w:rPr>
          <w:rFonts w:ascii="Times New Roman" w:hAnsi="Times New Roman" w:cs="Times New Roman"/>
          <w:sz w:val="28"/>
          <w:szCs w:val="28"/>
          <w:lang w:val="en-US"/>
        </w:rPr>
        <w:t>21</w:t>
      </w:r>
      <w:r w:rsidR="008A2CEC">
        <w:rPr>
          <w:rFonts w:ascii="Times New Roman" w:hAnsi="Times New Roman" w:cs="Times New Roman"/>
          <w:sz w:val="28"/>
          <w:szCs w:val="28"/>
          <w:lang w:val="en-US"/>
        </w:rPr>
        <w:t xml:space="preserve"> – </w:t>
      </w:r>
      <w:r w:rsidRPr="008862F5">
        <w:rPr>
          <w:rFonts w:ascii="Times New Roman" w:hAnsi="Times New Roman" w:cs="Times New Roman"/>
          <w:sz w:val="28"/>
          <w:szCs w:val="28"/>
          <w:lang w:val="en-US"/>
        </w:rPr>
        <w:t>AI tools and Learning</w:t>
      </w:r>
      <w:r w:rsidRPr="00244343">
        <w:rPr>
          <w:rFonts w:ascii="Times New Roman" w:hAnsi="Times New Roman" w:cs="Times New Roman"/>
          <w:sz w:val="28"/>
          <w:szCs w:val="28"/>
          <w:lang w:val="en-US"/>
        </w:rPr>
        <w:t xml:space="preserve"> platforms of Kazakhstani Universities</w:t>
      </w:r>
    </w:p>
    <w:p w14:paraId="49097218" w14:textId="77777777" w:rsidR="00C743D4" w:rsidRPr="00244343" w:rsidRDefault="00C743D4" w:rsidP="008862F5">
      <w:pPr>
        <w:spacing w:after="0" w:line="240" w:lineRule="auto"/>
        <w:ind w:firstLine="720"/>
        <w:contextualSpacing/>
        <w:jc w:val="both"/>
        <w:rPr>
          <w:rFonts w:ascii="Times New Roman" w:hAnsi="Times New Roman" w:cs="Times New Roman"/>
          <w:sz w:val="28"/>
          <w:szCs w:val="28"/>
          <w:lang w:val="en-US"/>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555"/>
        <w:gridCol w:w="2409"/>
        <w:gridCol w:w="3119"/>
        <w:gridCol w:w="2545"/>
      </w:tblGrid>
      <w:tr w:rsidR="00600C79" w:rsidRPr="008862F5" w14:paraId="0F857A17" w14:textId="77777777" w:rsidTr="00FF1E14">
        <w:trPr>
          <w:trHeight w:val="277"/>
        </w:trPr>
        <w:tc>
          <w:tcPr>
            <w:tcW w:w="1555" w:type="dxa"/>
            <w:shd w:val="clear" w:color="auto" w:fill="FFFFFF" w:themeFill="background1"/>
            <w:vAlign w:val="center"/>
            <w:hideMark/>
          </w:tcPr>
          <w:p w14:paraId="7C6F8D51" w14:textId="77777777" w:rsidR="00600C79" w:rsidRPr="008862F5" w:rsidRDefault="00600C79" w:rsidP="008862F5">
            <w:pPr>
              <w:pStyle w:val="af"/>
              <w:rPr>
                <w:rFonts w:ascii="Times New Roman" w:hAnsi="Times New Roman" w:cs="Times New Roman"/>
                <w:sz w:val="28"/>
                <w:szCs w:val="28"/>
              </w:rPr>
            </w:pPr>
            <w:r w:rsidRPr="008862F5">
              <w:rPr>
                <w:rFonts w:ascii="Times New Roman" w:hAnsi="Times New Roman" w:cs="Times New Roman"/>
                <w:sz w:val="28"/>
                <w:szCs w:val="28"/>
              </w:rPr>
              <w:t xml:space="preserve">Name </w:t>
            </w:r>
            <w:proofErr w:type="spellStart"/>
            <w:r w:rsidRPr="008862F5">
              <w:rPr>
                <w:rFonts w:ascii="Times New Roman" w:hAnsi="Times New Roman" w:cs="Times New Roman"/>
                <w:sz w:val="28"/>
                <w:szCs w:val="28"/>
              </w:rPr>
              <w:t>of</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the</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university</w:t>
            </w:r>
            <w:proofErr w:type="spellEnd"/>
            <w:r w:rsidRPr="008862F5">
              <w:rPr>
                <w:rFonts w:ascii="Times New Roman" w:hAnsi="Times New Roman" w:cs="Times New Roman"/>
                <w:sz w:val="28"/>
                <w:szCs w:val="28"/>
              </w:rPr>
              <w:t xml:space="preserve"> </w:t>
            </w:r>
          </w:p>
        </w:tc>
        <w:tc>
          <w:tcPr>
            <w:tcW w:w="2409" w:type="dxa"/>
            <w:shd w:val="clear" w:color="auto" w:fill="FFFFFF" w:themeFill="background1"/>
            <w:vAlign w:val="center"/>
            <w:hideMark/>
          </w:tcPr>
          <w:p w14:paraId="5E8D5210" w14:textId="77777777" w:rsidR="00600C79" w:rsidRPr="008862F5" w:rsidRDefault="00600C79" w:rsidP="008862F5">
            <w:pPr>
              <w:pStyle w:val="af"/>
              <w:rPr>
                <w:rFonts w:ascii="Times New Roman" w:hAnsi="Times New Roman" w:cs="Times New Roman"/>
                <w:sz w:val="28"/>
                <w:szCs w:val="28"/>
                <w:lang w:val="en-US"/>
              </w:rPr>
            </w:pPr>
            <w:r w:rsidRPr="008862F5">
              <w:rPr>
                <w:rFonts w:ascii="Times New Roman" w:hAnsi="Times New Roman" w:cs="Times New Roman"/>
                <w:sz w:val="28"/>
                <w:szCs w:val="28"/>
                <w:lang w:val="en-US"/>
              </w:rPr>
              <w:t>Career centers platforms with AI</w:t>
            </w:r>
          </w:p>
        </w:tc>
        <w:tc>
          <w:tcPr>
            <w:tcW w:w="3119" w:type="dxa"/>
            <w:shd w:val="clear" w:color="auto" w:fill="FFFFFF" w:themeFill="background1"/>
            <w:vAlign w:val="center"/>
            <w:hideMark/>
          </w:tcPr>
          <w:p w14:paraId="6E92108B"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Features</w:t>
            </w:r>
            <w:proofErr w:type="spellEnd"/>
            <w:r w:rsidRPr="008862F5">
              <w:rPr>
                <w:rFonts w:ascii="Times New Roman" w:hAnsi="Times New Roman" w:cs="Times New Roman"/>
                <w:sz w:val="28"/>
                <w:szCs w:val="28"/>
              </w:rPr>
              <w:t xml:space="preserve"> </w:t>
            </w:r>
          </w:p>
        </w:tc>
        <w:tc>
          <w:tcPr>
            <w:tcW w:w="2545" w:type="dxa"/>
            <w:shd w:val="clear" w:color="auto" w:fill="FFFFFF" w:themeFill="background1"/>
            <w:vAlign w:val="center"/>
            <w:hideMark/>
          </w:tcPr>
          <w:p w14:paraId="74919170" w14:textId="77777777" w:rsidR="00600C79" w:rsidRPr="008862F5" w:rsidRDefault="00600C79" w:rsidP="008862F5">
            <w:pPr>
              <w:pStyle w:val="af"/>
              <w:rPr>
                <w:rFonts w:ascii="Times New Roman" w:hAnsi="Times New Roman" w:cs="Times New Roman"/>
                <w:sz w:val="28"/>
                <w:szCs w:val="28"/>
              </w:rPr>
            </w:pPr>
            <w:r w:rsidRPr="008862F5">
              <w:rPr>
                <w:rFonts w:ascii="Times New Roman" w:hAnsi="Times New Roman" w:cs="Times New Roman"/>
                <w:sz w:val="28"/>
                <w:szCs w:val="28"/>
              </w:rPr>
              <w:t xml:space="preserve">Learning </w:t>
            </w:r>
            <w:proofErr w:type="spellStart"/>
            <w:r w:rsidRPr="008862F5">
              <w:rPr>
                <w:rFonts w:ascii="Times New Roman" w:hAnsi="Times New Roman" w:cs="Times New Roman"/>
                <w:sz w:val="28"/>
                <w:szCs w:val="28"/>
              </w:rPr>
              <w:t>platforms</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for</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students</w:t>
            </w:r>
            <w:proofErr w:type="spellEnd"/>
          </w:p>
        </w:tc>
      </w:tr>
      <w:tr w:rsidR="00600C79" w:rsidRPr="008862F5" w14:paraId="20750337" w14:textId="77777777" w:rsidTr="00FF1E14">
        <w:trPr>
          <w:trHeight w:val="1488"/>
        </w:trPr>
        <w:tc>
          <w:tcPr>
            <w:tcW w:w="1555" w:type="dxa"/>
            <w:shd w:val="clear" w:color="auto" w:fill="FFFFFF" w:themeFill="background1"/>
            <w:vAlign w:val="bottom"/>
            <w:hideMark/>
          </w:tcPr>
          <w:p w14:paraId="0EA97656"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Nazarbayev</w:t>
            </w:r>
            <w:proofErr w:type="spellEnd"/>
            <w:r w:rsidRPr="008862F5">
              <w:rPr>
                <w:rFonts w:ascii="Times New Roman" w:hAnsi="Times New Roman" w:cs="Times New Roman"/>
                <w:sz w:val="28"/>
                <w:szCs w:val="28"/>
              </w:rPr>
              <w:t xml:space="preserve"> University </w:t>
            </w:r>
          </w:p>
        </w:tc>
        <w:tc>
          <w:tcPr>
            <w:tcW w:w="2409" w:type="dxa"/>
            <w:shd w:val="clear" w:color="auto" w:fill="FFFFFF" w:themeFill="background1"/>
            <w:vAlign w:val="bottom"/>
            <w:hideMark/>
          </w:tcPr>
          <w:p w14:paraId="162D7AA4" w14:textId="77777777" w:rsidR="00600C79" w:rsidRPr="008862F5" w:rsidRDefault="00600C79" w:rsidP="008862F5">
            <w:pPr>
              <w:pStyle w:val="af"/>
              <w:rPr>
                <w:rFonts w:ascii="Times New Roman" w:hAnsi="Times New Roman" w:cs="Times New Roman"/>
                <w:sz w:val="28"/>
                <w:szCs w:val="28"/>
                <w:lang w:val="en-US"/>
              </w:rPr>
            </w:pPr>
            <w:r w:rsidRPr="008862F5">
              <w:rPr>
                <w:rFonts w:ascii="Times New Roman" w:hAnsi="Times New Roman" w:cs="Times New Roman"/>
                <w:sz w:val="28"/>
                <w:szCs w:val="28"/>
                <w:lang w:val="en-US"/>
              </w:rPr>
              <w:t>SYMPLICITY - platform of Career and Advising Center (CAC)</w:t>
            </w:r>
          </w:p>
        </w:tc>
        <w:tc>
          <w:tcPr>
            <w:tcW w:w="3119" w:type="dxa"/>
            <w:shd w:val="clear" w:color="auto" w:fill="FFFFFF" w:themeFill="background1"/>
            <w:vAlign w:val="bottom"/>
            <w:hideMark/>
          </w:tcPr>
          <w:p w14:paraId="69C69E4C" w14:textId="77777777" w:rsidR="00600C79" w:rsidRPr="008862F5" w:rsidRDefault="00600C79" w:rsidP="008862F5">
            <w:pPr>
              <w:pStyle w:val="af"/>
              <w:rPr>
                <w:rFonts w:ascii="Times New Roman" w:hAnsi="Times New Roman" w:cs="Times New Roman"/>
                <w:sz w:val="28"/>
                <w:szCs w:val="28"/>
                <w:lang w:val="en-US"/>
              </w:rPr>
            </w:pPr>
            <w:r w:rsidRPr="008862F5">
              <w:rPr>
                <w:rFonts w:ascii="Times New Roman" w:hAnsi="Times New Roman" w:cs="Times New Roman"/>
                <w:sz w:val="28"/>
                <w:szCs w:val="28"/>
                <w:lang w:val="en-US"/>
              </w:rPr>
              <w:t> </w:t>
            </w:r>
          </w:p>
        </w:tc>
        <w:tc>
          <w:tcPr>
            <w:tcW w:w="2545" w:type="dxa"/>
            <w:shd w:val="clear" w:color="auto" w:fill="FFFFFF" w:themeFill="background1"/>
            <w:vAlign w:val="bottom"/>
            <w:hideMark/>
          </w:tcPr>
          <w:p w14:paraId="03B3B6B5"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Moodle</w:t>
            </w:r>
            <w:proofErr w:type="spellEnd"/>
            <w:r w:rsidRPr="008862F5">
              <w:rPr>
                <w:rFonts w:ascii="Times New Roman" w:hAnsi="Times New Roman" w:cs="Times New Roman"/>
                <w:sz w:val="28"/>
                <w:szCs w:val="28"/>
              </w:rPr>
              <w:t xml:space="preserve"> </w:t>
            </w:r>
          </w:p>
        </w:tc>
      </w:tr>
      <w:tr w:rsidR="00600C79" w:rsidRPr="008862F5" w14:paraId="1BBF562D" w14:textId="77777777" w:rsidTr="00FF1E14">
        <w:trPr>
          <w:trHeight w:val="277"/>
        </w:trPr>
        <w:tc>
          <w:tcPr>
            <w:tcW w:w="1555" w:type="dxa"/>
            <w:shd w:val="clear" w:color="auto" w:fill="FFFFFF" w:themeFill="background1"/>
            <w:vAlign w:val="bottom"/>
            <w:hideMark/>
          </w:tcPr>
          <w:p w14:paraId="44091711" w14:textId="77777777" w:rsidR="00600C79" w:rsidRPr="008862F5" w:rsidRDefault="00600C79" w:rsidP="008862F5">
            <w:pPr>
              <w:pStyle w:val="af"/>
              <w:rPr>
                <w:rFonts w:ascii="Times New Roman" w:hAnsi="Times New Roman" w:cs="Times New Roman"/>
                <w:sz w:val="28"/>
                <w:szCs w:val="28"/>
              </w:rPr>
            </w:pPr>
            <w:r w:rsidRPr="008862F5">
              <w:rPr>
                <w:rFonts w:ascii="Times New Roman" w:hAnsi="Times New Roman" w:cs="Times New Roman"/>
                <w:sz w:val="28"/>
                <w:szCs w:val="28"/>
              </w:rPr>
              <w:t xml:space="preserve">KIMEP University </w:t>
            </w:r>
          </w:p>
        </w:tc>
        <w:tc>
          <w:tcPr>
            <w:tcW w:w="2409" w:type="dxa"/>
            <w:shd w:val="clear" w:color="auto" w:fill="FFFFFF" w:themeFill="background1"/>
            <w:vAlign w:val="bottom"/>
            <w:hideMark/>
          </w:tcPr>
          <w:p w14:paraId="2BC6C8F5" w14:textId="77777777" w:rsidR="00600C79" w:rsidRPr="008862F5" w:rsidRDefault="00600C79" w:rsidP="008862F5">
            <w:pPr>
              <w:pStyle w:val="af"/>
              <w:rPr>
                <w:rFonts w:ascii="Times New Roman" w:hAnsi="Times New Roman" w:cs="Times New Roman"/>
                <w:sz w:val="28"/>
                <w:szCs w:val="28"/>
              </w:rPr>
            </w:pPr>
            <w:r w:rsidRPr="008862F5">
              <w:rPr>
                <w:rFonts w:ascii="Times New Roman" w:hAnsi="Times New Roman" w:cs="Times New Roman"/>
                <w:sz w:val="28"/>
                <w:szCs w:val="28"/>
              </w:rPr>
              <w:t xml:space="preserve">KIMEP </w:t>
            </w:r>
            <w:proofErr w:type="spellStart"/>
            <w:r w:rsidRPr="008862F5">
              <w:rPr>
                <w:rFonts w:ascii="Times New Roman" w:hAnsi="Times New Roman" w:cs="Times New Roman"/>
                <w:sz w:val="28"/>
                <w:szCs w:val="28"/>
              </w:rPr>
              <w:t>Career</w:t>
            </w:r>
            <w:proofErr w:type="spellEnd"/>
            <w:r w:rsidRPr="008862F5">
              <w:rPr>
                <w:rFonts w:ascii="Times New Roman" w:hAnsi="Times New Roman" w:cs="Times New Roman"/>
                <w:sz w:val="28"/>
                <w:szCs w:val="28"/>
              </w:rPr>
              <w:t xml:space="preserve"> Platform </w:t>
            </w:r>
          </w:p>
        </w:tc>
        <w:tc>
          <w:tcPr>
            <w:tcW w:w="3119" w:type="dxa"/>
            <w:shd w:val="clear" w:color="auto" w:fill="FFFFFF" w:themeFill="background1"/>
            <w:vAlign w:val="bottom"/>
            <w:hideMark/>
          </w:tcPr>
          <w:p w14:paraId="04183A6C"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Provides</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list</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of</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vacancies</w:t>
            </w:r>
            <w:proofErr w:type="spellEnd"/>
            <w:r w:rsidRPr="008862F5">
              <w:rPr>
                <w:rFonts w:ascii="Times New Roman" w:hAnsi="Times New Roman" w:cs="Times New Roman"/>
                <w:sz w:val="28"/>
                <w:szCs w:val="28"/>
              </w:rPr>
              <w:t xml:space="preserve">, </w:t>
            </w:r>
          </w:p>
        </w:tc>
        <w:tc>
          <w:tcPr>
            <w:tcW w:w="2545" w:type="dxa"/>
            <w:shd w:val="clear" w:color="auto" w:fill="FFFFFF" w:themeFill="background1"/>
            <w:vAlign w:val="bottom"/>
            <w:hideMark/>
          </w:tcPr>
          <w:p w14:paraId="3085E56D"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Moodle</w:t>
            </w:r>
            <w:proofErr w:type="spellEnd"/>
            <w:r w:rsidRPr="008862F5">
              <w:rPr>
                <w:rFonts w:ascii="Times New Roman" w:hAnsi="Times New Roman" w:cs="Times New Roman"/>
                <w:sz w:val="28"/>
                <w:szCs w:val="28"/>
              </w:rPr>
              <w:t xml:space="preserve"> </w:t>
            </w:r>
          </w:p>
        </w:tc>
      </w:tr>
      <w:tr w:rsidR="00600C79" w:rsidRPr="000E0481" w14:paraId="55C0AE82" w14:textId="77777777" w:rsidTr="00FF1E14">
        <w:trPr>
          <w:trHeight w:val="415"/>
        </w:trPr>
        <w:tc>
          <w:tcPr>
            <w:tcW w:w="1555" w:type="dxa"/>
            <w:tcBorders>
              <w:bottom w:val="nil"/>
            </w:tcBorders>
            <w:shd w:val="clear" w:color="auto" w:fill="FFFFFF" w:themeFill="background1"/>
            <w:vAlign w:val="bottom"/>
            <w:hideMark/>
          </w:tcPr>
          <w:p w14:paraId="1659AC14" w14:textId="77777777" w:rsidR="00600C79" w:rsidRPr="008862F5" w:rsidRDefault="00600C79" w:rsidP="008862F5">
            <w:pPr>
              <w:pStyle w:val="af"/>
              <w:rPr>
                <w:rFonts w:ascii="Times New Roman" w:hAnsi="Times New Roman" w:cs="Times New Roman"/>
                <w:sz w:val="28"/>
                <w:szCs w:val="28"/>
              </w:rPr>
            </w:pPr>
            <w:r w:rsidRPr="008862F5">
              <w:rPr>
                <w:rFonts w:ascii="Times New Roman" w:hAnsi="Times New Roman" w:cs="Times New Roman"/>
                <w:sz w:val="28"/>
                <w:szCs w:val="28"/>
              </w:rPr>
              <w:t>KBTU</w:t>
            </w:r>
          </w:p>
        </w:tc>
        <w:tc>
          <w:tcPr>
            <w:tcW w:w="2409" w:type="dxa"/>
            <w:tcBorders>
              <w:bottom w:val="nil"/>
            </w:tcBorders>
            <w:shd w:val="clear" w:color="auto" w:fill="FFFFFF" w:themeFill="background1"/>
            <w:vAlign w:val="bottom"/>
            <w:hideMark/>
          </w:tcPr>
          <w:p w14:paraId="092B49CB" w14:textId="77777777" w:rsidR="00600C79" w:rsidRPr="008862F5" w:rsidRDefault="00600C79" w:rsidP="008862F5">
            <w:pPr>
              <w:pStyle w:val="af"/>
              <w:rPr>
                <w:rFonts w:ascii="Times New Roman" w:hAnsi="Times New Roman" w:cs="Times New Roman"/>
                <w:sz w:val="28"/>
                <w:szCs w:val="28"/>
                <w:lang w:val="en-US"/>
              </w:rPr>
            </w:pPr>
            <w:r w:rsidRPr="008862F5">
              <w:rPr>
                <w:rFonts w:ascii="Times New Roman" w:hAnsi="Times New Roman" w:cs="Times New Roman"/>
                <w:sz w:val="28"/>
                <w:szCs w:val="28"/>
                <w:lang w:val="en-US"/>
              </w:rPr>
              <w:t>Beam KZ platform, Telegram bot</w:t>
            </w:r>
          </w:p>
        </w:tc>
        <w:tc>
          <w:tcPr>
            <w:tcW w:w="3119" w:type="dxa"/>
            <w:tcBorders>
              <w:bottom w:val="nil"/>
            </w:tcBorders>
            <w:shd w:val="clear" w:color="auto" w:fill="FFFFFF" w:themeFill="background1"/>
            <w:vAlign w:val="bottom"/>
            <w:hideMark/>
          </w:tcPr>
          <w:p w14:paraId="0C76F1B9" w14:textId="738C7C11" w:rsidR="00600C79" w:rsidRPr="00FF1E14" w:rsidRDefault="00FF1E14" w:rsidP="00FF1E14">
            <w:pPr>
              <w:pStyle w:val="af"/>
              <w:numPr>
                <w:ilvl w:val="0"/>
                <w:numId w:val="49"/>
              </w:numPr>
              <w:rPr>
                <w:rFonts w:ascii="Times New Roman" w:hAnsi="Times New Roman" w:cs="Times New Roman"/>
                <w:sz w:val="28"/>
                <w:szCs w:val="28"/>
                <w:lang w:val="en-US"/>
              </w:rPr>
            </w:pPr>
            <w:r w:rsidRPr="008862F5">
              <w:rPr>
                <w:rFonts w:ascii="Times New Roman" w:hAnsi="Times New Roman" w:cs="Times New Roman"/>
                <w:sz w:val="28"/>
                <w:szCs w:val="28"/>
                <w:lang w:val="en-US"/>
              </w:rPr>
              <w:t xml:space="preserve">• </w:t>
            </w:r>
            <w:r w:rsidR="00600C79" w:rsidRPr="008862F5">
              <w:rPr>
                <w:rFonts w:ascii="Times New Roman" w:hAnsi="Times New Roman" w:cs="Times New Roman"/>
                <w:sz w:val="28"/>
                <w:szCs w:val="28"/>
                <w:lang w:val="en-US"/>
              </w:rPr>
              <w:t>Find job vacancies, internships, and industrial placements;</w:t>
            </w:r>
            <w:r w:rsidR="00600C79" w:rsidRPr="00FF1E14">
              <w:rPr>
                <w:rFonts w:ascii="Times New Roman" w:hAnsi="Times New Roman" w:cs="Times New Roman"/>
                <w:sz w:val="28"/>
                <w:szCs w:val="28"/>
                <w:lang w:val="en-US"/>
              </w:rPr>
              <w:br/>
            </w:r>
            <w:r w:rsidRPr="008862F5">
              <w:rPr>
                <w:rFonts w:ascii="Times New Roman" w:hAnsi="Times New Roman" w:cs="Times New Roman"/>
                <w:sz w:val="28"/>
                <w:szCs w:val="28"/>
                <w:lang w:val="en-US"/>
              </w:rPr>
              <w:t xml:space="preserve">• </w:t>
            </w:r>
            <w:r w:rsidR="00600C79" w:rsidRPr="00FF1E14">
              <w:rPr>
                <w:rFonts w:ascii="Times New Roman" w:hAnsi="Times New Roman" w:cs="Times New Roman"/>
                <w:sz w:val="28"/>
                <w:szCs w:val="28"/>
                <w:lang w:val="en-US"/>
              </w:rPr>
              <w:t>Participate in events organized by our university and employers;</w:t>
            </w:r>
            <w:r w:rsidR="00600C79" w:rsidRPr="00FF1E14">
              <w:rPr>
                <w:rFonts w:ascii="Times New Roman" w:hAnsi="Times New Roman" w:cs="Times New Roman"/>
                <w:sz w:val="28"/>
                <w:szCs w:val="28"/>
                <w:lang w:val="en-US"/>
              </w:rPr>
              <w:br/>
            </w:r>
            <w:r w:rsidRPr="008862F5">
              <w:rPr>
                <w:rFonts w:ascii="Times New Roman" w:hAnsi="Times New Roman" w:cs="Times New Roman"/>
                <w:sz w:val="28"/>
                <w:szCs w:val="28"/>
                <w:lang w:val="en-US"/>
              </w:rPr>
              <w:t xml:space="preserve">• </w:t>
            </w:r>
            <w:r w:rsidR="00600C79" w:rsidRPr="00FF1E14">
              <w:rPr>
                <w:rFonts w:ascii="Times New Roman" w:hAnsi="Times New Roman" w:cs="Times New Roman"/>
                <w:sz w:val="28"/>
                <w:szCs w:val="28"/>
                <w:lang w:val="en-US"/>
              </w:rPr>
              <w:t>Access useful content related to your field of study and career planning;</w:t>
            </w:r>
            <w:r w:rsidR="00600C79" w:rsidRPr="00FF1E14">
              <w:rPr>
                <w:rFonts w:ascii="Times New Roman" w:hAnsi="Times New Roman" w:cs="Times New Roman"/>
                <w:sz w:val="28"/>
                <w:szCs w:val="28"/>
                <w:lang w:val="en-US"/>
              </w:rPr>
              <w:br/>
            </w:r>
            <w:r w:rsidRPr="008862F5">
              <w:rPr>
                <w:rFonts w:ascii="Times New Roman" w:hAnsi="Times New Roman" w:cs="Times New Roman"/>
                <w:sz w:val="28"/>
                <w:szCs w:val="28"/>
                <w:lang w:val="en-US"/>
              </w:rPr>
              <w:t xml:space="preserve">• </w:t>
            </w:r>
            <w:r w:rsidR="00600C79" w:rsidRPr="00FF1E14">
              <w:rPr>
                <w:rFonts w:ascii="Times New Roman" w:hAnsi="Times New Roman" w:cs="Times New Roman"/>
                <w:sz w:val="28"/>
                <w:szCs w:val="28"/>
                <w:lang w:val="en-US"/>
              </w:rPr>
              <w:t>Learn more about employers and their teams;</w:t>
            </w:r>
            <w:r w:rsidR="00600C79" w:rsidRPr="00FF1E14">
              <w:rPr>
                <w:rFonts w:ascii="Times New Roman" w:hAnsi="Times New Roman" w:cs="Times New Roman"/>
                <w:sz w:val="28"/>
                <w:szCs w:val="28"/>
                <w:lang w:val="en-US"/>
              </w:rPr>
              <w:br/>
            </w:r>
            <w:r w:rsidRPr="008862F5">
              <w:rPr>
                <w:rFonts w:ascii="Times New Roman" w:hAnsi="Times New Roman" w:cs="Times New Roman"/>
                <w:sz w:val="28"/>
                <w:szCs w:val="28"/>
                <w:lang w:val="en-US"/>
              </w:rPr>
              <w:t xml:space="preserve">• </w:t>
            </w:r>
            <w:r w:rsidR="00600C79" w:rsidRPr="00FF1E14">
              <w:rPr>
                <w:rFonts w:ascii="Times New Roman" w:hAnsi="Times New Roman" w:cs="Times New Roman"/>
                <w:sz w:val="28"/>
                <w:szCs w:val="28"/>
                <w:lang w:val="en-US"/>
              </w:rPr>
              <w:t>Complete your profile and use it as your resume.</w:t>
            </w:r>
          </w:p>
          <w:p w14:paraId="5CBAB202" w14:textId="13570567" w:rsidR="00FF1E14" w:rsidRPr="008862F5" w:rsidRDefault="00FF1E14" w:rsidP="008862F5">
            <w:pPr>
              <w:pStyle w:val="af"/>
              <w:rPr>
                <w:rFonts w:ascii="Times New Roman" w:hAnsi="Times New Roman" w:cs="Times New Roman"/>
                <w:sz w:val="28"/>
                <w:szCs w:val="28"/>
                <w:lang w:val="en-US"/>
              </w:rPr>
            </w:pPr>
          </w:p>
        </w:tc>
        <w:tc>
          <w:tcPr>
            <w:tcW w:w="2545" w:type="dxa"/>
            <w:tcBorders>
              <w:bottom w:val="nil"/>
            </w:tcBorders>
            <w:shd w:val="clear" w:color="auto" w:fill="FFFFFF" w:themeFill="background1"/>
            <w:vAlign w:val="bottom"/>
            <w:hideMark/>
          </w:tcPr>
          <w:p w14:paraId="014BD896" w14:textId="77777777" w:rsidR="00600C79" w:rsidRPr="008862F5" w:rsidRDefault="00600C79" w:rsidP="008862F5">
            <w:pPr>
              <w:pStyle w:val="af"/>
              <w:rPr>
                <w:rFonts w:ascii="Times New Roman" w:hAnsi="Times New Roman" w:cs="Times New Roman"/>
                <w:sz w:val="28"/>
                <w:szCs w:val="28"/>
                <w:lang w:val="en-US"/>
              </w:rPr>
            </w:pPr>
            <w:proofErr w:type="spellStart"/>
            <w:r w:rsidRPr="008862F5">
              <w:rPr>
                <w:rFonts w:ascii="Times New Roman" w:hAnsi="Times New Roman" w:cs="Times New Roman"/>
                <w:sz w:val="28"/>
                <w:szCs w:val="28"/>
                <w:lang w:val="en-US"/>
              </w:rPr>
              <w:t>Uninet</w:t>
            </w:r>
            <w:proofErr w:type="spellEnd"/>
            <w:r w:rsidRPr="008862F5">
              <w:rPr>
                <w:rFonts w:ascii="Times New Roman" w:hAnsi="Times New Roman" w:cs="Times New Roman"/>
                <w:sz w:val="28"/>
                <w:szCs w:val="28"/>
                <w:lang w:val="en-US"/>
              </w:rPr>
              <w:t xml:space="preserve"> system - https://wsp.kbtu.kz/</w:t>
            </w:r>
          </w:p>
        </w:tc>
      </w:tr>
      <w:tr w:rsidR="001D0258" w:rsidRPr="00211F43" w14:paraId="4A3B6ED2" w14:textId="77777777" w:rsidTr="001D0258">
        <w:trPr>
          <w:trHeight w:val="415"/>
        </w:trPr>
        <w:tc>
          <w:tcPr>
            <w:tcW w:w="9628" w:type="dxa"/>
            <w:gridSpan w:val="4"/>
            <w:tcBorders>
              <w:top w:val="nil"/>
              <w:left w:val="nil"/>
              <w:bottom w:val="single" w:sz="4" w:space="0" w:color="auto"/>
              <w:right w:val="nil"/>
            </w:tcBorders>
            <w:shd w:val="clear" w:color="auto" w:fill="FFFFFF" w:themeFill="background1"/>
            <w:vAlign w:val="bottom"/>
          </w:tcPr>
          <w:p w14:paraId="25145A9D" w14:textId="70A5963E" w:rsidR="001D0258" w:rsidRDefault="001D0258" w:rsidP="001D0258">
            <w:pPr>
              <w:spacing w:after="0"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Continuation of the table </w:t>
            </w:r>
            <w:r w:rsidR="009366D7">
              <w:rPr>
                <w:rFonts w:ascii="Times New Roman" w:hAnsi="Times New Roman" w:cs="Times New Roman"/>
                <w:sz w:val="28"/>
                <w:szCs w:val="28"/>
                <w:lang w:val="en-US"/>
              </w:rPr>
              <w:t>21</w:t>
            </w:r>
          </w:p>
          <w:p w14:paraId="36D9526A" w14:textId="77777777" w:rsidR="001D0258" w:rsidRPr="008862F5" w:rsidRDefault="001D0258" w:rsidP="008862F5">
            <w:pPr>
              <w:pStyle w:val="af"/>
              <w:rPr>
                <w:rFonts w:ascii="Times New Roman" w:hAnsi="Times New Roman" w:cs="Times New Roman"/>
                <w:sz w:val="28"/>
                <w:szCs w:val="28"/>
                <w:lang w:val="en-US"/>
              </w:rPr>
            </w:pPr>
          </w:p>
        </w:tc>
      </w:tr>
      <w:tr w:rsidR="00600C79" w:rsidRPr="008862F5" w14:paraId="374D75F5" w14:textId="77777777" w:rsidTr="00FF1E14">
        <w:trPr>
          <w:trHeight w:val="471"/>
        </w:trPr>
        <w:tc>
          <w:tcPr>
            <w:tcW w:w="1555" w:type="dxa"/>
            <w:tcBorders>
              <w:top w:val="single" w:sz="4" w:space="0" w:color="auto"/>
            </w:tcBorders>
            <w:shd w:val="clear" w:color="auto" w:fill="FFFFFF" w:themeFill="background1"/>
            <w:vAlign w:val="bottom"/>
            <w:hideMark/>
          </w:tcPr>
          <w:p w14:paraId="5BF39E06"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Eurasian</w:t>
            </w:r>
            <w:proofErr w:type="spellEnd"/>
            <w:r w:rsidRPr="008862F5">
              <w:rPr>
                <w:rFonts w:ascii="Times New Roman" w:hAnsi="Times New Roman" w:cs="Times New Roman"/>
                <w:sz w:val="28"/>
                <w:szCs w:val="28"/>
              </w:rPr>
              <w:t xml:space="preserve"> National University </w:t>
            </w:r>
          </w:p>
        </w:tc>
        <w:tc>
          <w:tcPr>
            <w:tcW w:w="2409" w:type="dxa"/>
            <w:tcBorders>
              <w:top w:val="single" w:sz="4" w:space="0" w:color="auto"/>
            </w:tcBorders>
            <w:shd w:val="clear" w:color="auto" w:fill="FFFFFF" w:themeFill="background1"/>
            <w:vAlign w:val="bottom"/>
            <w:hideMark/>
          </w:tcPr>
          <w:p w14:paraId="2C022798" w14:textId="77777777" w:rsidR="00600C79" w:rsidRPr="008862F5" w:rsidRDefault="00600C79" w:rsidP="008862F5">
            <w:pPr>
              <w:pStyle w:val="af"/>
              <w:rPr>
                <w:rFonts w:ascii="Times New Roman" w:hAnsi="Times New Roman" w:cs="Times New Roman"/>
                <w:sz w:val="28"/>
                <w:szCs w:val="28"/>
              </w:rPr>
            </w:pPr>
            <w:r w:rsidRPr="008862F5">
              <w:rPr>
                <w:rFonts w:ascii="Times New Roman" w:hAnsi="Times New Roman" w:cs="Times New Roman"/>
                <w:sz w:val="28"/>
                <w:szCs w:val="28"/>
              </w:rPr>
              <w:t>No</w:t>
            </w:r>
          </w:p>
        </w:tc>
        <w:tc>
          <w:tcPr>
            <w:tcW w:w="3119" w:type="dxa"/>
            <w:tcBorders>
              <w:top w:val="single" w:sz="4" w:space="0" w:color="auto"/>
            </w:tcBorders>
            <w:shd w:val="clear" w:color="auto" w:fill="FFFFFF" w:themeFill="background1"/>
            <w:vAlign w:val="bottom"/>
            <w:hideMark/>
          </w:tcPr>
          <w:p w14:paraId="69B5BCC5"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Provides</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list</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of</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vacancies</w:t>
            </w:r>
            <w:proofErr w:type="spellEnd"/>
          </w:p>
        </w:tc>
        <w:tc>
          <w:tcPr>
            <w:tcW w:w="2545" w:type="dxa"/>
            <w:tcBorders>
              <w:top w:val="single" w:sz="4" w:space="0" w:color="auto"/>
            </w:tcBorders>
            <w:shd w:val="clear" w:color="auto" w:fill="FFFFFF" w:themeFill="background1"/>
            <w:vAlign w:val="bottom"/>
            <w:hideMark/>
          </w:tcPr>
          <w:p w14:paraId="7C17C780"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Platonus</w:t>
            </w:r>
            <w:proofErr w:type="spellEnd"/>
          </w:p>
        </w:tc>
      </w:tr>
      <w:tr w:rsidR="00600C79" w:rsidRPr="000E0481" w14:paraId="447596D8" w14:textId="77777777" w:rsidTr="00FF1E14">
        <w:trPr>
          <w:trHeight w:val="1759"/>
        </w:trPr>
        <w:tc>
          <w:tcPr>
            <w:tcW w:w="1555" w:type="dxa"/>
            <w:shd w:val="clear" w:color="auto" w:fill="FFFFFF" w:themeFill="background1"/>
            <w:vAlign w:val="bottom"/>
            <w:hideMark/>
          </w:tcPr>
          <w:p w14:paraId="31B3069B"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Satpayev</w:t>
            </w:r>
            <w:proofErr w:type="spellEnd"/>
            <w:r w:rsidRPr="008862F5">
              <w:rPr>
                <w:rFonts w:ascii="Times New Roman" w:hAnsi="Times New Roman" w:cs="Times New Roman"/>
                <w:sz w:val="28"/>
                <w:szCs w:val="28"/>
              </w:rPr>
              <w:t xml:space="preserve"> University</w:t>
            </w:r>
          </w:p>
        </w:tc>
        <w:tc>
          <w:tcPr>
            <w:tcW w:w="2409" w:type="dxa"/>
            <w:shd w:val="clear" w:color="auto" w:fill="FFFFFF" w:themeFill="background1"/>
            <w:vAlign w:val="bottom"/>
            <w:hideMark/>
          </w:tcPr>
          <w:p w14:paraId="3C11308A"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Beam</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Career</w:t>
            </w:r>
            <w:proofErr w:type="spellEnd"/>
          </w:p>
        </w:tc>
        <w:tc>
          <w:tcPr>
            <w:tcW w:w="3119" w:type="dxa"/>
            <w:shd w:val="clear" w:color="auto" w:fill="FFFFFF" w:themeFill="background1"/>
            <w:vAlign w:val="bottom"/>
            <w:hideMark/>
          </w:tcPr>
          <w:p w14:paraId="7A7FFBDD" w14:textId="11D16618" w:rsidR="00600C79" w:rsidRPr="008862F5" w:rsidRDefault="00FF1E14" w:rsidP="008862F5">
            <w:pPr>
              <w:pStyle w:val="af"/>
              <w:rPr>
                <w:rFonts w:ascii="Times New Roman" w:hAnsi="Times New Roman" w:cs="Times New Roman"/>
                <w:sz w:val="28"/>
                <w:szCs w:val="28"/>
                <w:lang w:val="en-US"/>
              </w:rPr>
            </w:pPr>
            <w:r w:rsidRPr="008862F5">
              <w:rPr>
                <w:rFonts w:ascii="Times New Roman" w:hAnsi="Times New Roman" w:cs="Times New Roman"/>
                <w:sz w:val="28"/>
                <w:szCs w:val="28"/>
                <w:lang w:val="en-US"/>
              </w:rPr>
              <w:t xml:space="preserve">• </w:t>
            </w:r>
            <w:r w:rsidR="00600C79" w:rsidRPr="008862F5">
              <w:rPr>
                <w:rFonts w:ascii="Times New Roman" w:hAnsi="Times New Roman" w:cs="Times New Roman"/>
                <w:sz w:val="28"/>
                <w:szCs w:val="28"/>
                <w:lang w:val="en-US"/>
              </w:rPr>
              <w:t>Digital practice base map of employers in Kazakhstan               Free Beam digital platform.kz will help:</w:t>
            </w:r>
            <w:r w:rsidR="00600C79" w:rsidRPr="008862F5">
              <w:rPr>
                <w:rFonts w:ascii="Times New Roman" w:hAnsi="Times New Roman" w:cs="Times New Roman"/>
                <w:sz w:val="28"/>
                <w:szCs w:val="28"/>
                <w:lang w:val="en-US"/>
              </w:rPr>
              <w:br/>
              <w:t>• Find vacancies, internships and internship program;</w:t>
            </w:r>
            <w:r w:rsidR="00600C79" w:rsidRPr="008862F5">
              <w:rPr>
                <w:rFonts w:ascii="Times New Roman" w:hAnsi="Times New Roman" w:cs="Times New Roman"/>
                <w:sz w:val="28"/>
                <w:szCs w:val="28"/>
                <w:lang w:val="en-US"/>
              </w:rPr>
              <w:br/>
              <w:t>• Get useful career planning content;</w:t>
            </w:r>
            <w:r w:rsidR="00600C79" w:rsidRPr="008862F5">
              <w:rPr>
                <w:rFonts w:ascii="Times New Roman" w:hAnsi="Times New Roman" w:cs="Times New Roman"/>
                <w:sz w:val="28"/>
                <w:szCs w:val="28"/>
                <w:lang w:val="en-US"/>
              </w:rPr>
              <w:br/>
              <w:t>• Take part in employers' events;</w:t>
            </w:r>
            <w:r w:rsidR="00600C79" w:rsidRPr="008862F5">
              <w:rPr>
                <w:rFonts w:ascii="Times New Roman" w:hAnsi="Times New Roman" w:cs="Times New Roman"/>
                <w:sz w:val="28"/>
                <w:szCs w:val="28"/>
                <w:lang w:val="en-US"/>
              </w:rPr>
              <w:br/>
              <w:t>• Learn more about their work and team.</w:t>
            </w:r>
          </w:p>
        </w:tc>
        <w:tc>
          <w:tcPr>
            <w:tcW w:w="2545" w:type="dxa"/>
            <w:shd w:val="clear" w:color="auto" w:fill="FFFFFF" w:themeFill="background1"/>
            <w:vAlign w:val="bottom"/>
            <w:hideMark/>
          </w:tcPr>
          <w:p w14:paraId="1AEE5668" w14:textId="77777777" w:rsidR="00600C79" w:rsidRPr="008862F5" w:rsidRDefault="002C6007" w:rsidP="008862F5">
            <w:pPr>
              <w:pStyle w:val="af"/>
              <w:rPr>
                <w:rFonts w:ascii="Times New Roman" w:hAnsi="Times New Roman" w:cs="Times New Roman"/>
                <w:sz w:val="28"/>
                <w:szCs w:val="28"/>
                <w:u w:val="single"/>
                <w:lang w:val="en-US"/>
              </w:rPr>
            </w:pPr>
            <w:hyperlink r:id="rId71" w:anchor="!/" w:history="1">
              <w:r w:rsidR="00600C79" w:rsidRPr="008862F5">
                <w:rPr>
                  <w:rFonts w:ascii="Times New Roman" w:hAnsi="Times New Roman" w:cs="Times New Roman"/>
                  <w:sz w:val="28"/>
                  <w:szCs w:val="28"/>
                  <w:u w:val="single"/>
                  <w:lang w:val="en-US"/>
                </w:rPr>
                <w:t>https://sso.satbayev.university/account/login?ReturnUrl=https%3A%2F%2Fsso.satbayev.university%2F#!/</w:t>
              </w:r>
            </w:hyperlink>
          </w:p>
        </w:tc>
      </w:tr>
      <w:tr w:rsidR="00600C79" w:rsidRPr="008862F5" w14:paraId="7FB76B88" w14:textId="77777777" w:rsidTr="00FF1E14">
        <w:trPr>
          <w:trHeight w:val="406"/>
        </w:trPr>
        <w:tc>
          <w:tcPr>
            <w:tcW w:w="1555" w:type="dxa"/>
            <w:shd w:val="clear" w:color="auto" w:fill="FFFFFF" w:themeFill="background1"/>
            <w:vAlign w:val="bottom"/>
            <w:hideMark/>
          </w:tcPr>
          <w:p w14:paraId="6E28A5BF"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Narxoz</w:t>
            </w:r>
            <w:proofErr w:type="spellEnd"/>
            <w:r w:rsidRPr="008862F5">
              <w:rPr>
                <w:rFonts w:ascii="Times New Roman" w:hAnsi="Times New Roman" w:cs="Times New Roman"/>
                <w:sz w:val="28"/>
                <w:szCs w:val="28"/>
              </w:rPr>
              <w:t xml:space="preserve"> University </w:t>
            </w:r>
          </w:p>
        </w:tc>
        <w:tc>
          <w:tcPr>
            <w:tcW w:w="2409" w:type="dxa"/>
            <w:shd w:val="clear" w:color="auto" w:fill="FFFFFF" w:themeFill="background1"/>
            <w:vAlign w:val="bottom"/>
            <w:hideMark/>
          </w:tcPr>
          <w:p w14:paraId="286B82F4" w14:textId="77777777" w:rsidR="00600C79" w:rsidRPr="008862F5" w:rsidRDefault="00600C79" w:rsidP="008862F5">
            <w:pPr>
              <w:pStyle w:val="af"/>
              <w:rPr>
                <w:rFonts w:ascii="Times New Roman" w:hAnsi="Times New Roman" w:cs="Times New Roman"/>
                <w:sz w:val="28"/>
                <w:szCs w:val="28"/>
                <w:lang w:val="en-US"/>
              </w:rPr>
            </w:pPr>
            <w:r w:rsidRPr="008862F5">
              <w:rPr>
                <w:rFonts w:ascii="Times New Roman" w:hAnsi="Times New Roman" w:cs="Times New Roman"/>
                <w:sz w:val="28"/>
                <w:szCs w:val="28"/>
                <w:lang w:val="en-US"/>
              </w:rPr>
              <w:t>No. Just link to Beam KZ</w:t>
            </w:r>
          </w:p>
        </w:tc>
        <w:tc>
          <w:tcPr>
            <w:tcW w:w="3119" w:type="dxa"/>
            <w:shd w:val="clear" w:color="auto" w:fill="FFFFFF" w:themeFill="background1"/>
            <w:vAlign w:val="bottom"/>
            <w:hideMark/>
          </w:tcPr>
          <w:p w14:paraId="3F8B9A24"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Provides</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list</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of</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vacancies</w:t>
            </w:r>
            <w:proofErr w:type="spellEnd"/>
          </w:p>
        </w:tc>
        <w:tc>
          <w:tcPr>
            <w:tcW w:w="2545" w:type="dxa"/>
            <w:shd w:val="clear" w:color="auto" w:fill="FFFFFF" w:themeFill="background1"/>
            <w:vAlign w:val="bottom"/>
            <w:hideMark/>
          </w:tcPr>
          <w:p w14:paraId="69A52633"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Canvas</w:t>
            </w:r>
            <w:proofErr w:type="spellEnd"/>
            <w:r w:rsidRPr="008862F5">
              <w:rPr>
                <w:rFonts w:ascii="Times New Roman" w:hAnsi="Times New Roman" w:cs="Times New Roman"/>
                <w:sz w:val="28"/>
                <w:szCs w:val="28"/>
              </w:rPr>
              <w:t xml:space="preserve"> </w:t>
            </w:r>
          </w:p>
        </w:tc>
      </w:tr>
      <w:tr w:rsidR="00600C79" w:rsidRPr="008862F5" w14:paraId="28D1C942" w14:textId="77777777" w:rsidTr="00FF1E14">
        <w:trPr>
          <w:trHeight w:val="244"/>
        </w:trPr>
        <w:tc>
          <w:tcPr>
            <w:tcW w:w="1555" w:type="dxa"/>
            <w:shd w:val="clear" w:color="auto" w:fill="FFFFFF" w:themeFill="background1"/>
            <w:vAlign w:val="bottom"/>
            <w:hideMark/>
          </w:tcPr>
          <w:p w14:paraId="3AA54E05"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Auezov</w:t>
            </w:r>
            <w:proofErr w:type="spellEnd"/>
            <w:r w:rsidRPr="008862F5">
              <w:rPr>
                <w:rFonts w:ascii="Times New Roman" w:hAnsi="Times New Roman" w:cs="Times New Roman"/>
                <w:sz w:val="28"/>
                <w:szCs w:val="28"/>
              </w:rPr>
              <w:t xml:space="preserve"> University </w:t>
            </w:r>
          </w:p>
        </w:tc>
        <w:tc>
          <w:tcPr>
            <w:tcW w:w="2409" w:type="dxa"/>
            <w:shd w:val="clear" w:color="auto" w:fill="FFFFFF" w:themeFill="background1"/>
            <w:vAlign w:val="bottom"/>
            <w:hideMark/>
          </w:tcPr>
          <w:p w14:paraId="72AEFB57" w14:textId="77777777" w:rsidR="00600C79" w:rsidRPr="008862F5" w:rsidRDefault="00600C79" w:rsidP="008862F5">
            <w:pPr>
              <w:pStyle w:val="af"/>
              <w:rPr>
                <w:rFonts w:ascii="Times New Roman" w:hAnsi="Times New Roman" w:cs="Times New Roman"/>
                <w:sz w:val="28"/>
                <w:szCs w:val="28"/>
              </w:rPr>
            </w:pPr>
            <w:r w:rsidRPr="008862F5">
              <w:rPr>
                <w:rFonts w:ascii="Times New Roman" w:hAnsi="Times New Roman" w:cs="Times New Roman"/>
                <w:sz w:val="28"/>
                <w:szCs w:val="28"/>
              </w:rPr>
              <w:t>No</w:t>
            </w:r>
          </w:p>
        </w:tc>
        <w:tc>
          <w:tcPr>
            <w:tcW w:w="3119" w:type="dxa"/>
            <w:shd w:val="clear" w:color="auto" w:fill="FFFFFF" w:themeFill="background1"/>
            <w:vAlign w:val="bottom"/>
            <w:hideMark/>
          </w:tcPr>
          <w:p w14:paraId="3DED3D87"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Provides</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list</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of</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vacancies</w:t>
            </w:r>
            <w:proofErr w:type="spellEnd"/>
          </w:p>
        </w:tc>
        <w:tc>
          <w:tcPr>
            <w:tcW w:w="2545" w:type="dxa"/>
            <w:shd w:val="clear" w:color="auto" w:fill="FFFFFF" w:themeFill="background1"/>
            <w:vAlign w:val="bottom"/>
            <w:hideMark/>
          </w:tcPr>
          <w:p w14:paraId="515E46DF" w14:textId="77777777" w:rsidR="00600C79" w:rsidRPr="008862F5" w:rsidRDefault="00600C79" w:rsidP="008862F5">
            <w:pPr>
              <w:pStyle w:val="af"/>
              <w:rPr>
                <w:rFonts w:ascii="Times New Roman" w:hAnsi="Times New Roman" w:cs="Times New Roman"/>
                <w:sz w:val="28"/>
                <w:szCs w:val="28"/>
              </w:rPr>
            </w:pPr>
            <w:r w:rsidRPr="008862F5">
              <w:rPr>
                <w:rFonts w:ascii="Times New Roman" w:hAnsi="Times New Roman" w:cs="Times New Roman"/>
                <w:sz w:val="28"/>
                <w:szCs w:val="28"/>
              </w:rPr>
              <w:t> </w:t>
            </w:r>
          </w:p>
        </w:tc>
      </w:tr>
      <w:tr w:rsidR="00600C79" w:rsidRPr="008862F5" w14:paraId="2072C601" w14:textId="77777777" w:rsidTr="00FF1E14">
        <w:trPr>
          <w:trHeight w:val="549"/>
        </w:trPr>
        <w:tc>
          <w:tcPr>
            <w:tcW w:w="1555" w:type="dxa"/>
            <w:shd w:val="clear" w:color="auto" w:fill="FFFFFF" w:themeFill="background1"/>
            <w:vAlign w:val="bottom"/>
            <w:hideMark/>
          </w:tcPr>
          <w:p w14:paraId="1322A034"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Farabi</w:t>
            </w:r>
            <w:proofErr w:type="spellEnd"/>
            <w:r w:rsidRPr="008862F5">
              <w:rPr>
                <w:rFonts w:ascii="Times New Roman" w:hAnsi="Times New Roman" w:cs="Times New Roman"/>
                <w:sz w:val="28"/>
                <w:szCs w:val="28"/>
              </w:rPr>
              <w:t xml:space="preserve"> University (</w:t>
            </w:r>
            <w:proofErr w:type="spellStart"/>
            <w:r w:rsidRPr="008862F5">
              <w:rPr>
                <w:rFonts w:ascii="Times New Roman" w:hAnsi="Times New Roman" w:cs="Times New Roman"/>
                <w:sz w:val="28"/>
                <w:szCs w:val="28"/>
              </w:rPr>
              <w:t>KazNU</w:t>
            </w:r>
            <w:proofErr w:type="spellEnd"/>
            <w:r w:rsidRPr="008862F5">
              <w:rPr>
                <w:rFonts w:ascii="Times New Roman" w:hAnsi="Times New Roman" w:cs="Times New Roman"/>
                <w:sz w:val="28"/>
                <w:szCs w:val="28"/>
              </w:rPr>
              <w:t>)</w:t>
            </w:r>
          </w:p>
        </w:tc>
        <w:tc>
          <w:tcPr>
            <w:tcW w:w="2409" w:type="dxa"/>
            <w:shd w:val="clear" w:color="auto" w:fill="FFFFFF" w:themeFill="background1"/>
            <w:vAlign w:val="bottom"/>
            <w:hideMark/>
          </w:tcPr>
          <w:p w14:paraId="32689959" w14:textId="77777777" w:rsidR="00600C79" w:rsidRPr="008862F5" w:rsidRDefault="00600C79" w:rsidP="008862F5">
            <w:pPr>
              <w:pStyle w:val="af"/>
              <w:rPr>
                <w:rFonts w:ascii="Times New Roman" w:hAnsi="Times New Roman" w:cs="Times New Roman"/>
                <w:sz w:val="28"/>
                <w:szCs w:val="28"/>
              </w:rPr>
            </w:pPr>
            <w:r w:rsidRPr="008862F5">
              <w:rPr>
                <w:rFonts w:ascii="Times New Roman" w:hAnsi="Times New Roman" w:cs="Times New Roman"/>
                <w:sz w:val="28"/>
                <w:szCs w:val="28"/>
              </w:rPr>
              <w:t>No</w:t>
            </w:r>
          </w:p>
        </w:tc>
        <w:tc>
          <w:tcPr>
            <w:tcW w:w="3119" w:type="dxa"/>
            <w:shd w:val="clear" w:color="auto" w:fill="FFFFFF" w:themeFill="background1"/>
            <w:vAlign w:val="bottom"/>
            <w:hideMark/>
          </w:tcPr>
          <w:p w14:paraId="71CFB67B"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Provides</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list</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of</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vacancies</w:t>
            </w:r>
            <w:proofErr w:type="spellEnd"/>
          </w:p>
        </w:tc>
        <w:tc>
          <w:tcPr>
            <w:tcW w:w="2545" w:type="dxa"/>
            <w:shd w:val="clear" w:color="auto" w:fill="FFFFFF" w:themeFill="background1"/>
            <w:vAlign w:val="bottom"/>
            <w:hideMark/>
          </w:tcPr>
          <w:p w14:paraId="48989401"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Univer</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system</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Moodle</w:t>
            </w:r>
            <w:proofErr w:type="spellEnd"/>
            <w:r w:rsidRPr="008862F5">
              <w:rPr>
                <w:rFonts w:ascii="Times New Roman" w:hAnsi="Times New Roman" w:cs="Times New Roman"/>
                <w:sz w:val="28"/>
                <w:szCs w:val="28"/>
              </w:rPr>
              <w:t xml:space="preserve"> </w:t>
            </w:r>
          </w:p>
        </w:tc>
      </w:tr>
      <w:tr w:rsidR="00600C79" w:rsidRPr="008862F5" w14:paraId="76E678CA" w14:textId="77777777" w:rsidTr="00FF1E14">
        <w:trPr>
          <w:trHeight w:val="277"/>
        </w:trPr>
        <w:tc>
          <w:tcPr>
            <w:tcW w:w="1555" w:type="dxa"/>
            <w:shd w:val="clear" w:color="auto" w:fill="FFFFFF" w:themeFill="background1"/>
            <w:vAlign w:val="bottom"/>
            <w:hideMark/>
          </w:tcPr>
          <w:p w14:paraId="6E22CD75"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Karaganda</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Buketov</w:t>
            </w:r>
            <w:proofErr w:type="spellEnd"/>
            <w:r w:rsidRPr="008862F5">
              <w:rPr>
                <w:rFonts w:ascii="Times New Roman" w:hAnsi="Times New Roman" w:cs="Times New Roman"/>
                <w:sz w:val="28"/>
                <w:szCs w:val="28"/>
              </w:rPr>
              <w:t xml:space="preserve"> University</w:t>
            </w:r>
          </w:p>
        </w:tc>
        <w:tc>
          <w:tcPr>
            <w:tcW w:w="2409" w:type="dxa"/>
            <w:shd w:val="clear" w:color="auto" w:fill="FFFFFF" w:themeFill="background1"/>
            <w:vAlign w:val="bottom"/>
            <w:hideMark/>
          </w:tcPr>
          <w:p w14:paraId="4830EB14" w14:textId="77777777" w:rsidR="00600C79" w:rsidRPr="008862F5" w:rsidRDefault="00600C79" w:rsidP="008862F5">
            <w:pPr>
              <w:pStyle w:val="af"/>
              <w:rPr>
                <w:rFonts w:ascii="Times New Roman" w:hAnsi="Times New Roman" w:cs="Times New Roman"/>
                <w:sz w:val="28"/>
                <w:szCs w:val="28"/>
                <w:lang w:val="en-US"/>
              </w:rPr>
            </w:pPr>
            <w:r w:rsidRPr="008862F5">
              <w:rPr>
                <w:rFonts w:ascii="Times New Roman" w:hAnsi="Times New Roman" w:cs="Times New Roman"/>
                <w:sz w:val="28"/>
                <w:szCs w:val="28"/>
                <w:lang w:val="en-US"/>
              </w:rPr>
              <w:t>No. Just link to Beam KZ</w:t>
            </w:r>
          </w:p>
        </w:tc>
        <w:tc>
          <w:tcPr>
            <w:tcW w:w="3119" w:type="dxa"/>
            <w:shd w:val="clear" w:color="auto" w:fill="FFFFFF" w:themeFill="background1"/>
            <w:vAlign w:val="bottom"/>
            <w:hideMark/>
          </w:tcPr>
          <w:p w14:paraId="17B7358F"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Provides</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list</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of</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vacancies</w:t>
            </w:r>
            <w:proofErr w:type="spellEnd"/>
          </w:p>
        </w:tc>
        <w:tc>
          <w:tcPr>
            <w:tcW w:w="2545" w:type="dxa"/>
            <w:shd w:val="clear" w:color="auto" w:fill="FFFFFF" w:themeFill="background1"/>
            <w:vAlign w:val="bottom"/>
            <w:hideMark/>
          </w:tcPr>
          <w:p w14:paraId="6A8E79E0"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Platonus</w:t>
            </w:r>
            <w:proofErr w:type="spellEnd"/>
          </w:p>
        </w:tc>
      </w:tr>
      <w:tr w:rsidR="00600C79" w:rsidRPr="008862F5" w14:paraId="48C11DCF" w14:textId="77777777" w:rsidTr="00FF1E14">
        <w:trPr>
          <w:trHeight w:val="554"/>
        </w:trPr>
        <w:tc>
          <w:tcPr>
            <w:tcW w:w="1555" w:type="dxa"/>
            <w:shd w:val="clear" w:color="auto" w:fill="FFFFFF" w:themeFill="background1"/>
            <w:vAlign w:val="bottom"/>
            <w:hideMark/>
          </w:tcPr>
          <w:p w14:paraId="02B4C53D"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Turan</w:t>
            </w:r>
            <w:proofErr w:type="spellEnd"/>
            <w:r w:rsidRPr="008862F5">
              <w:rPr>
                <w:rFonts w:ascii="Times New Roman" w:hAnsi="Times New Roman" w:cs="Times New Roman"/>
                <w:sz w:val="28"/>
                <w:szCs w:val="28"/>
              </w:rPr>
              <w:t xml:space="preserve"> University</w:t>
            </w:r>
          </w:p>
        </w:tc>
        <w:tc>
          <w:tcPr>
            <w:tcW w:w="2409" w:type="dxa"/>
            <w:shd w:val="clear" w:color="auto" w:fill="FFFFFF" w:themeFill="background1"/>
            <w:vAlign w:val="bottom"/>
            <w:hideMark/>
          </w:tcPr>
          <w:p w14:paraId="6BFF5F58" w14:textId="77777777" w:rsidR="00600C79" w:rsidRPr="008862F5" w:rsidRDefault="00600C79" w:rsidP="008862F5">
            <w:pPr>
              <w:pStyle w:val="af"/>
              <w:rPr>
                <w:rFonts w:ascii="Times New Roman" w:hAnsi="Times New Roman" w:cs="Times New Roman"/>
                <w:sz w:val="28"/>
                <w:szCs w:val="28"/>
              </w:rPr>
            </w:pPr>
            <w:r w:rsidRPr="008862F5">
              <w:rPr>
                <w:rFonts w:ascii="Times New Roman" w:hAnsi="Times New Roman" w:cs="Times New Roman"/>
                <w:sz w:val="28"/>
                <w:szCs w:val="28"/>
              </w:rPr>
              <w:t>No</w:t>
            </w:r>
          </w:p>
        </w:tc>
        <w:tc>
          <w:tcPr>
            <w:tcW w:w="3119" w:type="dxa"/>
            <w:shd w:val="clear" w:color="auto" w:fill="FFFFFF" w:themeFill="background1"/>
            <w:vAlign w:val="bottom"/>
            <w:hideMark/>
          </w:tcPr>
          <w:p w14:paraId="3EF996ED"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Provides</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list</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of</w:t>
            </w:r>
            <w:proofErr w:type="spellEnd"/>
            <w:r w:rsidRPr="008862F5">
              <w:rPr>
                <w:rFonts w:ascii="Times New Roman" w:hAnsi="Times New Roman" w:cs="Times New Roman"/>
                <w:sz w:val="28"/>
                <w:szCs w:val="28"/>
              </w:rPr>
              <w:t xml:space="preserve"> </w:t>
            </w:r>
            <w:proofErr w:type="spellStart"/>
            <w:r w:rsidRPr="008862F5">
              <w:rPr>
                <w:rFonts w:ascii="Times New Roman" w:hAnsi="Times New Roman" w:cs="Times New Roman"/>
                <w:sz w:val="28"/>
                <w:szCs w:val="28"/>
              </w:rPr>
              <w:t>vacancies</w:t>
            </w:r>
            <w:proofErr w:type="spellEnd"/>
          </w:p>
        </w:tc>
        <w:tc>
          <w:tcPr>
            <w:tcW w:w="2545" w:type="dxa"/>
            <w:shd w:val="clear" w:color="auto" w:fill="FFFFFF" w:themeFill="background1"/>
            <w:vAlign w:val="bottom"/>
            <w:hideMark/>
          </w:tcPr>
          <w:p w14:paraId="081FD87E" w14:textId="77777777" w:rsidR="00600C79" w:rsidRPr="008862F5" w:rsidRDefault="00600C79" w:rsidP="008862F5">
            <w:pPr>
              <w:pStyle w:val="af"/>
              <w:rPr>
                <w:rFonts w:ascii="Times New Roman" w:hAnsi="Times New Roman" w:cs="Times New Roman"/>
                <w:sz w:val="28"/>
                <w:szCs w:val="28"/>
              </w:rPr>
            </w:pPr>
            <w:proofErr w:type="spellStart"/>
            <w:r w:rsidRPr="008862F5">
              <w:rPr>
                <w:rFonts w:ascii="Times New Roman" w:hAnsi="Times New Roman" w:cs="Times New Roman"/>
                <w:sz w:val="28"/>
                <w:szCs w:val="28"/>
              </w:rPr>
              <w:t>Canvas</w:t>
            </w:r>
            <w:proofErr w:type="spellEnd"/>
          </w:p>
        </w:tc>
      </w:tr>
      <w:tr w:rsidR="00600C79" w:rsidRPr="000E0481" w14:paraId="51B99DF6" w14:textId="77777777" w:rsidTr="00015E71">
        <w:trPr>
          <w:trHeight w:val="440"/>
        </w:trPr>
        <w:tc>
          <w:tcPr>
            <w:tcW w:w="9628" w:type="dxa"/>
            <w:gridSpan w:val="4"/>
            <w:shd w:val="clear" w:color="auto" w:fill="FFFFFF" w:themeFill="background1"/>
            <w:vAlign w:val="bottom"/>
          </w:tcPr>
          <w:p w14:paraId="33A16558" w14:textId="72AC69BB" w:rsidR="00600C79" w:rsidRPr="008862F5" w:rsidRDefault="00F647AF" w:rsidP="008862F5">
            <w:pPr>
              <w:pStyle w:val="af"/>
              <w:rPr>
                <w:rFonts w:ascii="Times New Roman" w:hAnsi="Times New Roman" w:cs="Times New Roman"/>
                <w:sz w:val="28"/>
                <w:szCs w:val="28"/>
                <w:lang w:val="en-US"/>
              </w:rPr>
            </w:pPr>
            <w:r w:rsidRPr="00F647AF">
              <w:rPr>
                <w:rFonts w:ascii="Times New Roman" w:hAnsi="Times New Roman" w:cs="Times New Roman"/>
                <w:sz w:val="28"/>
                <w:szCs w:val="28"/>
                <w:lang w:val="en-US"/>
              </w:rPr>
              <w:t xml:space="preserve">         </w:t>
            </w:r>
            <w:r w:rsidR="00600C79" w:rsidRPr="00DC4C22">
              <w:rPr>
                <w:rFonts w:ascii="Times New Roman" w:hAnsi="Times New Roman" w:cs="Times New Roman"/>
                <w:sz w:val="24"/>
                <w:szCs w:val="24"/>
                <w:lang w:val="en-US"/>
              </w:rPr>
              <w:t>Note – compiled by author on the basis of [27</w:t>
            </w:r>
            <w:r w:rsidR="00F44B8C">
              <w:rPr>
                <w:rFonts w:ascii="Times New Roman" w:hAnsi="Times New Roman" w:cs="Times New Roman"/>
                <w:sz w:val="24"/>
                <w:szCs w:val="24"/>
                <w:lang w:val="en-US"/>
              </w:rPr>
              <w:t>5</w:t>
            </w:r>
            <w:r w:rsidR="00600C79" w:rsidRPr="00DC4C22">
              <w:rPr>
                <w:rFonts w:ascii="Times New Roman" w:hAnsi="Times New Roman" w:cs="Times New Roman"/>
                <w:sz w:val="24"/>
                <w:szCs w:val="24"/>
                <w:lang w:val="en-US"/>
              </w:rPr>
              <w:t>-28</w:t>
            </w:r>
            <w:r w:rsidR="00F44B8C">
              <w:rPr>
                <w:rFonts w:ascii="Times New Roman" w:hAnsi="Times New Roman" w:cs="Times New Roman"/>
                <w:sz w:val="24"/>
                <w:szCs w:val="24"/>
                <w:lang w:val="en-US"/>
              </w:rPr>
              <w:t>4</w:t>
            </w:r>
            <w:r w:rsidR="00600C79" w:rsidRPr="00DC4C22">
              <w:rPr>
                <w:rFonts w:ascii="Times New Roman" w:hAnsi="Times New Roman" w:cs="Times New Roman"/>
                <w:sz w:val="24"/>
                <w:szCs w:val="24"/>
                <w:lang w:val="en-US"/>
              </w:rPr>
              <w:t xml:space="preserve">] </w:t>
            </w:r>
          </w:p>
        </w:tc>
      </w:tr>
    </w:tbl>
    <w:p w14:paraId="58EDBAA9"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p>
    <w:p w14:paraId="331ECC7F"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AI-powered career </w:t>
      </w:r>
      <w:proofErr w:type="spellStart"/>
      <w:r w:rsidRPr="00244343">
        <w:rPr>
          <w:rFonts w:ascii="Times New Roman" w:hAnsi="Times New Roman" w:cs="Times New Roman"/>
          <w:sz w:val="28"/>
          <w:szCs w:val="28"/>
          <w:lang w:val="en-US"/>
        </w:rPr>
        <w:t>centres</w:t>
      </w:r>
      <w:proofErr w:type="spellEnd"/>
      <w:r w:rsidRPr="00244343">
        <w:rPr>
          <w:rFonts w:ascii="Times New Roman" w:hAnsi="Times New Roman" w:cs="Times New Roman"/>
          <w:sz w:val="28"/>
          <w:szCs w:val="28"/>
          <w:lang w:val="en-US"/>
        </w:rPr>
        <w:t xml:space="preserve"> have been effectively implemented in the United States, Canada, Australia, and the United Kingdom to improve graduate's employability.</w:t>
      </w:r>
    </w:p>
    <w:p w14:paraId="3F97FB94"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United States</w:t>
      </w:r>
    </w:p>
    <w:p w14:paraId="449B35A1" w14:textId="382A784C"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Carnegie Mellon University: The university's career services office utilizes AI-powered tools to provide personalized career counseling, job recommendations, and skill assessments</w:t>
      </w:r>
      <w:r w:rsidR="005C6D95">
        <w:rPr>
          <w:rFonts w:ascii="Times New Roman" w:hAnsi="Times New Roman" w:cs="Times New Roman"/>
          <w:sz w:val="28"/>
          <w:szCs w:val="28"/>
          <w:lang w:val="en-US"/>
        </w:rPr>
        <w:t>.</w:t>
      </w:r>
      <w:r w:rsidRPr="00244343">
        <w:rPr>
          <w:rFonts w:ascii="Times New Roman" w:hAnsi="Times New Roman" w:cs="Times New Roman"/>
          <w:sz w:val="28"/>
          <w:szCs w:val="28"/>
          <w:lang w:val="en-US"/>
        </w:rPr>
        <w:t xml:space="preserve"> </w:t>
      </w:r>
    </w:p>
    <w:p w14:paraId="11654BAA" w14:textId="77777777" w:rsidR="00600C79" w:rsidRPr="00244343" w:rsidRDefault="00600C79" w:rsidP="00600C79">
      <w:pPr>
        <w:pStyle w:val="a4"/>
        <w:spacing w:before="0" w:beforeAutospacing="0" w:after="0" w:afterAutospacing="0"/>
        <w:ind w:firstLine="720"/>
        <w:jc w:val="both"/>
        <w:rPr>
          <w:sz w:val="28"/>
          <w:szCs w:val="28"/>
          <w:lang w:val="en-US"/>
        </w:rPr>
      </w:pPr>
      <w:r w:rsidRPr="00244343">
        <w:rPr>
          <w:sz w:val="28"/>
          <w:szCs w:val="28"/>
          <w:lang w:val="en-US"/>
        </w:rPr>
        <w:t xml:space="preserve">Most of the university's career </w:t>
      </w:r>
      <w:proofErr w:type="spellStart"/>
      <w:r w:rsidRPr="00244343">
        <w:rPr>
          <w:sz w:val="28"/>
          <w:szCs w:val="28"/>
          <w:lang w:val="en-US"/>
        </w:rPr>
        <w:t>centres</w:t>
      </w:r>
      <w:proofErr w:type="spellEnd"/>
      <w:r w:rsidRPr="00244343">
        <w:rPr>
          <w:sz w:val="28"/>
          <w:szCs w:val="28"/>
          <w:lang w:val="en-US"/>
        </w:rPr>
        <w:t xml:space="preserve"> applying AI in career search enhancement or career counselling utilize Generative AI (Gen AI) technologies, such as Microsoft Copilot (accessible through your university account), to enhance job search and career development strategies. </w:t>
      </w:r>
    </w:p>
    <w:p w14:paraId="0ABF51FF" w14:textId="1C513BF7" w:rsidR="00600C79" w:rsidRPr="00244343" w:rsidRDefault="00600C79" w:rsidP="00DF4EC0">
      <w:pPr>
        <w:pStyle w:val="a4"/>
        <w:spacing w:before="0" w:beforeAutospacing="0" w:after="0" w:afterAutospacing="0"/>
        <w:ind w:firstLine="720"/>
        <w:contextualSpacing/>
        <w:jc w:val="both"/>
        <w:rPr>
          <w:sz w:val="28"/>
          <w:szCs w:val="28"/>
          <w:lang w:val="en-US"/>
        </w:rPr>
      </w:pPr>
      <w:r w:rsidRPr="00244343">
        <w:rPr>
          <w:sz w:val="28"/>
          <w:szCs w:val="28"/>
          <w:lang w:val="en-US"/>
        </w:rPr>
        <w:lastRenderedPageBreak/>
        <w:t>Gen AI can assist in preparing application documents, interviews, and networking events when utilized effectively by facilitating the brainstorming, drafting, and revision of these documents. Career advisors can offer valuable guidance to initiate the process or evaluate the application documents students have prepared with Gen AI's assistance.</w:t>
      </w:r>
    </w:p>
    <w:p w14:paraId="2852D097" w14:textId="17977600" w:rsidR="00600C79" w:rsidRPr="00244343" w:rsidRDefault="00600C79" w:rsidP="00DF4EC0">
      <w:pPr>
        <w:pStyle w:val="a4"/>
        <w:spacing w:before="0" w:beforeAutospacing="0" w:after="0" w:afterAutospacing="0"/>
        <w:ind w:firstLine="720"/>
        <w:contextualSpacing/>
        <w:jc w:val="both"/>
        <w:rPr>
          <w:sz w:val="28"/>
          <w:szCs w:val="28"/>
          <w:lang w:val="en-US"/>
        </w:rPr>
      </w:pPr>
      <w:r w:rsidRPr="00244343">
        <w:rPr>
          <w:sz w:val="28"/>
          <w:szCs w:val="28"/>
          <w:lang w:val="en-US"/>
        </w:rPr>
        <w:t>University of California, Berkeley: Berkeley's career center leverages AI to analyze job market trends and provide students with insights into emerging industries and in-demand skills</w:t>
      </w:r>
      <w:r>
        <w:rPr>
          <w:sz w:val="28"/>
          <w:szCs w:val="28"/>
          <w:lang w:val="en-US"/>
        </w:rPr>
        <w:t>.</w:t>
      </w:r>
    </w:p>
    <w:p w14:paraId="434BE5E8" w14:textId="4CCF4E1C" w:rsidR="002B0177" w:rsidRDefault="00600C79" w:rsidP="002B0177">
      <w:pPr>
        <w:pStyle w:val="a4"/>
        <w:spacing w:before="0" w:beforeAutospacing="0" w:after="0" w:afterAutospacing="0"/>
        <w:ind w:firstLine="720"/>
        <w:contextualSpacing/>
        <w:jc w:val="both"/>
        <w:rPr>
          <w:sz w:val="28"/>
          <w:szCs w:val="28"/>
          <w:lang w:val="en-US"/>
        </w:rPr>
      </w:pPr>
      <w:r w:rsidRPr="00244343">
        <w:rPr>
          <w:sz w:val="28"/>
          <w:szCs w:val="28"/>
          <w:lang w:val="en-US"/>
        </w:rPr>
        <w:t>United Kingdom, University of Sheffield: The university's career service uses AI-driven chatbots to answer student queries, provide career advice, and offer support with job applications. University College London (UCL): UCL's career service employs AI to analyze student profiles and match them with relevant internships and job opportunities.</w:t>
      </w:r>
    </w:p>
    <w:p w14:paraId="0322F981" w14:textId="3839C10D" w:rsidR="00600C79" w:rsidRPr="002B0177" w:rsidRDefault="002B0177" w:rsidP="002B0177">
      <w:pPr>
        <w:pStyle w:val="3"/>
        <w:spacing w:before="0" w:line="240" w:lineRule="auto"/>
        <w:ind w:firstLine="720"/>
        <w:jc w:val="both"/>
        <w:rPr>
          <w:rFonts w:ascii="Times New Roman" w:hAnsi="Times New Roman" w:cs="Times New Roman"/>
          <w:color w:val="auto"/>
          <w:sz w:val="28"/>
          <w:szCs w:val="28"/>
          <w:lang w:val="en-US"/>
        </w:rPr>
      </w:pPr>
      <w:r w:rsidRPr="00244343">
        <w:rPr>
          <w:rFonts w:ascii="Times New Roman" w:hAnsi="Times New Roman" w:cs="Times New Roman"/>
          <w:color w:val="auto"/>
          <w:sz w:val="28"/>
          <w:szCs w:val="28"/>
          <w:lang w:val="en-US"/>
        </w:rPr>
        <w:t xml:space="preserve">Canada, University of Waterloo: Waterloo's career </w:t>
      </w:r>
      <w:proofErr w:type="spellStart"/>
      <w:r w:rsidRPr="00244343">
        <w:rPr>
          <w:rFonts w:ascii="Times New Roman" w:hAnsi="Times New Roman" w:cs="Times New Roman"/>
          <w:color w:val="auto"/>
          <w:sz w:val="28"/>
          <w:szCs w:val="28"/>
          <w:lang w:val="en-US"/>
        </w:rPr>
        <w:t>centre</w:t>
      </w:r>
      <w:proofErr w:type="spellEnd"/>
      <w:r w:rsidRPr="00244343">
        <w:rPr>
          <w:rFonts w:ascii="Times New Roman" w:hAnsi="Times New Roman" w:cs="Times New Roman"/>
          <w:color w:val="auto"/>
          <w:sz w:val="28"/>
          <w:szCs w:val="28"/>
          <w:lang w:val="en-US"/>
        </w:rPr>
        <w:t xml:space="preserve"> leverages AI to match students with employers and to provide them with feedback on their resumes and cover letters [28</w:t>
      </w:r>
      <w:r w:rsidR="00F44B8C">
        <w:rPr>
          <w:rFonts w:ascii="Times New Roman" w:hAnsi="Times New Roman" w:cs="Times New Roman"/>
          <w:color w:val="auto"/>
          <w:sz w:val="28"/>
          <w:szCs w:val="28"/>
          <w:lang w:val="en-US"/>
        </w:rPr>
        <w:t>5</w:t>
      </w:r>
      <w:r w:rsidRPr="00244343">
        <w:rPr>
          <w:rFonts w:ascii="Times New Roman" w:hAnsi="Times New Roman" w:cs="Times New Roman"/>
          <w:color w:val="auto"/>
          <w:sz w:val="28"/>
          <w:szCs w:val="28"/>
          <w:lang w:val="en-US"/>
        </w:rPr>
        <w:t xml:space="preserve">]. </w:t>
      </w:r>
    </w:p>
    <w:p w14:paraId="19626016" w14:textId="3DEBDC90" w:rsidR="00415AC1" w:rsidRDefault="00600C79" w:rsidP="00415AC1">
      <w:pPr>
        <w:pStyle w:val="3"/>
        <w:spacing w:before="0" w:line="240" w:lineRule="auto"/>
        <w:ind w:firstLine="720"/>
        <w:contextualSpacing/>
        <w:jc w:val="both"/>
        <w:rPr>
          <w:rFonts w:ascii="Times New Roman" w:hAnsi="Times New Roman" w:cs="Times New Roman"/>
          <w:color w:val="auto"/>
          <w:sz w:val="28"/>
          <w:szCs w:val="28"/>
          <w:lang w:val="en-US"/>
        </w:rPr>
      </w:pPr>
      <w:r w:rsidRPr="00244343">
        <w:rPr>
          <w:rFonts w:ascii="Times New Roman" w:hAnsi="Times New Roman" w:cs="Times New Roman"/>
          <w:color w:val="auto"/>
          <w:sz w:val="28"/>
          <w:szCs w:val="28"/>
          <w:lang w:val="en-US"/>
        </w:rPr>
        <w:t xml:space="preserve">Australia, University of Melbourne: The university's career service utilizes AI to provide real-time job alerts and personalized career </w:t>
      </w:r>
      <w:proofErr w:type="spellStart"/>
      <w:proofErr w:type="gramStart"/>
      <w:r w:rsidRPr="00244343">
        <w:rPr>
          <w:rFonts w:ascii="Times New Roman" w:hAnsi="Times New Roman" w:cs="Times New Roman"/>
          <w:color w:val="auto"/>
          <w:sz w:val="28"/>
          <w:szCs w:val="28"/>
          <w:lang w:val="en-US"/>
        </w:rPr>
        <w:t>advice.</w:t>
      </w:r>
      <w:r w:rsidRPr="002B0177">
        <w:rPr>
          <w:rFonts w:ascii="Times New Roman" w:hAnsi="Times New Roman" w:cs="Times New Roman"/>
          <w:color w:val="auto"/>
          <w:sz w:val="28"/>
          <w:szCs w:val="28"/>
          <w:lang w:val="en-US"/>
        </w:rPr>
        <w:t>University</w:t>
      </w:r>
      <w:proofErr w:type="spellEnd"/>
      <w:proofErr w:type="gramEnd"/>
      <w:r w:rsidRPr="002B0177">
        <w:rPr>
          <w:rFonts w:ascii="Times New Roman" w:hAnsi="Times New Roman" w:cs="Times New Roman"/>
          <w:color w:val="auto"/>
          <w:sz w:val="28"/>
          <w:szCs w:val="28"/>
          <w:lang w:val="en-US"/>
        </w:rPr>
        <w:t xml:space="preserve"> of Sydney, the u</w:t>
      </w:r>
      <w:r w:rsidR="002B0177" w:rsidRPr="002B0177">
        <w:rPr>
          <w:rFonts w:ascii="Times New Roman" w:hAnsi="Times New Roman" w:cs="Times New Roman"/>
          <w:color w:val="auto"/>
          <w:sz w:val="28"/>
          <w:szCs w:val="28"/>
          <w:lang w:val="en-US"/>
        </w:rPr>
        <w:t xml:space="preserve"> </w:t>
      </w:r>
      <w:proofErr w:type="spellStart"/>
      <w:r w:rsidRPr="002B0177">
        <w:rPr>
          <w:rFonts w:ascii="Times New Roman" w:hAnsi="Times New Roman" w:cs="Times New Roman"/>
          <w:color w:val="auto"/>
          <w:sz w:val="28"/>
          <w:szCs w:val="28"/>
          <w:lang w:val="en-US"/>
        </w:rPr>
        <w:t>niversity's</w:t>
      </w:r>
      <w:proofErr w:type="spellEnd"/>
      <w:r w:rsidRPr="002B0177">
        <w:rPr>
          <w:rFonts w:ascii="Times New Roman" w:hAnsi="Times New Roman" w:cs="Times New Roman"/>
          <w:color w:val="auto"/>
          <w:sz w:val="28"/>
          <w:szCs w:val="28"/>
          <w:lang w:val="en-US"/>
        </w:rPr>
        <w:t xml:space="preserve"> career service uses AI to analyze the Australian job market and provide students with insights into industry trends and emerging roles</w:t>
      </w:r>
      <w:r w:rsidR="002B0177" w:rsidRPr="002B0177">
        <w:rPr>
          <w:rFonts w:ascii="Times New Roman" w:hAnsi="Times New Roman" w:cs="Times New Roman"/>
          <w:color w:val="auto"/>
          <w:sz w:val="28"/>
          <w:szCs w:val="28"/>
          <w:lang w:val="en-US"/>
        </w:rPr>
        <w:t xml:space="preserve">. </w:t>
      </w:r>
      <w:r w:rsidRPr="002B0177">
        <w:rPr>
          <w:rFonts w:ascii="Times New Roman" w:hAnsi="Times New Roman" w:cs="Times New Roman"/>
          <w:color w:val="auto"/>
          <w:sz w:val="28"/>
          <w:szCs w:val="28"/>
          <w:lang w:val="en-US"/>
        </w:rPr>
        <w:t xml:space="preserve">It's important to note that AI-generated content, if not customized appropriately, can be easily identified by employers. Gen AI tools, while powerful, have the potential to generate generic application documents that may misrepresent your experience. This could leave students ill-equipped to discuss their experiences during interviews. However, career </w:t>
      </w:r>
      <w:proofErr w:type="spellStart"/>
      <w:r w:rsidRPr="002B0177">
        <w:rPr>
          <w:rFonts w:ascii="Times New Roman" w:hAnsi="Times New Roman" w:cs="Times New Roman"/>
          <w:color w:val="auto"/>
          <w:sz w:val="28"/>
          <w:szCs w:val="28"/>
          <w:lang w:val="en-US"/>
        </w:rPr>
        <w:t>centres</w:t>
      </w:r>
      <w:proofErr w:type="spellEnd"/>
      <w:r w:rsidRPr="002B0177">
        <w:rPr>
          <w:rFonts w:ascii="Times New Roman" w:hAnsi="Times New Roman" w:cs="Times New Roman"/>
          <w:color w:val="auto"/>
          <w:sz w:val="28"/>
          <w:szCs w:val="28"/>
          <w:lang w:val="en-US"/>
        </w:rPr>
        <w:t xml:space="preserve"> are available to assist students in avoiding these common pitfalls [28</w:t>
      </w:r>
      <w:r w:rsidR="00F44B8C">
        <w:rPr>
          <w:rFonts w:ascii="Times New Roman" w:hAnsi="Times New Roman" w:cs="Times New Roman"/>
          <w:color w:val="auto"/>
          <w:sz w:val="28"/>
          <w:szCs w:val="28"/>
          <w:lang w:val="en-US"/>
        </w:rPr>
        <w:t>6</w:t>
      </w:r>
      <w:r w:rsidRPr="002B0177">
        <w:rPr>
          <w:rFonts w:ascii="Times New Roman" w:hAnsi="Times New Roman" w:cs="Times New Roman"/>
          <w:color w:val="auto"/>
          <w:sz w:val="28"/>
          <w:szCs w:val="28"/>
          <w:lang w:val="en-US"/>
        </w:rPr>
        <w:t>-28</w:t>
      </w:r>
      <w:r w:rsidR="00F44B8C">
        <w:rPr>
          <w:rFonts w:ascii="Times New Roman" w:hAnsi="Times New Roman" w:cs="Times New Roman"/>
          <w:color w:val="auto"/>
          <w:sz w:val="28"/>
          <w:szCs w:val="28"/>
          <w:lang w:val="en-US"/>
        </w:rPr>
        <w:t>7</w:t>
      </w:r>
      <w:r w:rsidRPr="002B0177">
        <w:rPr>
          <w:rFonts w:ascii="Times New Roman" w:hAnsi="Times New Roman" w:cs="Times New Roman"/>
          <w:color w:val="auto"/>
          <w:sz w:val="28"/>
          <w:szCs w:val="28"/>
          <w:lang w:val="en-US"/>
        </w:rPr>
        <w:t>].</w:t>
      </w:r>
      <w:r w:rsidR="00F44B8C">
        <w:rPr>
          <w:rFonts w:ascii="Times New Roman" w:hAnsi="Times New Roman" w:cs="Times New Roman"/>
          <w:color w:val="auto"/>
          <w:sz w:val="28"/>
          <w:szCs w:val="28"/>
          <w:lang w:val="en-US"/>
        </w:rPr>
        <w:t xml:space="preserve"> </w:t>
      </w:r>
    </w:p>
    <w:p w14:paraId="70B5C548" w14:textId="77777777" w:rsidR="00943A62" w:rsidRDefault="00600C79" w:rsidP="00943A62">
      <w:pPr>
        <w:pStyle w:val="3"/>
        <w:spacing w:before="0" w:line="240" w:lineRule="auto"/>
        <w:ind w:firstLine="720"/>
        <w:contextualSpacing/>
        <w:jc w:val="both"/>
        <w:rPr>
          <w:rFonts w:ascii="Times New Roman" w:hAnsi="Times New Roman" w:cs="Times New Roman"/>
          <w:color w:val="auto"/>
          <w:sz w:val="28"/>
          <w:szCs w:val="28"/>
          <w:lang w:val="en-US"/>
        </w:rPr>
      </w:pPr>
      <w:r w:rsidRPr="00415AC1">
        <w:rPr>
          <w:rFonts w:ascii="Times New Roman" w:hAnsi="Times New Roman" w:cs="Times New Roman"/>
          <w:color w:val="auto"/>
          <w:sz w:val="28"/>
          <w:szCs w:val="28"/>
          <w:lang w:val="en-US"/>
        </w:rPr>
        <w:t>The above examples demonstrate the potential of AI to revolutionize career services and improve graduate employability. By harnessing AI's power, universities can provide students with the tools and support they need to succeed in the modern workforce. Figure 4</w:t>
      </w:r>
      <w:r w:rsidR="005C6D95" w:rsidRPr="00415AC1">
        <w:rPr>
          <w:rFonts w:ascii="Times New Roman" w:hAnsi="Times New Roman" w:cs="Times New Roman"/>
          <w:color w:val="auto"/>
          <w:sz w:val="28"/>
          <w:szCs w:val="28"/>
          <w:lang w:val="en-US"/>
        </w:rPr>
        <w:t>1</w:t>
      </w:r>
      <w:r w:rsidRPr="00415AC1">
        <w:rPr>
          <w:rFonts w:ascii="Times New Roman" w:hAnsi="Times New Roman" w:cs="Times New Roman"/>
          <w:color w:val="auto"/>
          <w:sz w:val="28"/>
          <w:szCs w:val="28"/>
          <w:lang w:val="en-US"/>
        </w:rPr>
        <w:t xml:space="preserve"> provides a comprehensive visual representation of the operational mechanisms of the AI-integrated Career Centers platform. It elucidates the issues addressed by the three key stakeholders: graduates, prospective employers, and career centers. The integration of (AI) into career centers has the potential to enhance graduate employability significantly. These centers can provide more personalized, efficient, and practical career guidance and support by leveraging AI's capabilities.</w:t>
      </w:r>
    </w:p>
    <w:p w14:paraId="18410775" w14:textId="23EDB141" w:rsidR="00600C79" w:rsidRDefault="00600C79" w:rsidP="00943A62">
      <w:pPr>
        <w:pStyle w:val="3"/>
        <w:spacing w:before="0" w:line="240" w:lineRule="auto"/>
        <w:ind w:firstLine="720"/>
        <w:contextualSpacing/>
        <w:jc w:val="both"/>
        <w:rPr>
          <w:rFonts w:ascii="Times New Roman" w:hAnsi="Times New Roman" w:cs="Times New Roman"/>
          <w:color w:val="auto"/>
          <w:sz w:val="28"/>
          <w:szCs w:val="28"/>
          <w:lang w:val="en-US"/>
        </w:rPr>
      </w:pPr>
      <w:r w:rsidRPr="00415AC1">
        <w:rPr>
          <w:rFonts w:ascii="Times New Roman" w:hAnsi="Times New Roman" w:cs="Times New Roman"/>
          <w:color w:val="auto"/>
          <w:sz w:val="28"/>
          <w:szCs w:val="28"/>
          <w:lang w:val="en-US"/>
        </w:rPr>
        <w:t>Numerous studies have demonstrated that entrepreneurship significantly enhances employability among graduates. Incorporating entrepreneurial orientation and education into higher education curricula enhances students' employability skills, equipping them for the evolving job market.</w:t>
      </w:r>
    </w:p>
    <w:p w14:paraId="38E9F431" w14:textId="5EDAC052" w:rsidR="00600C79" w:rsidRPr="00340571" w:rsidRDefault="00340571" w:rsidP="00340571">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AI enhances employability by improving organizational efficiency and generating new job opportunities. As industries integrate AI technologies, effective employment management is required [28</w:t>
      </w:r>
      <w:r>
        <w:rPr>
          <w:rFonts w:ascii="Times New Roman" w:hAnsi="Times New Roman" w:cs="Times New Roman"/>
          <w:sz w:val="28"/>
          <w:szCs w:val="28"/>
          <w:lang w:val="en-US"/>
        </w:rPr>
        <w:t>8</w:t>
      </w:r>
      <w:r w:rsidRPr="00244343">
        <w:rPr>
          <w:rFonts w:ascii="Times New Roman" w:hAnsi="Times New Roman" w:cs="Times New Roman"/>
          <w:sz w:val="28"/>
          <w:szCs w:val="28"/>
          <w:lang w:val="en-US"/>
        </w:rPr>
        <w:t xml:space="preserve">]. Thus, we strongly recommend integrating AI itself into the career </w:t>
      </w:r>
      <w:proofErr w:type="spellStart"/>
      <w:r w:rsidRPr="00244343">
        <w:rPr>
          <w:rFonts w:ascii="Times New Roman" w:hAnsi="Times New Roman" w:cs="Times New Roman"/>
          <w:sz w:val="28"/>
          <w:szCs w:val="28"/>
          <w:lang w:val="en-US"/>
        </w:rPr>
        <w:t>centre</w:t>
      </w:r>
      <w:proofErr w:type="spellEnd"/>
      <w:r w:rsidR="00AE12FC">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 xml:space="preserve">platform to regulate their graduate's </w:t>
      </w:r>
      <w:r w:rsidRPr="00244343">
        <w:rPr>
          <w:rFonts w:ascii="Times New Roman" w:hAnsi="Times New Roman" w:cs="Times New Roman"/>
          <w:sz w:val="28"/>
          <w:szCs w:val="28"/>
          <w:lang w:val="en-US"/>
        </w:rPr>
        <w:lastRenderedPageBreak/>
        <w:t xml:space="preserve">employability rates. Artificial intelligence is revolutionizing career counseling by providing tailored guidance and improving students' decision-making processes. Incorporating AI technologies in career </w:t>
      </w:r>
      <w:proofErr w:type="spellStart"/>
      <w:r w:rsidRPr="00244343">
        <w:rPr>
          <w:rFonts w:ascii="Times New Roman" w:hAnsi="Times New Roman" w:cs="Times New Roman"/>
          <w:sz w:val="28"/>
          <w:szCs w:val="28"/>
          <w:lang w:val="en-US"/>
        </w:rPr>
        <w:t>centres</w:t>
      </w:r>
      <w:proofErr w:type="spellEnd"/>
      <w:r w:rsidRPr="00244343">
        <w:rPr>
          <w:rFonts w:ascii="Times New Roman" w:hAnsi="Times New Roman" w:cs="Times New Roman"/>
          <w:sz w:val="28"/>
          <w:szCs w:val="28"/>
          <w:lang w:val="en-US"/>
        </w:rPr>
        <w:t xml:space="preserve"> facilitates personalized recommendations derived from individual profiles, academic performance, and interests, enhancing career outcomes.</w:t>
      </w:r>
    </w:p>
    <w:p w14:paraId="0249CDA0" w14:textId="77777777" w:rsidR="00600C79" w:rsidRPr="00244343" w:rsidRDefault="00600C79" w:rsidP="00600C79">
      <w:pPr>
        <w:spacing w:after="0" w:line="240" w:lineRule="auto"/>
        <w:contextualSpacing/>
        <w:jc w:val="both"/>
        <w:rPr>
          <w:rFonts w:ascii="Times New Roman" w:hAnsi="Times New Roman" w:cs="Times New Roman"/>
          <w:sz w:val="28"/>
          <w:szCs w:val="28"/>
          <w:lang w:val="en-US"/>
        </w:rPr>
      </w:pPr>
      <w:r w:rsidRPr="00244343">
        <w:rPr>
          <w:rFonts w:ascii="Times New Roman" w:hAnsi="Times New Roman" w:cs="Times New Roman"/>
          <w:noProof/>
          <w:sz w:val="28"/>
          <w:szCs w:val="28"/>
          <w:lang w:val="en-US"/>
        </w:rPr>
        <w:drawing>
          <wp:inline distT="0" distB="0" distL="0" distR="0" wp14:anchorId="478FC74D" wp14:editId="0FFB3995">
            <wp:extent cx="5721380" cy="5953671"/>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43012" cy="5976181"/>
                    </a:xfrm>
                    <a:prstGeom prst="rect">
                      <a:avLst/>
                    </a:prstGeom>
                  </pic:spPr>
                </pic:pic>
              </a:graphicData>
            </a:graphic>
          </wp:inline>
        </w:drawing>
      </w:r>
    </w:p>
    <w:p w14:paraId="64623416" w14:textId="304F6F69" w:rsidR="00600C79" w:rsidRPr="00244343" w:rsidRDefault="00600C79" w:rsidP="00600C79">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4</w:t>
      </w:r>
      <w:r w:rsidR="005C6D95">
        <w:rPr>
          <w:rFonts w:ascii="Times New Roman" w:hAnsi="Times New Roman" w:cs="Times New Roman"/>
          <w:sz w:val="28"/>
          <w:szCs w:val="28"/>
          <w:lang w:val="en-US"/>
        </w:rPr>
        <w:t>1</w:t>
      </w:r>
      <w:r w:rsidRPr="00244343">
        <w:rPr>
          <w:rFonts w:ascii="Times New Roman" w:hAnsi="Times New Roman" w:cs="Times New Roman"/>
          <w:sz w:val="28"/>
          <w:szCs w:val="28"/>
          <w:lang w:val="en-US"/>
        </w:rPr>
        <w:t xml:space="preserve"> – AI integrated Career Center platform</w:t>
      </w:r>
    </w:p>
    <w:p w14:paraId="26751C58" w14:textId="77777777" w:rsidR="00600C79" w:rsidRPr="00244343" w:rsidRDefault="00600C79" w:rsidP="00600C79">
      <w:pPr>
        <w:spacing w:after="0" w:line="240" w:lineRule="auto"/>
        <w:contextualSpacing/>
        <w:jc w:val="center"/>
        <w:rPr>
          <w:rFonts w:ascii="Times New Roman" w:hAnsi="Times New Roman" w:cs="Times New Roman"/>
          <w:sz w:val="28"/>
          <w:szCs w:val="28"/>
          <w:lang w:val="en-US"/>
        </w:rPr>
      </w:pPr>
    </w:p>
    <w:p w14:paraId="75CD191B" w14:textId="77777777" w:rsidR="00600C79" w:rsidRPr="00EE5875" w:rsidRDefault="00600C79" w:rsidP="004B2633">
      <w:pPr>
        <w:spacing w:after="0" w:line="240" w:lineRule="auto"/>
        <w:ind w:firstLine="720"/>
        <w:contextualSpacing/>
        <w:jc w:val="both"/>
        <w:rPr>
          <w:rFonts w:ascii="Times New Roman" w:hAnsi="Times New Roman" w:cs="Times New Roman"/>
          <w:sz w:val="24"/>
          <w:szCs w:val="24"/>
          <w:lang w:val="en-US"/>
        </w:rPr>
      </w:pPr>
      <w:r w:rsidRPr="00EE5875">
        <w:rPr>
          <w:rFonts w:ascii="Times New Roman" w:hAnsi="Times New Roman" w:cs="Times New Roman"/>
          <w:sz w:val="24"/>
          <w:szCs w:val="24"/>
          <w:lang w:val="en-US"/>
        </w:rPr>
        <w:t>Note – Compiled by author</w:t>
      </w:r>
    </w:p>
    <w:p w14:paraId="58492967" w14:textId="77777777" w:rsidR="00600C79" w:rsidRPr="00244343" w:rsidRDefault="00600C79" w:rsidP="00600C79">
      <w:pPr>
        <w:pStyle w:val="a4"/>
        <w:spacing w:before="0" w:beforeAutospacing="0" w:after="0" w:afterAutospacing="0"/>
        <w:jc w:val="both"/>
        <w:rPr>
          <w:sz w:val="28"/>
          <w:szCs w:val="28"/>
          <w:lang w:val="en-US"/>
        </w:rPr>
      </w:pPr>
    </w:p>
    <w:p w14:paraId="13ACE2DB" w14:textId="05CCB8E9"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bookmarkStart w:id="33" w:name="_Hlk190772586"/>
      <w:r w:rsidRPr="00244343">
        <w:rPr>
          <w:rFonts w:ascii="Times New Roman" w:hAnsi="Times New Roman" w:cs="Times New Roman"/>
          <w:sz w:val="28"/>
          <w:szCs w:val="28"/>
          <w:lang w:val="en-US"/>
        </w:rPr>
        <w:t>AI applications are instrumental in evaluating students' academic records and extracurricular activities. This process leads to tailored career recommendations, significantly reducing the likelihood of misalignment in career decisions [2</w:t>
      </w:r>
      <w:r w:rsidR="00F44B8C">
        <w:rPr>
          <w:rFonts w:ascii="Times New Roman" w:hAnsi="Times New Roman" w:cs="Times New Roman"/>
          <w:sz w:val="28"/>
          <w:szCs w:val="28"/>
          <w:lang w:val="en-US"/>
        </w:rPr>
        <w:t>8</w:t>
      </w:r>
      <w:r w:rsidRPr="00244343">
        <w:rPr>
          <w:rFonts w:ascii="Times New Roman" w:hAnsi="Times New Roman" w:cs="Times New Roman"/>
          <w:sz w:val="28"/>
          <w:szCs w:val="28"/>
          <w:lang w:val="en-US"/>
        </w:rPr>
        <w:t>9].</w:t>
      </w:r>
    </w:p>
    <w:p w14:paraId="6A87B942" w14:textId="0799E719"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An AI-based software is proposed to transform conventional counselling approaches by providing a user-friendly interface for students and analytical tools for counsellors, thereby improving the overall guidance experience [29</w:t>
      </w:r>
      <w:r w:rsidR="00F44B8C">
        <w:rPr>
          <w:rFonts w:ascii="Times New Roman" w:hAnsi="Times New Roman" w:cs="Times New Roman"/>
          <w:sz w:val="28"/>
          <w:szCs w:val="28"/>
          <w:lang w:val="en-US"/>
        </w:rPr>
        <w:t>0</w:t>
      </w:r>
      <w:r w:rsidRPr="00244343">
        <w:rPr>
          <w:rFonts w:ascii="Times New Roman" w:hAnsi="Times New Roman" w:cs="Times New Roman"/>
          <w:sz w:val="28"/>
          <w:szCs w:val="28"/>
          <w:lang w:val="en-US"/>
        </w:rPr>
        <w:t xml:space="preserve">]. </w:t>
      </w:r>
    </w:p>
    <w:p w14:paraId="73DB00AD" w14:textId="544047E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lastRenderedPageBreak/>
        <w:t>The creation of chatbots through machine learning and natural language understanding enables significant interactions, assisting students in recognizing their skills and investigating career possibilities. A study indicated a 97% accuracy in job predictions through machine learning algorithms, highlighting the efficacy of AI in career counseling [29</w:t>
      </w:r>
      <w:r w:rsidR="00F44B8C">
        <w:rPr>
          <w:rFonts w:ascii="Times New Roman" w:hAnsi="Times New Roman" w:cs="Times New Roman"/>
          <w:sz w:val="28"/>
          <w:szCs w:val="28"/>
          <w:lang w:val="en-US"/>
        </w:rPr>
        <w:t>1</w:t>
      </w:r>
      <w:r w:rsidRPr="00244343">
        <w:rPr>
          <w:rFonts w:ascii="Times New Roman" w:hAnsi="Times New Roman" w:cs="Times New Roman"/>
          <w:sz w:val="28"/>
          <w:szCs w:val="28"/>
          <w:lang w:val="en-US"/>
        </w:rPr>
        <w:t>].</w:t>
      </w:r>
    </w:p>
    <w:p w14:paraId="33B5D5AC"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AI chatbots have emerged as powerful tools for career centers to significantly enhance graduate employability. By providing 24/7 accessibility, personalized guidance, and efficient information dissemination, AI chatbots can streamline the career development process and equip students with the skills and knowledge they need to succeed in the job market. The personalization of AI chatbots makes students feel valued and understood, enhancing their engagement with the career center.</w:t>
      </w:r>
    </w:p>
    <w:p w14:paraId="61D305D1"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For instance, AI chatbots can provide immediate student support, answer queries, and offer advice anytime or at night.</w:t>
      </w:r>
    </w:p>
    <w:p w14:paraId="77931710"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By automating routine tasks, chatbots can reduce wait times for career counseling appointments, allowing students to access help more quickly.   </w:t>
      </w:r>
    </w:p>
    <w:p w14:paraId="60E8AF7B"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By leveraging AI chatbots, career </w:t>
      </w:r>
      <w:proofErr w:type="spellStart"/>
      <w:r w:rsidRPr="00244343">
        <w:rPr>
          <w:rFonts w:ascii="Times New Roman" w:hAnsi="Times New Roman" w:cs="Times New Roman"/>
          <w:sz w:val="28"/>
          <w:szCs w:val="28"/>
          <w:lang w:val="en-US"/>
        </w:rPr>
        <w:t>centres</w:t>
      </w:r>
      <w:proofErr w:type="spellEnd"/>
      <w:r w:rsidRPr="00244343">
        <w:rPr>
          <w:rFonts w:ascii="Times New Roman" w:hAnsi="Times New Roman" w:cs="Times New Roman"/>
          <w:sz w:val="28"/>
          <w:szCs w:val="28"/>
          <w:lang w:val="en-US"/>
        </w:rPr>
        <w:t xml:space="preserve"> can provide students with a more efficient, effective, and personalized service, ultimately enhancing their employability and career prospects.</w:t>
      </w:r>
    </w:p>
    <w:p w14:paraId="59A0E676" w14:textId="77777777" w:rsidR="00600C79"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AI improves career counselling however, concerns regarding excessive dependence on technology and the possible erosion of personal interaction in guidance persist. Integrating AI tools with personal interactions is essential for optimal career support. </w:t>
      </w:r>
    </w:p>
    <w:p w14:paraId="0CB62279" w14:textId="77777777" w:rsidR="00600C79" w:rsidRPr="00144E09" w:rsidRDefault="00600C79" w:rsidP="00600C79">
      <w:pPr>
        <w:spacing w:after="0" w:line="240" w:lineRule="auto"/>
        <w:ind w:firstLine="720"/>
        <w:contextualSpacing/>
        <w:jc w:val="both"/>
        <w:rPr>
          <w:rFonts w:ascii="Times New Roman" w:hAnsi="Times New Roman" w:cs="Times New Roman"/>
          <w:sz w:val="28"/>
          <w:szCs w:val="28"/>
          <w:lang w:val="en-US"/>
        </w:rPr>
      </w:pPr>
      <w:r w:rsidRPr="00144E09">
        <w:rPr>
          <w:rFonts w:ascii="Times New Roman" w:hAnsi="Times New Roman" w:cs="Times New Roman"/>
          <w:sz w:val="28"/>
          <w:szCs w:val="28"/>
          <w:lang w:val="en-US"/>
        </w:rPr>
        <w:t xml:space="preserve">The following recommendations are given to implement AI in Career Centre platforms in </w:t>
      </w:r>
      <w:proofErr w:type="spellStart"/>
      <w:r w:rsidRPr="00144E09">
        <w:rPr>
          <w:rFonts w:ascii="Times New Roman" w:hAnsi="Times New Roman" w:cs="Times New Roman"/>
          <w:sz w:val="28"/>
          <w:szCs w:val="28"/>
          <w:lang w:val="en-US"/>
        </w:rPr>
        <w:t>Kazakshtani</w:t>
      </w:r>
      <w:proofErr w:type="spellEnd"/>
      <w:r w:rsidRPr="00144E09">
        <w:rPr>
          <w:rFonts w:ascii="Times New Roman" w:hAnsi="Times New Roman" w:cs="Times New Roman"/>
          <w:sz w:val="28"/>
          <w:szCs w:val="28"/>
          <w:lang w:val="en-US"/>
        </w:rPr>
        <w:t xml:space="preserve"> Universities:</w:t>
      </w:r>
    </w:p>
    <w:p w14:paraId="42553B1F" w14:textId="7775AE32" w:rsidR="00600C79" w:rsidRPr="00144E09" w:rsidRDefault="00600C79" w:rsidP="00600C79">
      <w:pPr>
        <w:spacing w:after="0" w:line="240" w:lineRule="auto"/>
        <w:ind w:firstLine="720"/>
        <w:contextualSpacing/>
        <w:jc w:val="both"/>
        <w:rPr>
          <w:rFonts w:ascii="Times New Roman" w:hAnsi="Times New Roman" w:cs="Times New Roman"/>
          <w:sz w:val="28"/>
          <w:szCs w:val="28"/>
          <w:lang w:val="en-US"/>
        </w:rPr>
      </w:pPr>
      <w:r w:rsidRPr="00144E09">
        <w:rPr>
          <w:rFonts w:ascii="Times New Roman" w:hAnsi="Times New Roman" w:cs="Times New Roman"/>
          <w:sz w:val="28"/>
          <w:szCs w:val="28"/>
          <w:lang w:val="en-US"/>
        </w:rPr>
        <w:t>1)</w:t>
      </w:r>
      <w:r w:rsidR="00790784">
        <w:rPr>
          <w:rFonts w:ascii="Times New Roman" w:hAnsi="Times New Roman" w:cs="Times New Roman"/>
          <w:sz w:val="28"/>
          <w:szCs w:val="28"/>
          <w:lang w:val="en-US"/>
        </w:rPr>
        <w:t xml:space="preserve"> </w:t>
      </w:r>
      <w:r w:rsidRPr="00144E09">
        <w:rPr>
          <w:rFonts w:ascii="Times New Roman" w:hAnsi="Times New Roman" w:cs="Times New Roman"/>
          <w:sz w:val="28"/>
          <w:szCs w:val="28"/>
          <w:lang w:val="en-US"/>
        </w:rPr>
        <w:t>Infrastructure Development: Universities must invest in AI-ready IT infrastructure, including cloud-based AI platforms and high-performance computing.</w:t>
      </w:r>
    </w:p>
    <w:p w14:paraId="5AC9F2D2" w14:textId="78A8A7A0" w:rsidR="00600C79" w:rsidRPr="00144E09" w:rsidRDefault="00600C79" w:rsidP="00600C79">
      <w:pPr>
        <w:spacing w:after="0" w:line="240" w:lineRule="auto"/>
        <w:ind w:firstLine="720"/>
        <w:contextualSpacing/>
        <w:jc w:val="both"/>
        <w:rPr>
          <w:rFonts w:ascii="Times New Roman" w:hAnsi="Times New Roman" w:cs="Times New Roman"/>
          <w:sz w:val="28"/>
          <w:szCs w:val="28"/>
          <w:lang w:val="en-US"/>
        </w:rPr>
      </w:pPr>
      <w:r w:rsidRPr="00144E09">
        <w:rPr>
          <w:rFonts w:ascii="Times New Roman" w:hAnsi="Times New Roman" w:cs="Times New Roman"/>
          <w:sz w:val="28"/>
          <w:szCs w:val="28"/>
          <w:lang w:val="en-US"/>
        </w:rPr>
        <w:t>2)</w:t>
      </w:r>
      <w:r w:rsidR="00790784">
        <w:rPr>
          <w:rFonts w:ascii="Times New Roman" w:hAnsi="Times New Roman" w:cs="Times New Roman"/>
          <w:sz w:val="28"/>
          <w:szCs w:val="28"/>
          <w:lang w:val="en-US"/>
        </w:rPr>
        <w:t xml:space="preserve"> </w:t>
      </w:r>
      <w:r w:rsidRPr="00144E09">
        <w:rPr>
          <w:rFonts w:ascii="Times New Roman" w:hAnsi="Times New Roman" w:cs="Times New Roman"/>
          <w:sz w:val="28"/>
          <w:szCs w:val="28"/>
          <w:lang w:val="en-US"/>
        </w:rPr>
        <w:t>Academic staff members ought to be equipped in artificial intelligence applications so they may be efficiently included into instruction and administration.</w:t>
      </w:r>
    </w:p>
    <w:p w14:paraId="107544F9" w14:textId="7933A1E1"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144E09">
        <w:rPr>
          <w:rFonts w:ascii="Times New Roman" w:hAnsi="Times New Roman" w:cs="Times New Roman"/>
          <w:sz w:val="28"/>
          <w:szCs w:val="28"/>
          <w:lang w:val="en-US"/>
        </w:rPr>
        <w:t>3)</w:t>
      </w:r>
      <w:r w:rsidR="00790784">
        <w:rPr>
          <w:rFonts w:ascii="Times New Roman" w:hAnsi="Times New Roman" w:cs="Times New Roman"/>
          <w:sz w:val="28"/>
          <w:szCs w:val="28"/>
          <w:lang w:val="en-US"/>
        </w:rPr>
        <w:t xml:space="preserve"> </w:t>
      </w:r>
      <w:r w:rsidRPr="00144E09">
        <w:rPr>
          <w:rFonts w:ascii="Times New Roman" w:hAnsi="Times New Roman" w:cs="Times New Roman"/>
          <w:sz w:val="28"/>
          <w:szCs w:val="28"/>
          <w:lang w:val="en-US"/>
        </w:rPr>
        <w:t>Cooperation with Industry: Universities should work with government agencies and tech businesses to apply AI-driven solutions specifically fit for Kazakhstan's educational requirements.</w:t>
      </w:r>
    </w:p>
    <w:p w14:paraId="7DE3C065"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AI can revolutionize career </w:t>
      </w:r>
      <w:proofErr w:type="spellStart"/>
      <w:r w:rsidRPr="00244343">
        <w:rPr>
          <w:rFonts w:ascii="Times New Roman" w:hAnsi="Times New Roman" w:cs="Times New Roman"/>
          <w:sz w:val="28"/>
          <w:szCs w:val="28"/>
          <w:lang w:val="en-US"/>
        </w:rPr>
        <w:t>centres</w:t>
      </w:r>
      <w:proofErr w:type="spellEnd"/>
      <w:r w:rsidRPr="00244343">
        <w:rPr>
          <w:rFonts w:ascii="Times New Roman" w:hAnsi="Times New Roman" w:cs="Times New Roman"/>
          <w:sz w:val="28"/>
          <w:szCs w:val="28"/>
          <w:lang w:val="en-US"/>
        </w:rPr>
        <w:t xml:space="preserve"> in the following ways:</w:t>
      </w:r>
    </w:p>
    <w:p w14:paraId="2558EEE2" w14:textId="0246DA0C"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1)</w:t>
      </w:r>
      <w:r w:rsidR="00EE5875">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Personalized Career Counseling and tailored recommendations: AI-powered algorithms can analyze students' academic records, interests, and skills to provide personalized career recommendations.</w:t>
      </w:r>
    </w:p>
    <w:p w14:paraId="5FD1283F" w14:textId="6ABA25BE"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2)</w:t>
      </w:r>
      <w:r w:rsidR="00EE5875">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Skill Gap Analysis: AI can identify skill gaps and suggest relevant courses or workshops by comparing a student's skills to industry demands.</w:t>
      </w:r>
    </w:p>
    <w:p w14:paraId="7601D20C" w14:textId="17C13926"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3)</w:t>
      </w:r>
      <w:r w:rsidR="00EE5875">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Real-time Feedback: AI-driven chatbots can offer immediate feedback on resumes, CVs, and consultation skills, helping students refine their job application materials.</w:t>
      </w:r>
    </w:p>
    <w:p w14:paraId="3EE41C68" w14:textId="1960203B"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4)</w:t>
      </w:r>
      <w:r w:rsidR="00EE5875">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Efficient Job Matching. Advanced Job Matching: AI can match students with applicable job prospects based on their skills, interests, and career goals.</w:t>
      </w:r>
    </w:p>
    <w:p w14:paraId="502299F9" w14:textId="51753ADD"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lastRenderedPageBreak/>
        <w:t>5)</w:t>
      </w:r>
      <w:r w:rsidR="00EE5875">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Job Market Insights: AI can analyze large datasets to provide real-time insights into industry trends, emerging job roles, and salary expectations.</w:t>
      </w:r>
    </w:p>
    <w:p w14:paraId="5A79B747" w14:textId="641D41E1"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6)</w:t>
      </w:r>
      <w:r w:rsidR="00EE5875">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Improved Career Development Planning - Personalized Development Plans: AI can generate customized career development plans that outline specific steps and timelines for achieving career goals.</w:t>
      </w:r>
    </w:p>
    <w:p w14:paraId="0A79061F" w14:textId="239AA4E2"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7)</w:t>
      </w:r>
      <w:r w:rsidR="00EE5875">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Skill Assessment and Tracking: AI-powered tools can assess students' skills and track their progress over time, helping them identify areas for improvement.</w:t>
      </w:r>
    </w:p>
    <w:p w14:paraId="5FEC993E" w14:textId="359B5863"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8)</w:t>
      </w:r>
      <w:r w:rsidR="00EE5875">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Enhanced Employer Engagement - Efficient Talent Sourcing: AI can help employers identify and recruit top talent by analyzing large pools of student data.</w:t>
      </w:r>
    </w:p>
    <w:p w14:paraId="12BFD264" w14:textId="2821D955"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9)</w:t>
      </w:r>
      <w:r w:rsidR="00EE5875">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Data-Driven Insights: AI can provide employers with valuable insights into the skills and competencies of graduates, helping them make informed hiring decisions.</w:t>
      </w:r>
    </w:p>
    <w:p w14:paraId="63F70B43" w14:textId="3B037CD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10)</w:t>
      </w:r>
      <w:r w:rsidR="00EE5875">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Data-Driven Decision Making</w:t>
      </w:r>
    </w:p>
    <w:p w14:paraId="1777E761" w14:textId="0FD914BB"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11)</w:t>
      </w:r>
      <w:r w:rsidR="00EE5875">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Performance Analytics: AI can track student engagement with career services and measure the effectiveness of different interventions.</w:t>
      </w:r>
    </w:p>
    <w:p w14:paraId="6DF42623" w14:textId="15FD0E7F"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12)</w:t>
      </w:r>
      <w:r w:rsidR="00EE5875">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Predictive Analytics: By analyzing historical data, AI can predict future trends in the job market and help career centers adapt their services accordingly.</w:t>
      </w:r>
    </w:p>
    <w:p w14:paraId="4A680BDE"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By harnessing the power of AI, career centers can empower graduates to navigate the complex job market with confidence and success. It can lead to improved graduate employability rates, stronger industry connections, and a more positive impact on the institution's overall reputation. </w:t>
      </w:r>
    </w:p>
    <w:p w14:paraId="149C26EE"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Entrepreneurial success is a complex interplay of psychological factors and practical skills. Research consistently demonstrates a strong link between personality traits (e.g., self-efficacy, need for achievement, entrepreneurial orientation) and entrepreneurial outcomes, particularly business growth and success. While many studies stress the influence of personal psychological characteristics and talents on entrepreneurial goals and practices, other elements equally significantly affect them. Understanding entrepreneurial intention requires knowledge of behavioral psychology, which also helps one to grasp the psychological elements influencing entrepreneurial motivations and practices. The influence of above elements on entrepreneurial activity emphasizes the need of economic psychology in clarifying the psychological reasons behind personal decisions and actions. It helps to create a "psychological contract," a coherent behavioral link based on a reasonable allocation of logical interests.</w:t>
      </w:r>
    </w:p>
    <w:p w14:paraId="458E45C9"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Human behavior is driven by diverse motives that impact performance. Success in task completion, need for achievement, personality traits, locus of control, entrepreneurial self-efficacy, and learner intention heavily influence entrepreneurship. A Kazakhstani study involving 713 students across 30 universities examined the moderating roles of entrepreneurial self-efficacy and locus of control on the relationship between university environment/programs and entrepreneurial intention/attitudes. The findings confirmed the influence of the university environment and individual traits on student entrepreneurship.</w:t>
      </w:r>
    </w:p>
    <w:p w14:paraId="7E181B3D"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Although the relationship between strong motivation and entrepreneurial success is well-documented, more research is needed on the relationship between </w:t>
      </w:r>
      <w:r w:rsidRPr="00244343">
        <w:rPr>
          <w:rFonts w:ascii="Times New Roman" w:eastAsia="Times New Roman" w:hAnsi="Times New Roman" w:cs="Times New Roman"/>
          <w:sz w:val="28"/>
          <w:szCs w:val="28"/>
          <w:lang w:val="en-US"/>
        </w:rPr>
        <w:lastRenderedPageBreak/>
        <w:t>job performance and intrinsic drive, resulting in more general personal success. Studies indicate that task autonomy promotes task interest and consistent motivation instead of only excellent grades. It emphasizes its complexity as well as the financial results of human drive.</w:t>
      </w:r>
    </w:p>
    <w:p w14:paraId="7DD9F096"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Through tools, courses, and supporting settings, universities significantly help to develop entrepreneurial attitudes. These efforts are influenced by students' prior entrepreneurial experience, teaching approaches, and predominance of opportunity-driven entrepreneurship within the greater economy. Good entrepreneurial education calls for building educator ability and encouraging multidisciplinary instructional approaches using cooperative networks spanning institutions and fields.</w:t>
      </w:r>
    </w:p>
    <w:p w14:paraId="2CEFAD65"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Several concepts are proposed to support a student entrepreneurial culture:</w:t>
      </w:r>
    </w:p>
    <w:p w14:paraId="01DBBBC2"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The first option is supporting entrepreneurship education. It entails not only including </w:t>
      </w:r>
      <w:proofErr w:type="spellStart"/>
      <w:r w:rsidRPr="00244343">
        <w:rPr>
          <w:rFonts w:ascii="Times New Roman" w:eastAsia="Times New Roman" w:hAnsi="Times New Roman" w:cs="Times New Roman"/>
          <w:sz w:val="28"/>
          <w:szCs w:val="28"/>
          <w:lang w:val="en-US"/>
        </w:rPr>
        <w:t>preneurial</w:t>
      </w:r>
      <w:proofErr w:type="spellEnd"/>
      <w:r w:rsidRPr="00244343">
        <w:rPr>
          <w:rFonts w:ascii="Times New Roman" w:eastAsia="Times New Roman" w:hAnsi="Times New Roman" w:cs="Times New Roman"/>
          <w:sz w:val="28"/>
          <w:szCs w:val="28"/>
          <w:lang w:val="en-US"/>
        </w:rPr>
        <w:t xml:space="preserve"> ideas across all disciplines, not only in specialized business or finance courses but also improving already existent entrepreneurship disciplines with more practical assignments. Tools like the EICAA platform can be used to track entrepreneurial skill development. Further opportunities for development come from combining social media, industrial cooperation, and contrasting educational paths (e.g., creativity and entrepreneurship vs. management education programs).</w:t>
      </w:r>
    </w:p>
    <w:p w14:paraId="65BEC090" w14:textId="77777777" w:rsidR="00600C79" w:rsidRPr="00244343"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i/>
          <w:iCs/>
          <w:sz w:val="28"/>
          <w:szCs w:val="28"/>
          <w:lang w:val="en-US"/>
        </w:rPr>
        <w:t>Option 2: Mentoring:</w:t>
      </w:r>
      <w:r w:rsidRPr="00244343">
        <w:rPr>
          <w:rFonts w:ascii="Times New Roman" w:eastAsia="Times New Roman" w:hAnsi="Times New Roman" w:cs="Times New Roman"/>
          <w:sz w:val="28"/>
          <w:szCs w:val="28"/>
          <w:lang w:val="en-US"/>
        </w:rPr>
        <w:t xml:space="preserve"> A four-block entrepreneurial mindset curriculum is proposed, covering effective communication, creativity and innovation, customer awareness/decision-making/teamwork, and self-directed research/lifelong learning. In order to emphasize both the positive and bad sides of entrepreneurship and offer a fair view, this curriculum should be incorporated during the four-year degree program. Particularly for senior students or business owners in their last year, peer mentoring offers excellent assistance and direction. This approach has proven successful in raising student interest and performance and boosting student performance and involvement.</w:t>
      </w:r>
    </w:p>
    <w:p w14:paraId="61EE5244" w14:textId="77777777" w:rsidR="00600C79" w:rsidRDefault="00600C79" w:rsidP="00390593">
      <w:pPr>
        <w:spacing w:after="0" w:line="240" w:lineRule="auto"/>
        <w:ind w:firstLine="720"/>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The third option is the gamification of the goal-achieving process. Including the goal-gradient effect in the learning platform helps to increase motivation by showing development toward task completion. It calls for modifications in the learning program rules and grading system. Supported by studies in several disciplines, the goal-gradient effect implies that people boost their effort as they get closer to a target. Including the rollover effect and emphasizing specific reward descriptions will help improve it even more. Using analytics and artificial intelligence to improve learner involvement and customize the learning process, online learning environments like Coursera show the success of this method. Appropriate in many </w:t>
      </w:r>
      <w:proofErr w:type="spellStart"/>
      <w:r w:rsidRPr="00244343">
        <w:rPr>
          <w:rFonts w:ascii="Times New Roman" w:eastAsia="Times New Roman" w:hAnsi="Times New Roman" w:cs="Times New Roman"/>
          <w:sz w:val="28"/>
          <w:szCs w:val="28"/>
          <w:lang w:val="en-US"/>
        </w:rPr>
        <w:t>sph</w:t>
      </w:r>
      <w:proofErr w:type="spellEnd"/>
      <w:r w:rsidRPr="00244343">
        <w:rPr>
          <w:rFonts w:ascii="Times New Roman" w:eastAsia="Times New Roman" w:hAnsi="Times New Roman" w:cs="Times New Roman"/>
          <w:sz w:val="28"/>
          <w:szCs w:val="28"/>
          <w:lang w:val="en-US"/>
        </w:rPr>
        <w:t xml:space="preserve"> res, including education, the goal-gradient effect is a potent weapon for raising motivation and performance. Universities can use this effect by building systems that graphically monitor development and reward goal attainment, helping students and the university. Although desire changes, the first viability of a task also motivates us. Platforms like Coursera offer interesting ideas for designing engaging online learning experiences by stressing user-friendly interfaces, data analytics, artificial intelligence integration, and a concentration on learner </w:t>
      </w:r>
      <w:proofErr w:type="spellStart"/>
      <w:r w:rsidRPr="00244343">
        <w:rPr>
          <w:rFonts w:ascii="Times New Roman" w:eastAsia="Times New Roman" w:hAnsi="Times New Roman" w:cs="Times New Roman"/>
          <w:sz w:val="28"/>
          <w:szCs w:val="28"/>
          <w:lang w:val="en-US"/>
        </w:rPr>
        <w:t>behaviour</w:t>
      </w:r>
      <w:proofErr w:type="spellEnd"/>
      <w:r w:rsidRPr="00244343">
        <w:rPr>
          <w:rFonts w:ascii="Times New Roman" w:eastAsia="Times New Roman" w:hAnsi="Times New Roman" w:cs="Times New Roman"/>
          <w:sz w:val="28"/>
          <w:szCs w:val="28"/>
          <w:lang w:val="en-US"/>
        </w:rPr>
        <w:t xml:space="preserve"> and individual user experience.</w:t>
      </w:r>
      <w:bookmarkEnd w:id="33"/>
    </w:p>
    <w:p w14:paraId="553E6D89" w14:textId="77777777" w:rsidR="00390593" w:rsidRDefault="00600C79" w:rsidP="00390593">
      <w:pPr>
        <w:spacing w:after="0" w:line="240" w:lineRule="auto"/>
        <w:ind w:firstLine="720"/>
        <w:contextualSpacing/>
        <w:jc w:val="both"/>
        <w:rPr>
          <w:rFonts w:ascii="Times New Roman" w:eastAsia="Times New Roman" w:hAnsi="Times New Roman" w:cs="Times New Roman"/>
          <w:sz w:val="28"/>
          <w:szCs w:val="28"/>
          <w:lang w:val="en-US"/>
        </w:rPr>
      </w:pPr>
      <w:r w:rsidRPr="002D33CA">
        <w:rPr>
          <w:rFonts w:ascii="Times New Roman" w:eastAsia="Times New Roman" w:hAnsi="Times New Roman" w:cs="Times New Roman"/>
          <w:sz w:val="28"/>
          <w:szCs w:val="28"/>
          <w:lang w:val="en-US"/>
        </w:rPr>
        <w:lastRenderedPageBreak/>
        <w:t xml:space="preserve">To facilitate the analysis of motivational tools in learning platforms, the </w:t>
      </w:r>
      <w:proofErr w:type="spellStart"/>
      <w:r w:rsidRPr="002D33CA">
        <w:rPr>
          <w:rFonts w:ascii="Times New Roman" w:eastAsia="Times New Roman" w:hAnsi="Times New Roman" w:cs="Times New Roman"/>
          <w:sz w:val="28"/>
          <w:szCs w:val="28"/>
          <w:lang w:val="en-US"/>
        </w:rPr>
        <w:t>Unichecker</w:t>
      </w:r>
      <w:proofErr w:type="spellEnd"/>
      <w:r w:rsidRPr="002D33CA">
        <w:rPr>
          <w:rFonts w:ascii="Times New Roman" w:eastAsia="Times New Roman" w:hAnsi="Times New Roman" w:cs="Times New Roman"/>
          <w:sz w:val="28"/>
          <w:szCs w:val="28"/>
          <w:lang w:val="en-US"/>
        </w:rPr>
        <w:t xml:space="preserve"> program was developed using Python 3.12.1 to systematically scan over 100 Kazakhstani university websites for keywords related to student engagement tools. The program focused on identifying features such as gamification, leaderboards, adaptive learning, and reward systems within these platforms. The findings revealed that using motivational tools in Kazakhstani universities is relatively rare, with only a few universities implementing such features, including the Kazakh-German University, Kazakh </w:t>
      </w:r>
      <w:proofErr w:type="spellStart"/>
      <w:r w:rsidRPr="002D33CA">
        <w:rPr>
          <w:rFonts w:ascii="Times New Roman" w:eastAsia="Times New Roman" w:hAnsi="Times New Roman" w:cs="Times New Roman"/>
          <w:sz w:val="28"/>
          <w:szCs w:val="28"/>
          <w:lang w:val="en-US"/>
        </w:rPr>
        <w:t>Ablai</w:t>
      </w:r>
      <w:proofErr w:type="spellEnd"/>
      <w:r w:rsidRPr="002D33CA">
        <w:rPr>
          <w:rFonts w:ascii="Times New Roman" w:eastAsia="Times New Roman" w:hAnsi="Times New Roman" w:cs="Times New Roman"/>
          <w:sz w:val="28"/>
          <w:szCs w:val="28"/>
          <w:lang w:val="en-US"/>
        </w:rPr>
        <w:t xml:space="preserve"> Khan University, and Almaty Management University. This emphasizes how underused engagement tools are in digital learning settings all around, implying that more technology developments are required to improve student involvement and academic performance.</w:t>
      </w:r>
    </w:p>
    <w:p w14:paraId="39A5B506" w14:textId="77777777" w:rsidR="00390593" w:rsidRDefault="00600C79" w:rsidP="00390593">
      <w:pPr>
        <w:spacing w:after="0" w:line="240" w:lineRule="auto"/>
        <w:ind w:firstLine="720"/>
        <w:contextualSpacing/>
        <w:jc w:val="both"/>
        <w:rPr>
          <w:rFonts w:ascii="Times New Roman" w:eastAsia="Times New Roman" w:hAnsi="Times New Roman" w:cs="Times New Roman"/>
          <w:sz w:val="28"/>
          <w:szCs w:val="28"/>
          <w:lang w:val="en-US"/>
        </w:rPr>
      </w:pPr>
      <w:r w:rsidRPr="002D33CA">
        <w:rPr>
          <w:rFonts w:ascii="Times New Roman" w:eastAsia="Times New Roman" w:hAnsi="Times New Roman" w:cs="Times New Roman"/>
          <w:sz w:val="28"/>
          <w:szCs w:val="28"/>
          <w:lang w:val="en-US"/>
        </w:rPr>
        <w:t>Particularly in academic environments, the goal-gradient effect—which raises student motivation by stressing progress toward a goal—is absolutely essential in raising engagement and performance. Encouragement of self-efficacy and an internal locus of control is underlined as it can lead to a motivating path supporting achievement under challenging activities, tenacity, and adaptation. Integrating this effect into learning platforms, alongside targeted entrepreneurial mindset development through structured curricula and mentorship, can drive positive outcomes in student entrepreneurship and employability. Universities should upgrade their educational settings with gamified elements, equip their staff on these motivating techniques, and create industry alliances to bring cutting-edge engagement tools into use.</w:t>
      </w:r>
    </w:p>
    <w:p w14:paraId="26279888" w14:textId="4D470C0A" w:rsidR="00600C79" w:rsidRPr="002D33CA" w:rsidRDefault="00600C79" w:rsidP="00390593">
      <w:pPr>
        <w:spacing w:after="0" w:line="240" w:lineRule="auto"/>
        <w:ind w:firstLine="720"/>
        <w:contextualSpacing/>
        <w:jc w:val="both"/>
        <w:rPr>
          <w:rFonts w:ascii="Times New Roman" w:eastAsia="Times New Roman" w:hAnsi="Times New Roman" w:cs="Times New Roman"/>
          <w:sz w:val="28"/>
          <w:szCs w:val="28"/>
          <w:lang w:val="en-US"/>
        </w:rPr>
      </w:pPr>
      <w:r w:rsidRPr="002D33CA">
        <w:rPr>
          <w:rFonts w:ascii="Times New Roman" w:eastAsia="Times New Roman" w:hAnsi="Times New Roman" w:cs="Times New Roman"/>
          <w:sz w:val="28"/>
          <w:szCs w:val="28"/>
          <w:lang w:val="en-US"/>
        </w:rPr>
        <w:t xml:space="preserve">In addition, the integration of AI technologies in career counselling platforms was also analyzed using the </w:t>
      </w:r>
      <w:proofErr w:type="spellStart"/>
      <w:r w:rsidRPr="002D33CA">
        <w:rPr>
          <w:rFonts w:ascii="Times New Roman" w:eastAsia="Times New Roman" w:hAnsi="Times New Roman" w:cs="Times New Roman"/>
          <w:sz w:val="28"/>
          <w:szCs w:val="28"/>
          <w:lang w:val="en-US"/>
        </w:rPr>
        <w:t>Unichecker</w:t>
      </w:r>
      <w:proofErr w:type="spellEnd"/>
      <w:r w:rsidRPr="002D33CA">
        <w:rPr>
          <w:rFonts w:ascii="Times New Roman" w:eastAsia="Times New Roman" w:hAnsi="Times New Roman" w:cs="Times New Roman"/>
          <w:sz w:val="28"/>
          <w:szCs w:val="28"/>
          <w:lang w:val="en-US"/>
        </w:rPr>
        <w:t xml:space="preserve"> program, which scanned websites for keywords related to AI-driven career services such as "artificial intelligence," "chatbot," and "career </w:t>
      </w:r>
      <w:proofErr w:type="spellStart"/>
      <w:r w:rsidRPr="002D33CA">
        <w:rPr>
          <w:rFonts w:ascii="Times New Roman" w:eastAsia="Times New Roman" w:hAnsi="Times New Roman" w:cs="Times New Roman"/>
          <w:sz w:val="28"/>
          <w:szCs w:val="28"/>
          <w:lang w:val="en-US"/>
        </w:rPr>
        <w:t>centre</w:t>
      </w:r>
      <w:proofErr w:type="spellEnd"/>
      <w:r w:rsidRPr="002D33CA">
        <w:rPr>
          <w:rFonts w:ascii="Times New Roman" w:eastAsia="Times New Roman" w:hAnsi="Times New Roman" w:cs="Times New Roman"/>
          <w:sz w:val="28"/>
          <w:szCs w:val="28"/>
          <w:lang w:val="en-US"/>
        </w:rPr>
        <w:t xml:space="preserve"> AI." According to the study, six Kazakhstani career centers integrate artificial intelligence technologies like chatbots for tailored career advice. On the other hand, top worldwide colleges, including Harvard, Stanford, and MIT, have effectively applied such technology. Recommendations for Kazakhstani universities include funding AI-ready infrastructure, teaching staff in AI applications, and working with industry partners to bring AI-driven solutions catered to local needs, thereby bridging this gap. Through tailored career advising and better student job matching, this integration may significantly increase employability results.</w:t>
      </w:r>
    </w:p>
    <w:p w14:paraId="4396C96D" w14:textId="77777777" w:rsidR="00520F7A" w:rsidRPr="00BF504D" w:rsidRDefault="00520F7A" w:rsidP="00520F7A">
      <w:pPr>
        <w:spacing w:after="0" w:line="240" w:lineRule="auto"/>
        <w:ind w:firstLine="720"/>
        <w:contextualSpacing/>
        <w:jc w:val="both"/>
        <w:rPr>
          <w:rFonts w:ascii="Times New Roman" w:eastAsia="Times New Roman" w:hAnsi="Times New Roman" w:cs="Times New Roman"/>
          <w:i/>
          <w:iCs/>
          <w:sz w:val="28"/>
          <w:szCs w:val="28"/>
          <w:lang w:val="en-US"/>
        </w:rPr>
      </w:pPr>
      <w:r w:rsidRPr="00BF504D">
        <w:rPr>
          <w:rFonts w:ascii="Times New Roman" w:eastAsia="Times New Roman" w:hAnsi="Times New Roman" w:cs="Times New Roman"/>
          <w:i/>
          <w:iCs/>
          <w:sz w:val="28"/>
          <w:szCs w:val="28"/>
          <w:lang w:val="en-US"/>
        </w:rPr>
        <w:t xml:space="preserve">Ethical issues of AI integration into CC </w:t>
      </w:r>
      <w:proofErr w:type="spellStart"/>
      <w:r w:rsidRPr="00BF504D">
        <w:rPr>
          <w:rFonts w:ascii="Times New Roman" w:eastAsia="Times New Roman" w:hAnsi="Times New Roman" w:cs="Times New Roman"/>
          <w:i/>
          <w:iCs/>
          <w:sz w:val="28"/>
          <w:szCs w:val="28"/>
          <w:lang w:val="en-US"/>
        </w:rPr>
        <w:t>platfroms</w:t>
      </w:r>
      <w:proofErr w:type="spellEnd"/>
    </w:p>
    <w:p w14:paraId="0ABA45D3" w14:textId="77777777" w:rsidR="00520F7A" w:rsidRPr="00520F7A" w:rsidRDefault="00520F7A" w:rsidP="00673546">
      <w:pPr>
        <w:spacing w:after="0" w:line="240" w:lineRule="auto"/>
        <w:ind w:firstLine="720"/>
        <w:contextualSpacing/>
        <w:jc w:val="both"/>
        <w:rPr>
          <w:rFonts w:ascii="Times New Roman" w:eastAsia="Times New Roman" w:hAnsi="Times New Roman" w:cs="Times New Roman"/>
          <w:sz w:val="28"/>
          <w:szCs w:val="28"/>
          <w:lang w:val="en-US"/>
        </w:rPr>
      </w:pPr>
      <w:r w:rsidRPr="00520F7A">
        <w:rPr>
          <w:rFonts w:ascii="Times New Roman" w:eastAsia="Times New Roman" w:hAnsi="Times New Roman" w:cs="Times New Roman"/>
          <w:sz w:val="28"/>
          <w:szCs w:val="28"/>
          <w:lang w:val="en-US"/>
        </w:rPr>
        <w:t xml:space="preserve">While this research does not directly evaluate the ethical implications of current AI usage, the digital audit conducted through the </w:t>
      </w:r>
      <w:proofErr w:type="spellStart"/>
      <w:r w:rsidRPr="00520F7A">
        <w:rPr>
          <w:rFonts w:ascii="Times New Roman" w:eastAsia="Times New Roman" w:hAnsi="Times New Roman" w:cs="Times New Roman"/>
          <w:sz w:val="28"/>
          <w:szCs w:val="28"/>
          <w:lang w:val="en-US"/>
        </w:rPr>
        <w:t>UniChecker</w:t>
      </w:r>
      <w:proofErr w:type="spellEnd"/>
      <w:r w:rsidRPr="00520F7A">
        <w:rPr>
          <w:rFonts w:ascii="Times New Roman" w:eastAsia="Times New Roman" w:hAnsi="Times New Roman" w:cs="Times New Roman"/>
          <w:sz w:val="28"/>
          <w:szCs w:val="28"/>
          <w:lang w:val="en-US"/>
        </w:rPr>
        <w:t xml:space="preserve"> tool revealed that most Kazakhstani universities have not yet implemented AI-enhanced career guidance systems. As these technologies are gradually introduced, it becomes necessary to proactively identify and address the ethical risks associated with their deployment.</w:t>
      </w:r>
    </w:p>
    <w:p w14:paraId="2715605C" w14:textId="77777777" w:rsidR="00520F7A" w:rsidRPr="00520F7A" w:rsidRDefault="00520F7A" w:rsidP="00673546">
      <w:pPr>
        <w:spacing w:after="0" w:line="240" w:lineRule="auto"/>
        <w:ind w:firstLine="720"/>
        <w:contextualSpacing/>
        <w:jc w:val="both"/>
        <w:rPr>
          <w:rFonts w:ascii="Times New Roman" w:eastAsia="Times New Roman" w:hAnsi="Times New Roman" w:cs="Times New Roman"/>
          <w:sz w:val="28"/>
          <w:szCs w:val="28"/>
          <w:lang w:val="en-US"/>
        </w:rPr>
      </w:pPr>
      <w:r w:rsidRPr="00520F7A">
        <w:rPr>
          <w:rFonts w:ascii="Times New Roman" w:eastAsia="Times New Roman" w:hAnsi="Times New Roman" w:cs="Times New Roman"/>
          <w:sz w:val="28"/>
          <w:szCs w:val="28"/>
          <w:lang w:val="en-US"/>
        </w:rPr>
        <w:t>Integrating AI into university CC platforms presents several ethically sensitive dimensions.</w:t>
      </w:r>
    </w:p>
    <w:p w14:paraId="7A1E5F71" w14:textId="77777777" w:rsidR="00520F7A" w:rsidRPr="00EB573A" w:rsidRDefault="00520F7A" w:rsidP="00673546">
      <w:pPr>
        <w:spacing w:after="0" w:line="240" w:lineRule="auto"/>
        <w:ind w:firstLine="720"/>
        <w:contextualSpacing/>
        <w:jc w:val="both"/>
        <w:rPr>
          <w:rFonts w:ascii="Times New Roman" w:eastAsia="Times New Roman" w:hAnsi="Times New Roman" w:cs="Times New Roman"/>
          <w:sz w:val="28"/>
          <w:szCs w:val="28"/>
          <w:lang w:val="en-US"/>
        </w:rPr>
      </w:pPr>
      <w:r w:rsidRPr="00EB573A">
        <w:rPr>
          <w:rFonts w:ascii="Times New Roman" w:eastAsia="Times New Roman" w:hAnsi="Times New Roman" w:cs="Times New Roman"/>
          <w:sz w:val="28"/>
          <w:szCs w:val="28"/>
          <w:lang w:val="en-US"/>
        </w:rPr>
        <w:lastRenderedPageBreak/>
        <w:t xml:space="preserve">First, suppose that systems are trained on the limited or non-representative data, algorithmic decision-making may accidentally replicate or heighten perceptions already in place. </w:t>
      </w:r>
    </w:p>
    <w:p w14:paraId="7A4070D4" w14:textId="77777777" w:rsidR="00520F7A" w:rsidRPr="00520F7A" w:rsidRDefault="00520F7A" w:rsidP="00673546">
      <w:pPr>
        <w:spacing w:after="0" w:line="240" w:lineRule="auto"/>
        <w:ind w:firstLine="720"/>
        <w:contextualSpacing/>
        <w:jc w:val="both"/>
        <w:rPr>
          <w:rFonts w:ascii="Times New Roman" w:eastAsia="Times New Roman" w:hAnsi="Times New Roman" w:cs="Times New Roman"/>
          <w:sz w:val="28"/>
          <w:szCs w:val="28"/>
          <w:lang w:val="en-US"/>
        </w:rPr>
      </w:pPr>
      <w:r w:rsidRPr="00520F7A">
        <w:rPr>
          <w:rFonts w:ascii="Times New Roman" w:eastAsia="Times New Roman" w:hAnsi="Times New Roman" w:cs="Times New Roman"/>
          <w:sz w:val="28"/>
          <w:szCs w:val="28"/>
          <w:lang w:val="en-US"/>
        </w:rPr>
        <w:t xml:space="preserve">Secondly, overdependence on automated recommendations threatens to undermine the function of human advisors, lowering the contextual awareness and empathy essential for sophisticated career counseling. </w:t>
      </w:r>
    </w:p>
    <w:p w14:paraId="15355BBF" w14:textId="77777777" w:rsidR="00520F7A" w:rsidRPr="00520F7A" w:rsidRDefault="00520F7A" w:rsidP="00673546">
      <w:pPr>
        <w:spacing w:after="0" w:line="240" w:lineRule="auto"/>
        <w:ind w:firstLine="720"/>
        <w:contextualSpacing/>
        <w:jc w:val="both"/>
        <w:rPr>
          <w:rFonts w:ascii="Times New Roman" w:eastAsia="Times New Roman" w:hAnsi="Times New Roman" w:cs="Times New Roman"/>
          <w:sz w:val="28"/>
          <w:szCs w:val="28"/>
          <w:lang w:val="en-US"/>
        </w:rPr>
      </w:pPr>
      <w:r w:rsidRPr="00520F7A">
        <w:rPr>
          <w:rFonts w:ascii="Times New Roman" w:eastAsia="Times New Roman" w:hAnsi="Times New Roman" w:cs="Times New Roman"/>
          <w:sz w:val="28"/>
          <w:szCs w:val="28"/>
          <w:lang w:val="en-US"/>
        </w:rPr>
        <w:t>Third, AI systems rely on collecting and processing the personal and behavioral data, which raises problems regarding privacy, informed permission, and institutional data protection standards. Furthermore, a rationale underlying algorithmic outputs is frequently difficult to decipher, constraining transparency and diminishing students' capacity to critically assess system-generated recommendations.</w:t>
      </w:r>
    </w:p>
    <w:p w14:paraId="3B0D6310" w14:textId="77777777" w:rsidR="00520F7A" w:rsidRPr="00520F7A" w:rsidRDefault="00520F7A" w:rsidP="00673546">
      <w:pPr>
        <w:spacing w:after="0" w:line="240" w:lineRule="auto"/>
        <w:ind w:firstLine="720"/>
        <w:contextualSpacing/>
        <w:jc w:val="both"/>
        <w:rPr>
          <w:rFonts w:ascii="Times New Roman" w:eastAsia="Times New Roman" w:hAnsi="Times New Roman" w:cs="Times New Roman"/>
          <w:sz w:val="28"/>
          <w:szCs w:val="28"/>
          <w:lang w:val="en-US"/>
        </w:rPr>
      </w:pPr>
      <w:r w:rsidRPr="00520F7A">
        <w:rPr>
          <w:rFonts w:ascii="Times New Roman" w:eastAsia="Times New Roman" w:hAnsi="Times New Roman" w:cs="Times New Roman"/>
          <w:sz w:val="28"/>
          <w:szCs w:val="28"/>
          <w:lang w:val="en-US"/>
        </w:rPr>
        <w:t xml:space="preserve">Fourth, digital inequality is a significant issue: not all students have the necessary connectivity, technological access, or digital competence to </w:t>
      </w:r>
      <w:proofErr w:type="spellStart"/>
      <w:r w:rsidRPr="00520F7A">
        <w:rPr>
          <w:rFonts w:ascii="Times New Roman" w:eastAsia="Times New Roman" w:hAnsi="Times New Roman" w:cs="Times New Roman"/>
          <w:sz w:val="28"/>
          <w:szCs w:val="28"/>
          <w:lang w:val="en-US"/>
        </w:rPr>
        <w:t>utilise</w:t>
      </w:r>
      <w:proofErr w:type="spellEnd"/>
      <w:r w:rsidRPr="00520F7A">
        <w:rPr>
          <w:rFonts w:ascii="Times New Roman" w:eastAsia="Times New Roman" w:hAnsi="Times New Roman" w:cs="Times New Roman"/>
          <w:sz w:val="28"/>
          <w:szCs w:val="28"/>
          <w:lang w:val="en-US"/>
        </w:rPr>
        <w:t xml:space="preserve"> these platforms properly. Furthermore, AI-driven tools do not accurately represent cultural norms or local labor market conditions. In that case, they may present career options inconsistent with students' personal, social, or economic circumstances. </w:t>
      </w:r>
    </w:p>
    <w:p w14:paraId="0B9E2AE4" w14:textId="77777777" w:rsidR="00520F7A" w:rsidRPr="00520F7A" w:rsidRDefault="00520F7A" w:rsidP="00673546">
      <w:pPr>
        <w:spacing w:after="0" w:line="240" w:lineRule="auto"/>
        <w:ind w:firstLine="720"/>
        <w:contextualSpacing/>
        <w:jc w:val="both"/>
        <w:rPr>
          <w:rFonts w:ascii="Times New Roman" w:eastAsia="Times New Roman" w:hAnsi="Times New Roman" w:cs="Times New Roman"/>
          <w:sz w:val="28"/>
          <w:szCs w:val="28"/>
          <w:lang w:val="en-US"/>
        </w:rPr>
      </w:pPr>
      <w:r w:rsidRPr="00520F7A">
        <w:rPr>
          <w:rFonts w:ascii="Times New Roman" w:eastAsia="Times New Roman" w:hAnsi="Times New Roman" w:cs="Times New Roman"/>
          <w:sz w:val="28"/>
          <w:szCs w:val="28"/>
          <w:lang w:val="en-US"/>
        </w:rPr>
        <w:t>Finally, if used to rank or filter students for internships or job placement services, these tools may unintentionally restrict access based on algorithmic profiles rather than holistic student development.</w:t>
      </w:r>
    </w:p>
    <w:p w14:paraId="4DE02AA5" w14:textId="77777777" w:rsidR="00520F7A" w:rsidRPr="00520F7A" w:rsidRDefault="00520F7A" w:rsidP="00673546">
      <w:pPr>
        <w:spacing w:after="0" w:line="240" w:lineRule="auto"/>
        <w:ind w:firstLine="720"/>
        <w:contextualSpacing/>
        <w:jc w:val="both"/>
        <w:rPr>
          <w:rFonts w:ascii="Times New Roman" w:eastAsia="Times New Roman" w:hAnsi="Times New Roman" w:cs="Times New Roman"/>
          <w:sz w:val="28"/>
          <w:szCs w:val="28"/>
          <w:lang w:val="en-US"/>
        </w:rPr>
      </w:pPr>
      <w:r w:rsidRPr="00520F7A">
        <w:rPr>
          <w:rFonts w:ascii="Times New Roman" w:eastAsia="Times New Roman" w:hAnsi="Times New Roman" w:cs="Times New Roman"/>
          <w:sz w:val="28"/>
          <w:szCs w:val="28"/>
          <w:lang w:val="en-US"/>
        </w:rPr>
        <w:t>These risks underscore the need for careful institutional planning. AI tools in the university context must be deployed with ethical oversight, designed for inclusivity, and embedded within hybrid systems that combine algorithmic support with expert human judgment. Robust data governance policies and transparent user engagement mechanisms are essential to ensure student trust, equity of access, and accountability in career development processes.</w:t>
      </w:r>
    </w:p>
    <w:p w14:paraId="4BBD38F8" w14:textId="77777777" w:rsidR="00673546" w:rsidRPr="00DC742F" w:rsidRDefault="00673546" w:rsidP="00DC742F">
      <w:pPr>
        <w:spacing w:after="0" w:line="240" w:lineRule="auto"/>
        <w:ind w:firstLine="720"/>
        <w:contextualSpacing/>
        <w:jc w:val="both"/>
        <w:rPr>
          <w:rFonts w:ascii="Times New Roman" w:eastAsia="Times New Roman" w:hAnsi="Times New Roman" w:cs="Times New Roman"/>
          <w:sz w:val="28"/>
          <w:szCs w:val="28"/>
          <w:lang w:val="en-US"/>
        </w:rPr>
      </w:pPr>
    </w:p>
    <w:p w14:paraId="19A153AA" w14:textId="1ADEB02D" w:rsidR="004B2633" w:rsidRPr="00DC742F" w:rsidRDefault="00600C79" w:rsidP="00DC742F">
      <w:pPr>
        <w:spacing w:after="0" w:line="240" w:lineRule="auto"/>
        <w:ind w:firstLine="720"/>
        <w:contextualSpacing/>
        <w:jc w:val="both"/>
        <w:rPr>
          <w:rFonts w:ascii="Times New Roman" w:eastAsia="Times New Roman" w:hAnsi="Times New Roman" w:cs="Times New Roman"/>
          <w:b/>
          <w:bCs/>
          <w:sz w:val="28"/>
          <w:szCs w:val="28"/>
          <w:lang w:val="en-US"/>
        </w:rPr>
      </w:pPr>
      <w:r w:rsidRPr="00DC742F">
        <w:rPr>
          <w:rFonts w:ascii="Times New Roman" w:eastAsia="Times New Roman" w:hAnsi="Times New Roman" w:cs="Times New Roman"/>
          <w:b/>
          <w:bCs/>
          <w:sz w:val="28"/>
          <w:szCs w:val="28"/>
          <w:lang w:val="en-US"/>
        </w:rPr>
        <w:t>3.2</w:t>
      </w:r>
      <w:r w:rsidR="004B2633" w:rsidRPr="00DC742F">
        <w:rPr>
          <w:rFonts w:ascii="Times New Roman" w:eastAsia="Times New Roman" w:hAnsi="Times New Roman" w:cs="Times New Roman"/>
          <w:b/>
          <w:bCs/>
          <w:sz w:val="28"/>
          <w:szCs w:val="28"/>
          <w:lang w:val="en-US"/>
        </w:rPr>
        <w:t xml:space="preserve"> </w:t>
      </w:r>
      <w:r w:rsidRPr="00DC742F">
        <w:rPr>
          <w:rFonts w:ascii="Times New Roman" w:eastAsia="Times New Roman" w:hAnsi="Times New Roman" w:cs="Times New Roman"/>
          <w:b/>
          <w:bCs/>
          <w:sz w:val="28"/>
          <w:szCs w:val="28"/>
          <w:lang w:val="en-US"/>
        </w:rPr>
        <w:t>Entrepreneurial Universities and the Goal-Gradient Effect in Student Startup Development</w:t>
      </w:r>
    </w:p>
    <w:p w14:paraId="5F8C40C7" w14:textId="19DE0AB2" w:rsidR="00600C79" w:rsidRPr="00770B71" w:rsidRDefault="00600C79" w:rsidP="00DC742F">
      <w:pPr>
        <w:pStyle w:val="a4"/>
        <w:ind w:firstLine="720"/>
        <w:contextualSpacing/>
        <w:jc w:val="both"/>
        <w:rPr>
          <w:sz w:val="28"/>
          <w:szCs w:val="28"/>
          <w:lang w:val="en-US"/>
        </w:rPr>
      </w:pPr>
      <w:r w:rsidRPr="00DC742F">
        <w:rPr>
          <w:sz w:val="28"/>
          <w:szCs w:val="28"/>
          <w:lang w:val="en-US"/>
        </w:rPr>
        <w:t>Universities are</w:t>
      </w:r>
      <w:r w:rsidRPr="00770B71">
        <w:rPr>
          <w:sz w:val="28"/>
          <w:szCs w:val="28"/>
          <w:lang w:val="en-US"/>
        </w:rPr>
        <w:t xml:space="preserve"> progressively expected to improve academic performance and graduate employability in modern digital learning environments. Educational systems that link academic accomplishment with professional readiness and the </w:t>
      </w:r>
      <w:proofErr w:type="spellStart"/>
      <w:r w:rsidRPr="00770B71">
        <w:rPr>
          <w:sz w:val="28"/>
          <w:szCs w:val="28"/>
          <w:lang w:val="en-US"/>
        </w:rPr>
        <w:t>labour</w:t>
      </w:r>
      <w:proofErr w:type="spellEnd"/>
      <w:r w:rsidRPr="00770B71">
        <w:rPr>
          <w:sz w:val="28"/>
          <w:szCs w:val="28"/>
          <w:lang w:val="en-US"/>
        </w:rPr>
        <w:t xml:space="preserve"> market must change. From a </w:t>
      </w:r>
      <w:proofErr w:type="spellStart"/>
      <w:r w:rsidRPr="00770B71">
        <w:rPr>
          <w:sz w:val="28"/>
          <w:szCs w:val="28"/>
          <w:lang w:val="en-US"/>
        </w:rPr>
        <w:t>behavioural</w:t>
      </w:r>
      <w:proofErr w:type="spellEnd"/>
      <w:r w:rsidRPr="00770B71">
        <w:rPr>
          <w:sz w:val="28"/>
          <w:szCs w:val="28"/>
          <w:lang w:val="en-US"/>
        </w:rPr>
        <w:t xml:space="preserve"> psychology perspective, a notable idea to facilitate this objective is the goal-gradient effect: individuals intensify their efforts as they sense proximity to a goal. Including this impact in learning management systems (LMS) architecture might significantly raise student motivation, improve academic performance, and improve job possibilities</w:t>
      </w:r>
      <w:r w:rsidR="00DF4EC0" w:rsidRPr="00DF4EC0">
        <w:rPr>
          <w:sz w:val="28"/>
          <w:szCs w:val="28"/>
          <w:lang w:val="en-US"/>
        </w:rPr>
        <w:t xml:space="preserve"> </w:t>
      </w:r>
      <w:r w:rsidR="00DF4EC0">
        <w:rPr>
          <w:sz w:val="28"/>
          <w:szCs w:val="28"/>
          <w:lang w:val="en-US"/>
        </w:rPr>
        <w:t>[29</w:t>
      </w:r>
      <w:r w:rsidR="00F44B8C">
        <w:rPr>
          <w:sz w:val="28"/>
          <w:szCs w:val="28"/>
          <w:lang w:val="en-US"/>
        </w:rPr>
        <w:t>2</w:t>
      </w:r>
      <w:r w:rsidR="00DF4EC0">
        <w:rPr>
          <w:sz w:val="28"/>
          <w:szCs w:val="28"/>
          <w:lang w:val="en-US"/>
        </w:rPr>
        <w:t xml:space="preserve">]. </w:t>
      </w:r>
      <w:r w:rsidRPr="00770B71">
        <w:rPr>
          <w:sz w:val="28"/>
          <w:szCs w:val="28"/>
          <w:lang w:val="en-US"/>
        </w:rPr>
        <w:t>Initially proposed in motivating psychology, the goal-gradient effect is becoming relevant in educational environments where gamification, feedback loops, and digital goal-structuring help to shape student behavior. It operates through performance incentives, a psychological sense of progression, and proximity to achievement—mechanisms that can be actively embedded in higher education environments to benefit student outcomes and institutional collaboration with industry.</w:t>
      </w:r>
    </w:p>
    <w:p w14:paraId="229E041C" w14:textId="05B0B5BA" w:rsidR="00600C79" w:rsidRDefault="00600C79" w:rsidP="005C6D95">
      <w:pPr>
        <w:pStyle w:val="a4"/>
        <w:ind w:firstLine="720"/>
        <w:contextualSpacing/>
        <w:jc w:val="both"/>
        <w:rPr>
          <w:sz w:val="28"/>
          <w:szCs w:val="28"/>
          <w:lang w:val="en-US"/>
        </w:rPr>
      </w:pPr>
      <w:r w:rsidRPr="00770B71">
        <w:rPr>
          <w:sz w:val="28"/>
          <w:szCs w:val="28"/>
          <w:lang w:val="en-US"/>
        </w:rPr>
        <w:lastRenderedPageBreak/>
        <w:t xml:space="preserve">The empirical evidence for the goal-gradient effect in educational settings is compelling. </w:t>
      </w:r>
      <w:r w:rsidRPr="00DF4EC0">
        <w:rPr>
          <w:sz w:val="28"/>
          <w:szCs w:val="28"/>
          <w:lang w:val="en-US"/>
        </w:rPr>
        <w:t>Dixon et al.</w:t>
      </w:r>
      <w:r w:rsidR="00DF4EC0">
        <w:rPr>
          <w:sz w:val="28"/>
          <w:szCs w:val="28"/>
          <w:lang w:val="en-US"/>
        </w:rPr>
        <w:t xml:space="preserve"> </w:t>
      </w:r>
      <w:r w:rsidRPr="00770B71">
        <w:rPr>
          <w:sz w:val="28"/>
          <w:szCs w:val="28"/>
          <w:lang w:val="en-US"/>
        </w:rPr>
        <w:t>used the popular word-based game “Wordle” to study how proximity to a known solution increases players’ motivation, effort, and emotional engagement</w:t>
      </w:r>
      <w:r w:rsidR="00DF4EC0">
        <w:rPr>
          <w:sz w:val="28"/>
          <w:szCs w:val="28"/>
          <w:lang w:val="en-US"/>
        </w:rPr>
        <w:t xml:space="preserve"> [29</w:t>
      </w:r>
      <w:r w:rsidR="00F44B8C">
        <w:rPr>
          <w:sz w:val="28"/>
          <w:szCs w:val="28"/>
          <w:lang w:val="en-US"/>
        </w:rPr>
        <w:t>2</w:t>
      </w:r>
      <w:r w:rsidR="00DF4EC0">
        <w:rPr>
          <w:sz w:val="28"/>
          <w:szCs w:val="28"/>
          <w:lang w:val="en-US"/>
        </w:rPr>
        <w:t>, pp. 3-5]</w:t>
      </w:r>
      <w:r w:rsidRPr="00770B71">
        <w:rPr>
          <w:sz w:val="28"/>
          <w:szCs w:val="28"/>
          <w:lang w:val="en-US"/>
        </w:rPr>
        <w:t xml:space="preserve">. Their findings revealed that when learners received feedback indicating they were close to solving the task, such as partial correctness or near-miss outcomes, their motivational intensity significantly increased. More importantly, the moment when learners shifted from partial uncertainty to being one step away from success represented the steepest rise in effort and affective commitment. In contrast, emotional frustration rose when feedback </w:t>
      </w:r>
      <w:proofErr w:type="spellStart"/>
      <w:r w:rsidRPr="00770B71">
        <w:rPr>
          <w:sz w:val="28"/>
          <w:szCs w:val="28"/>
          <w:lang w:val="en-US"/>
        </w:rPr>
        <w:t>signalled</w:t>
      </w:r>
      <w:proofErr w:type="spellEnd"/>
      <w:r w:rsidRPr="00770B71">
        <w:rPr>
          <w:sz w:val="28"/>
          <w:szCs w:val="28"/>
          <w:lang w:val="en-US"/>
        </w:rPr>
        <w:t xml:space="preserve"> no progress, and persistence declined. Transposing this model into higher education implies that learning platforms structured around immediate and frequent progress feedback may elicit stronger engagement than static, end-loaded assessment systems.</w:t>
      </w:r>
    </w:p>
    <w:p w14:paraId="23107CA4" w14:textId="7456C08D" w:rsidR="00600C79" w:rsidRPr="00F0534F" w:rsidRDefault="00600C79" w:rsidP="005C6D95">
      <w:pPr>
        <w:pStyle w:val="a4"/>
        <w:ind w:firstLine="720"/>
        <w:contextualSpacing/>
        <w:jc w:val="both"/>
        <w:rPr>
          <w:sz w:val="28"/>
          <w:szCs w:val="28"/>
          <w:lang w:val="en-US"/>
        </w:rPr>
      </w:pPr>
      <w:r w:rsidRPr="00F0534F">
        <w:rPr>
          <w:sz w:val="28"/>
          <w:szCs w:val="28"/>
          <w:lang w:val="en-US"/>
        </w:rPr>
        <w:t xml:space="preserve">The behavioral principles explored in Wordle translate directly into structured educational gamification. For example, integrating feedback that shows learners their distance from completing tasks—whether through visual cues, color coding, or progress bars—activates motivational momentum. In their study, </w:t>
      </w:r>
      <w:r w:rsidRPr="00DF4EC0">
        <w:rPr>
          <w:sz w:val="28"/>
          <w:szCs w:val="28"/>
          <w:lang w:val="en-US"/>
        </w:rPr>
        <w:t>Dixon et al.</w:t>
      </w:r>
      <w:r w:rsidR="00DF4EC0">
        <w:rPr>
          <w:sz w:val="28"/>
          <w:szCs w:val="28"/>
          <w:lang w:val="en-US"/>
        </w:rPr>
        <w:t xml:space="preserve"> </w:t>
      </w:r>
      <w:r w:rsidRPr="00F0534F">
        <w:rPr>
          <w:sz w:val="28"/>
          <w:szCs w:val="28"/>
          <w:lang w:val="en-US"/>
        </w:rPr>
        <w:t>also explored the psychological differentiation between "approach near-misses" (where students are still advancing) and "thwarted near-misses" (where progression stalls)</w:t>
      </w:r>
      <w:r w:rsidR="00DF4EC0">
        <w:rPr>
          <w:sz w:val="28"/>
          <w:szCs w:val="28"/>
          <w:lang w:val="en-US"/>
        </w:rPr>
        <w:t xml:space="preserve"> [29</w:t>
      </w:r>
      <w:r w:rsidR="00F44B8C">
        <w:rPr>
          <w:sz w:val="28"/>
          <w:szCs w:val="28"/>
          <w:lang w:val="en-US"/>
        </w:rPr>
        <w:t>2</w:t>
      </w:r>
      <w:r w:rsidR="00DF4EC0">
        <w:rPr>
          <w:sz w:val="28"/>
          <w:szCs w:val="28"/>
          <w:lang w:val="en-US"/>
        </w:rPr>
        <w:t>]</w:t>
      </w:r>
      <w:r w:rsidRPr="00F0534F">
        <w:rPr>
          <w:sz w:val="28"/>
          <w:szCs w:val="28"/>
          <w:lang w:val="en-US"/>
        </w:rPr>
        <w:t>. This distinction provides critical design insight: Systems that preserve the sensation of a continuous approach toward goals are more likely to sustain motivation, even under challenging conditions. Rather than focusing only on outcomes (grades), platforms that segment learning into visually progressing stages may better exploit the goal-gradient effect and sustain effort over time.</w:t>
      </w:r>
    </w:p>
    <w:p w14:paraId="4A8A6A95" w14:textId="277A500F" w:rsidR="00600C79" w:rsidRPr="00F0534F" w:rsidRDefault="00600C79" w:rsidP="005C6D95">
      <w:pPr>
        <w:pStyle w:val="a4"/>
        <w:ind w:firstLine="720"/>
        <w:contextualSpacing/>
        <w:jc w:val="both"/>
        <w:rPr>
          <w:sz w:val="28"/>
          <w:szCs w:val="28"/>
          <w:lang w:val="en-US"/>
        </w:rPr>
      </w:pPr>
      <w:r w:rsidRPr="00DF4EC0">
        <w:rPr>
          <w:sz w:val="28"/>
          <w:szCs w:val="28"/>
          <w:lang w:val="en-US"/>
        </w:rPr>
        <w:t>Hu et al.</w:t>
      </w:r>
      <w:r w:rsidR="00DF4EC0">
        <w:rPr>
          <w:sz w:val="28"/>
          <w:szCs w:val="28"/>
          <w:lang w:val="en-US"/>
        </w:rPr>
        <w:t xml:space="preserve"> </w:t>
      </w:r>
      <w:r w:rsidRPr="00F0534F">
        <w:rPr>
          <w:sz w:val="28"/>
          <w:szCs w:val="28"/>
          <w:lang w:val="en-US"/>
        </w:rPr>
        <w:t>investigated achievement emotions and performance results in game-based learning environments, offering further insights into how goal framing and instructional context impact learning outcomes</w:t>
      </w:r>
      <w:r w:rsidR="00DF4EC0">
        <w:rPr>
          <w:sz w:val="28"/>
          <w:szCs w:val="28"/>
          <w:lang w:val="en-US"/>
        </w:rPr>
        <w:t xml:space="preserve"> [29</w:t>
      </w:r>
      <w:r w:rsidR="00F44B8C">
        <w:rPr>
          <w:sz w:val="28"/>
          <w:szCs w:val="28"/>
          <w:lang w:val="en-US"/>
        </w:rPr>
        <w:t>3</w:t>
      </w:r>
      <w:r w:rsidR="00DF4EC0">
        <w:rPr>
          <w:sz w:val="28"/>
          <w:szCs w:val="28"/>
          <w:lang w:val="en-US"/>
        </w:rPr>
        <w:t>]</w:t>
      </w:r>
      <w:r w:rsidRPr="00F0534F">
        <w:rPr>
          <w:sz w:val="28"/>
          <w:szCs w:val="28"/>
          <w:lang w:val="en-US"/>
        </w:rPr>
        <w:t>. Students who had performance-oriented goal instructions found they used more mental effort and, ironically, did not routinely outperform those given mastery-oriented goals. The study emphasizes that goal framing is inadequate; learners gain most from goal structures that are cognitively supporting and emotionally stimulating. From a motivating standpoint, combining visual feedback systems with progression cues and performance goals will help to leverage the affective and behavioral aspects of learning.</w:t>
      </w:r>
    </w:p>
    <w:p w14:paraId="3B27A926" w14:textId="24D238BC" w:rsidR="00600C79" w:rsidRDefault="00600C79" w:rsidP="005C6D95">
      <w:pPr>
        <w:pStyle w:val="a4"/>
        <w:ind w:firstLine="720"/>
        <w:contextualSpacing/>
        <w:jc w:val="both"/>
        <w:rPr>
          <w:sz w:val="28"/>
          <w:szCs w:val="28"/>
          <w:lang w:val="en-US"/>
        </w:rPr>
      </w:pPr>
      <w:r w:rsidRPr="00F0534F">
        <w:rPr>
          <w:sz w:val="28"/>
          <w:szCs w:val="28"/>
          <w:lang w:val="en-US"/>
        </w:rPr>
        <w:t xml:space="preserve">Furthermore, the emotional effects of goal proximity are concerned with emotional control, resilience, and motivation. Students are less prone to become demoralized on challenging assignments when they can "see" their small successes—that is, through feedback systems. </w:t>
      </w:r>
      <w:r w:rsidRPr="00DF4EC0">
        <w:rPr>
          <w:sz w:val="28"/>
          <w:szCs w:val="28"/>
          <w:lang w:val="en-US"/>
        </w:rPr>
        <w:t>Hu et al.</w:t>
      </w:r>
      <w:r w:rsidR="00DF4EC0">
        <w:rPr>
          <w:sz w:val="28"/>
          <w:szCs w:val="28"/>
          <w:lang w:val="en-US"/>
        </w:rPr>
        <w:t xml:space="preserve"> </w:t>
      </w:r>
      <w:r w:rsidRPr="00F0534F">
        <w:rPr>
          <w:sz w:val="28"/>
          <w:szCs w:val="28"/>
          <w:lang w:val="en-US"/>
        </w:rPr>
        <w:t>understand the need for how objectives are formed and experienced since the arrangement of feedback in game-based learning environments can affect students' goal orientation and emotional state</w:t>
      </w:r>
      <w:r w:rsidR="00DF4EC0">
        <w:rPr>
          <w:sz w:val="28"/>
          <w:szCs w:val="28"/>
          <w:lang w:val="en-US"/>
        </w:rPr>
        <w:t xml:space="preserve"> [29</w:t>
      </w:r>
      <w:r w:rsidR="008C7FCA">
        <w:rPr>
          <w:sz w:val="28"/>
          <w:szCs w:val="28"/>
          <w:lang w:val="en-US"/>
        </w:rPr>
        <w:t>3</w:t>
      </w:r>
      <w:r w:rsidR="00DF4EC0">
        <w:rPr>
          <w:sz w:val="28"/>
          <w:szCs w:val="28"/>
          <w:lang w:val="en-US"/>
        </w:rPr>
        <w:t>]</w:t>
      </w:r>
      <w:r w:rsidRPr="00F0534F">
        <w:rPr>
          <w:sz w:val="28"/>
          <w:szCs w:val="28"/>
          <w:lang w:val="en-US"/>
        </w:rPr>
        <w:t>. Applying this to LMS design means that personalization and responsiveness to learner trajectories may reduce disengagement, especially for students with lower baseline self-efficacy.</w:t>
      </w:r>
    </w:p>
    <w:p w14:paraId="7B90FA88" w14:textId="710FFB3E" w:rsidR="00600C79" w:rsidRPr="00F0534F" w:rsidRDefault="00600C79" w:rsidP="005C6D95">
      <w:pPr>
        <w:pStyle w:val="a4"/>
        <w:ind w:firstLine="720"/>
        <w:contextualSpacing/>
        <w:jc w:val="both"/>
        <w:rPr>
          <w:sz w:val="28"/>
          <w:szCs w:val="28"/>
          <w:lang w:val="en-US"/>
        </w:rPr>
      </w:pPr>
      <w:r w:rsidRPr="00F0534F">
        <w:rPr>
          <w:sz w:val="28"/>
          <w:szCs w:val="28"/>
          <w:lang w:val="en-US"/>
        </w:rPr>
        <w:lastRenderedPageBreak/>
        <w:t xml:space="preserve">It shapes the larger educational environment in which goal-setting systems find a place. </w:t>
      </w:r>
      <w:r w:rsidRPr="004B03CB">
        <w:rPr>
          <w:sz w:val="28"/>
          <w:szCs w:val="28"/>
          <w:lang w:val="en-US"/>
        </w:rPr>
        <w:t>The 2025 Martins van Jaarsveld et al.</w:t>
      </w:r>
      <w:r w:rsidR="004B03CB">
        <w:rPr>
          <w:sz w:val="28"/>
          <w:szCs w:val="28"/>
          <w:lang w:val="en-US"/>
        </w:rPr>
        <w:t xml:space="preserve"> </w:t>
      </w:r>
      <w:r w:rsidRPr="00F0534F">
        <w:rPr>
          <w:sz w:val="28"/>
          <w:szCs w:val="28"/>
          <w:lang w:val="en-US"/>
        </w:rPr>
        <w:t>methodically examined goal-setting initiatives in higher education</w:t>
      </w:r>
      <w:r w:rsidR="004B03CB">
        <w:rPr>
          <w:sz w:val="28"/>
          <w:szCs w:val="28"/>
          <w:lang w:val="en-US"/>
        </w:rPr>
        <w:t xml:space="preserve"> [29</w:t>
      </w:r>
      <w:r w:rsidR="008C7FCA">
        <w:rPr>
          <w:sz w:val="28"/>
          <w:szCs w:val="28"/>
          <w:lang w:val="en-US"/>
        </w:rPr>
        <w:t>4</w:t>
      </w:r>
      <w:r w:rsidR="004B03CB">
        <w:rPr>
          <w:sz w:val="28"/>
          <w:szCs w:val="28"/>
          <w:lang w:val="en-US"/>
        </w:rPr>
        <w:t>]</w:t>
      </w:r>
      <w:r w:rsidRPr="00F0534F">
        <w:rPr>
          <w:sz w:val="28"/>
          <w:szCs w:val="28"/>
          <w:lang w:val="en-US"/>
        </w:rPr>
        <w:t>. They concluded that although goal-setting is somewhat common, its integration into digital platforms is still uneven and usually lacks empirical rigidity and personalizing. Their analysis emphasizes how urgently learning environments should inspire timely, flexible, student-</w:t>
      </w:r>
      <w:proofErr w:type="spellStart"/>
      <w:r w:rsidRPr="00F0534F">
        <w:rPr>
          <w:sz w:val="28"/>
          <w:szCs w:val="28"/>
          <w:lang w:val="en-US"/>
        </w:rPr>
        <w:t>centred</w:t>
      </w:r>
      <w:proofErr w:type="spellEnd"/>
      <w:r w:rsidRPr="00F0534F">
        <w:rPr>
          <w:sz w:val="28"/>
          <w:szCs w:val="28"/>
          <w:lang w:val="en-US"/>
        </w:rPr>
        <w:t xml:space="preserve"> goal-setting. Such platforms can use the goal-gradient effect by encouraging micro-goals that give students a sense of psychological proximity to achievement, control, and progress. Significantly, their results show that students may disengage—even in cases where their main objectives remain the same—without feedback systems or goal proximity visualization. This implies that dynamic, motivating structures have to be included in the platform design instead of only following set goals.</w:t>
      </w:r>
    </w:p>
    <w:p w14:paraId="03E82A8C" w14:textId="15D12080" w:rsidR="00600C79" w:rsidRDefault="00600C79" w:rsidP="005C6D95">
      <w:pPr>
        <w:pStyle w:val="a4"/>
        <w:ind w:firstLine="720"/>
        <w:contextualSpacing/>
        <w:jc w:val="both"/>
        <w:rPr>
          <w:sz w:val="28"/>
          <w:szCs w:val="28"/>
          <w:lang w:val="en-US"/>
        </w:rPr>
      </w:pPr>
      <w:r w:rsidRPr="004B03CB">
        <w:rPr>
          <w:sz w:val="28"/>
          <w:szCs w:val="28"/>
          <w:lang w:val="en-US"/>
        </w:rPr>
        <w:t xml:space="preserve">Zimmerman </w:t>
      </w:r>
      <w:r w:rsidRPr="00F0534F">
        <w:rPr>
          <w:sz w:val="28"/>
          <w:szCs w:val="28"/>
          <w:lang w:val="en-US"/>
        </w:rPr>
        <w:t>reinforces this by showing that self-regulated learners are more likely to set personal goals, monitor progress, and adjust their strategies—all behaviors directly supported by goal-gradient-aligned platform features</w:t>
      </w:r>
      <w:r w:rsidR="004B03CB">
        <w:rPr>
          <w:sz w:val="28"/>
          <w:szCs w:val="28"/>
          <w:lang w:val="en-US"/>
        </w:rPr>
        <w:t xml:space="preserve"> [29</w:t>
      </w:r>
      <w:r w:rsidR="008C7FCA">
        <w:rPr>
          <w:sz w:val="28"/>
          <w:szCs w:val="28"/>
          <w:lang w:val="en-US"/>
        </w:rPr>
        <w:t>5</w:t>
      </w:r>
      <w:r w:rsidR="004B03CB">
        <w:rPr>
          <w:sz w:val="28"/>
          <w:szCs w:val="28"/>
          <w:lang w:val="en-US"/>
        </w:rPr>
        <w:t>]</w:t>
      </w:r>
      <w:r w:rsidRPr="00F0534F">
        <w:rPr>
          <w:sz w:val="28"/>
          <w:szCs w:val="28"/>
          <w:lang w:val="en-US"/>
        </w:rPr>
        <w:t>. His foundational work in educational psychology highlights the cyclical process of forethought, performance, and self-reflection, which becomes even more powerful when aided by real-time feedback and visual progress indicators embedded in digital learning environments.</w:t>
      </w:r>
    </w:p>
    <w:p w14:paraId="7CB4E923" w14:textId="15D15313" w:rsidR="00600C79" w:rsidRPr="00F0534F" w:rsidRDefault="00600C79" w:rsidP="005C6D95">
      <w:pPr>
        <w:pStyle w:val="a4"/>
        <w:ind w:firstLine="720"/>
        <w:contextualSpacing/>
        <w:jc w:val="both"/>
        <w:rPr>
          <w:sz w:val="28"/>
          <w:szCs w:val="28"/>
          <w:lang w:val="en-US"/>
        </w:rPr>
      </w:pPr>
      <w:r w:rsidRPr="00F0534F">
        <w:rPr>
          <w:sz w:val="28"/>
          <w:szCs w:val="28"/>
          <w:lang w:val="en-US"/>
        </w:rPr>
        <w:t>The implications of goal-gradient design influence employability and entrepreneurial ambition, as evidenced by</w:t>
      </w:r>
      <w:r w:rsidR="004B03CB">
        <w:rPr>
          <w:sz w:val="28"/>
          <w:szCs w:val="28"/>
          <w:lang w:val="en-US"/>
        </w:rPr>
        <w:t xml:space="preserve"> </w:t>
      </w:r>
      <w:r w:rsidRPr="004B03CB">
        <w:rPr>
          <w:sz w:val="28"/>
          <w:szCs w:val="28"/>
          <w:lang w:val="en-US"/>
        </w:rPr>
        <w:t>Gazi et al.’s</w:t>
      </w:r>
      <w:r w:rsidR="004B03CB">
        <w:rPr>
          <w:sz w:val="28"/>
          <w:szCs w:val="28"/>
          <w:lang w:val="en-US"/>
        </w:rPr>
        <w:t xml:space="preserve"> </w:t>
      </w:r>
      <w:r w:rsidRPr="00F0534F">
        <w:rPr>
          <w:sz w:val="28"/>
          <w:szCs w:val="28"/>
          <w:lang w:val="en-US"/>
        </w:rPr>
        <w:t>research on university students from Kazakhstan</w:t>
      </w:r>
      <w:r w:rsidR="004B03CB">
        <w:rPr>
          <w:sz w:val="28"/>
          <w:szCs w:val="28"/>
          <w:lang w:val="en-US"/>
        </w:rPr>
        <w:t xml:space="preserve"> [29</w:t>
      </w:r>
      <w:r w:rsidR="008C7FCA">
        <w:rPr>
          <w:sz w:val="28"/>
          <w:szCs w:val="28"/>
          <w:lang w:val="en-US"/>
        </w:rPr>
        <w:t>6</w:t>
      </w:r>
      <w:r w:rsidR="004B03CB">
        <w:rPr>
          <w:sz w:val="28"/>
          <w:szCs w:val="28"/>
          <w:lang w:val="en-US"/>
        </w:rPr>
        <w:t>]</w:t>
      </w:r>
      <w:r w:rsidRPr="00F0534F">
        <w:rPr>
          <w:sz w:val="28"/>
          <w:szCs w:val="28"/>
          <w:lang w:val="en-US"/>
        </w:rPr>
        <w:t xml:space="preserve">. Their research revealed that entrepreneurial self-efficacy and locus of control significantly moderated the connection between educational experience and employability intention. Although their work was situated within the context of entrepreneurship education, it provides critical psychological variables that align with the goal-gradient model. Specifically, as students perceive greater control and see tangible progress toward their goals (educational or career-oriented), their motivational commitment increases. Embedding goal-gradient-based cues into LMS can thus positively affect immediate academic </w:t>
      </w:r>
      <w:proofErr w:type="spellStart"/>
      <w:r w:rsidRPr="00F0534F">
        <w:rPr>
          <w:sz w:val="28"/>
          <w:szCs w:val="28"/>
          <w:lang w:val="en-US"/>
        </w:rPr>
        <w:t>behaviour</w:t>
      </w:r>
      <w:proofErr w:type="spellEnd"/>
      <w:r w:rsidRPr="00F0534F">
        <w:rPr>
          <w:sz w:val="28"/>
          <w:szCs w:val="28"/>
          <w:lang w:val="en-US"/>
        </w:rPr>
        <w:t xml:space="preserve"> and long-term entrepreneurial attitudes and employability likelihood.</w:t>
      </w:r>
    </w:p>
    <w:p w14:paraId="4360F154" w14:textId="58B43031" w:rsidR="00600C79" w:rsidRDefault="00600C79" w:rsidP="005C6D95">
      <w:pPr>
        <w:pStyle w:val="a4"/>
        <w:ind w:firstLine="720"/>
        <w:contextualSpacing/>
        <w:jc w:val="both"/>
        <w:rPr>
          <w:sz w:val="28"/>
          <w:szCs w:val="28"/>
          <w:lang w:val="en-US"/>
        </w:rPr>
      </w:pPr>
      <w:r w:rsidRPr="00F0534F">
        <w:rPr>
          <w:sz w:val="28"/>
          <w:szCs w:val="28"/>
          <w:lang w:val="en-US"/>
        </w:rPr>
        <w:t xml:space="preserve">The value of self-efficacy as a motivational amplifier connects strongly with the behavioral gradient. When students can achieve a goal and see themselves drawing nearer, they are more likely to continue despite setbacks. </w:t>
      </w:r>
      <w:r w:rsidRPr="004B03CB">
        <w:rPr>
          <w:sz w:val="28"/>
          <w:szCs w:val="28"/>
          <w:lang w:val="en-US"/>
        </w:rPr>
        <w:t>Gazi et al.</w:t>
      </w:r>
      <w:r w:rsidR="004B03CB">
        <w:rPr>
          <w:sz w:val="28"/>
          <w:szCs w:val="28"/>
          <w:lang w:val="en-US"/>
        </w:rPr>
        <w:t xml:space="preserve"> </w:t>
      </w:r>
      <w:r w:rsidRPr="00F0534F">
        <w:rPr>
          <w:sz w:val="28"/>
          <w:szCs w:val="28"/>
          <w:lang w:val="en-US"/>
        </w:rPr>
        <w:t>emphasize that perceived personal agency and structured educational environments interact to shape employability intention</w:t>
      </w:r>
      <w:r w:rsidR="004B03CB">
        <w:rPr>
          <w:sz w:val="28"/>
          <w:szCs w:val="28"/>
          <w:lang w:val="en-US"/>
        </w:rPr>
        <w:t xml:space="preserve"> [29</w:t>
      </w:r>
      <w:r w:rsidR="008C7FCA">
        <w:rPr>
          <w:sz w:val="28"/>
          <w:szCs w:val="28"/>
          <w:lang w:val="en-US"/>
        </w:rPr>
        <w:t>6</w:t>
      </w:r>
      <w:r w:rsidR="004B03CB">
        <w:rPr>
          <w:sz w:val="28"/>
          <w:szCs w:val="28"/>
          <w:lang w:val="en-US"/>
        </w:rPr>
        <w:t>]</w:t>
      </w:r>
      <w:r w:rsidRPr="00F0534F">
        <w:rPr>
          <w:sz w:val="28"/>
          <w:szCs w:val="28"/>
          <w:lang w:val="en-US"/>
        </w:rPr>
        <w:t>. When students operate within LMS platforms that reward completion, show goal trajectories, and personalize the pace of progress, they are more likely to internalize those experiences as self-directed success, critical for workplace readiness and entrepreneurial resilience.</w:t>
      </w:r>
    </w:p>
    <w:p w14:paraId="7917090A" w14:textId="68E43BB7" w:rsidR="00600C79" w:rsidRPr="005B023F" w:rsidRDefault="00600C79" w:rsidP="005C6D95">
      <w:pPr>
        <w:pStyle w:val="a4"/>
        <w:ind w:firstLine="720"/>
        <w:contextualSpacing/>
        <w:jc w:val="both"/>
        <w:rPr>
          <w:sz w:val="28"/>
          <w:szCs w:val="28"/>
          <w:lang w:val="en-US"/>
        </w:rPr>
      </w:pPr>
      <w:r w:rsidRPr="004B03CB">
        <w:rPr>
          <w:sz w:val="28"/>
          <w:szCs w:val="28"/>
          <w:lang w:val="en-US"/>
        </w:rPr>
        <w:t>Martins van Jaarsveld et al.</w:t>
      </w:r>
      <w:r w:rsidR="004B03CB">
        <w:rPr>
          <w:sz w:val="28"/>
          <w:szCs w:val="28"/>
          <w:lang w:val="en-US"/>
        </w:rPr>
        <w:t xml:space="preserve"> </w:t>
      </w:r>
      <w:r w:rsidRPr="005B023F">
        <w:rPr>
          <w:sz w:val="28"/>
          <w:szCs w:val="28"/>
          <w:lang w:val="en-US"/>
        </w:rPr>
        <w:t>recognized numerous challenges: digital goal-setting treatments lack real-time responsiveness</w:t>
      </w:r>
      <w:r w:rsidR="004B03CB">
        <w:rPr>
          <w:sz w:val="28"/>
          <w:szCs w:val="28"/>
          <w:lang w:val="en-US"/>
        </w:rPr>
        <w:t xml:space="preserve"> [29</w:t>
      </w:r>
      <w:r w:rsidR="0046396C">
        <w:rPr>
          <w:sz w:val="28"/>
          <w:szCs w:val="28"/>
          <w:lang w:val="kk-KZ"/>
        </w:rPr>
        <w:t>4</w:t>
      </w:r>
      <w:r w:rsidR="004B03CB">
        <w:rPr>
          <w:sz w:val="28"/>
          <w:szCs w:val="28"/>
          <w:lang w:val="en-US"/>
        </w:rPr>
        <w:t>]</w:t>
      </w:r>
      <w:r w:rsidRPr="005B023F">
        <w:rPr>
          <w:sz w:val="28"/>
          <w:szCs w:val="28"/>
          <w:lang w:val="en-US"/>
        </w:rPr>
        <w:t xml:space="preserve">. This constrains their capacity to modify goal frameworks in response to student involvement, emotional condition, or performance trends. Integrating AI-driven learning analytics and adaptive visual tools rooted in the goal-gradient theory can help resolve this issue. For instance, if a </w:t>
      </w:r>
      <w:r w:rsidRPr="005B023F">
        <w:rPr>
          <w:sz w:val="28"/>
          <w:szCs w:val="28"/>
          <w:lang w:val="en-US"/>
        </w:rPr>
        <w:lastRenderedPageBreak/>
        <w:t>student is falling behind, the system might dynamically reduce the size of the next subgoal or increase visual feedback frequency—thus preserving the sense of momentum and reducing cognitive fatigue. These strategies integrate behavioral insights with educational technology, gently encouraging learners to maintain consistent effort without resorting to punitive measures.</w:t>
      </w:r>
    </w:p>
    <w:p w14:paraId="03C2C98F" w14:textId="77777777" w:rsidR="00600C79" w:rsidRDefault="00600C79" w:rsidP="005C6D95">
      <w:pPr>
        <w:pStyle w:val="a4"/>
        <w:ind w:firstLine="720"/>
        <w:contextualSpacing/>
        <w:jc w:val="both"/>
        <w:rPr>
          <w:sz w:val="28"/>
          <w:szCs w:val="28"/>
          <w:lang w:val="en-US"/>
        </w:rPr>
      </w:pPr>
      <w:r w:rsidRPr="005B023F">
        <w:rPr>
          <w:sz w:val="28"/>
          <w:szCs w:val="28"/>
          <w:lang w:val="en-US"/>
        </w:rPr>
        <w:t xml:space="preserve"> This method also enhances collaboration between universities and industries from an institutional perspective. Digital platforms that visibly cultivate goal-directed </w:t>
      </w:r>
      <w:proofErr w:type="spellStart"/>
      <w:r w:rsidRPr="005B023F">
        <w:rPr>
          <w:sz w:val="28"/>
          <w:szCs w:val="28"/>
          <w:lang w:val="en-US"/>
        </w:rPr>
        <w:t>behaviour</w:t>
      </w:r>
      <w:proofErr w:type="spellEnd"/>
      <w:r w:rsidRPr="005B023F">
        <w:rPr>
          <w:sz w:val="28"/>
          <w:szCs w:val="28"/>
          <w:lang w:val="en-US"/>
        </w:rPr>
        <w:t>, self-regulation, and persistence create graduates with traits closely aligned with workforce expectations. By structuring LMS environments around psychologically grounded motivational principles such as the goal-gradient effect, universities can better align curricular outputs with industry demands. The design of digital coursework with milestone visibility and performance tracking allows instructors and employers to recognize behavioral competencies, such as task persistence and strategic effort, which are often under-evaluated in traditional assessments.</w:t>
      </w:r>
    </w:p>
    <w:p w14:paraId="62BB2F6A" w14:textId="77777777" w:rsidR="00600C79" w:rsidRPr="005B023F" w:rsidRDefault="00600C79" w:rsidP="004B03CB">
      <w:pPr>
        <w:pStyle w:val="a4"/>
        <w:ind w:firstLine="720"/>
        <w:contextualSpacing/>
        <w:jc w:val="both"/>
        <w:rPr>
          <w:sz w:val="28"/>
          <w:szCs w:val="28"/>
          <w:lang w:val="en-US"/>
        </w:rPr>
      </w:pPr>
      <w:r w:rsidRPr="005B023F">
        <w:rPr>
          <w:sz w:val="28"/>
          <w:szCs w:val="28"/>
          <w:lang w:val="en-US"/>
        </w:rPr>
        <w:t>Integrating goal-gradient dynamics into educational technology can facilitate the creation of "employability by design."  This concept incorporates motivational architecture into the learning process instead of viewing employability as a post-graduation goal. Students who consistently track and achieve incremental academic goals build a behavioral repertoire that mirrors real-world performance cycles—planning, executing, adjusting, and completing tasks in response to feedback. In this way, academic environments become simulations of professional ones, thus preparing students for smoother transitions into the labor market.</w:t>
      </w:r>
    </w:p>
    <w:p w14:paraId="4216E5C0" w14:textId="77777777" w:rsidR="00600C79" w:rsidRPr="005B023F" w:rsidRDefault="00600C79" w:rsidP="004B03CB">
      <w:pPr>
        <w:pStyle w:val="a4"/>
        <w:ind w:firstLine="720"/>
        <w:contextualSpacing/>
        <w:jc w:val="both"/>
        <w:rPr>
          <w:sz w:val="28"/>
          <w:szCs w:val="28"/>
          <w:lang w:val="en-US"/>
        </w:rPr>
      </w:pPr>
      <w:r>
        <w:rPr>
          <w:sz w:val="28"/>
          <w:szCs w:val="28"/>
          <w:lang w:val="en-US"/>
        </w:rPr>
        <w:t>I</w:t>
      </w:r>
      <w:r w:rsidRPr="005B023F">
        <w:rPr>
          <w:sz w:val="28"/>
          <w:szCs w:val="28"/>
          <w:lang w:val="en-US"/>
        </w:rPr>
        <w:t>ncorporating the goal-gradient effect into university learning platforms provides a strong theoretical and practical mechanism for enhancing student motivation, academic achievement, and employment post-graduation.</w:t>
      </w:r>
    </w:p>
    <w:p w14:paraId="0378D457" w14:textId="77777777" w:rsidR="00600C79" w:rsidRDefault="00600C79" w:rsidP="004B03CB">
      <w:pPr>
        <w:pStyle w:val="a4"/>
        <w:ind w:firstLine="720"/>
        <w:contextualSpacing/>
        <w:jc w:val="both"/>
        <w:rPr>
          <w:sz w:val="28"/>
          <w:szCs w:val="28"/>
          <w:lang w:val="en-US"/>
        </w:rPr>
      </w:pPr>
      <w:r w:rsidRPr="005B023F">
        <w:rPr>
          <w:sz w:val="28"/>
          <w:szCs w:val="28"/>
          <w:lang w:val="en-US"/>
        </w:rPr>
        <w:t>Through careful design informed by empirical research—from gamified educational studies to goal-setting frameworks—universities can build systems that support learners' internal motivation and reflect behavioral patterns valued in the workplace. Dynamic goal monitoring, progress feedback, and adaptive routes combined in learning management systems improve student involvement and help graduates be self-regulated, resilient, and employable.  Such design is particularly relevant in university-industry collaboration, where educational institutions are called to produce intellectually prepared graduates and behaviorally equipped for modern work environments.</w:t>
      </w:r>
    </w:p>
    <w:p w14:paraId="4D76BC0F" w14:textId="77777777" w:rsidR="00600C79" w:rsidRPr="00BF504D" w:rsidRDefault="00600C79" w:rsidP="004B03CB">
      <w:pPr>
        <w:pStyle w:val="a4"/>
        <w:ind w:firstLine="720"/>
        <w:contextualSpacing/>
        <w:jc w:val="both"/>
        <w:rPr>
          <w:i/>
          <w:iCs/>
          <w:sz w:val="28"/>
          <w:szCs w:val="28"/>
          <w:lang w:val="en-US"/>
        </w:rPr>
      </w:pPr>
      <w:r w:rsidRPr="00BF504D">
        <w:rPr>
          <w:i/>
          <w:iCs/>
          <w:sz w:val="28"/>
          <w:szCs w:val="28"/>
          <w:lang w:val="en-US"/>
        </w:rPr>
        <w:t>Goal-gradient effect application in learning platforms at universities</w:t>
      </w:r>
    </w:p>
    <w:p w14:paraId="5F197CF7" w14:textId="77777777" w:rsidR="00600C79" w:rsidRPr="004B03CB" w:rsidRDefault="00600C79" w:rsidP="004B03CB">
      <w:pPr>
        <w:pStyle w:val="a4"/>
        <w:ind w:firstLine="720"/>
        <w:contextualSpacing/>
        <w:jc w:val="both"/>
        <w:rPr>
          <w:sz w:val="28"/>
          <w:szCs w:val="28"/>
          <w:lang w:val="en-US"/>
        </w:rPr>
      </w:pPr>
      <w:r w:rsidRPr="004B03CB">
        <w:rPr>
          <w:sz w:val="28"/>
          <w:szCs w:val="28"/>
          <w:lang w:val="en-US"/>
        </w:rPr>
        <w:t>Behavioral psychology background:</w:t>
      </w:r>
    </w:p>
    <w:p w14:paraId="6FDBF0AF" w14:textId="098D52AC" w:rsidR="00600C79" w:rsidRPr="00244343" w:rsidRDefault="00600C79" w:rsidP="004B03CB">
      <w:pPr>
        <w:pStyle w:val="a4"/>
        <w:ind w:firstLine="720"/>
        <w:contextualSpacing/>
        <w:jc w:val="both"/>
        <w:rPr>
          <w:sz w:val="28"/>
          <w:szCs w:val="28"/>
          <w:lang w:val="en-US"/>
        </w:rPr>
      </w:pPr>
      <w:r w:rsidRPr="00244343">
        <w:rPr>
          <w:sz w:val="28"/>
          <w:szCs w:val="28"/>
          <w:lang w:val="en-US"/>
        </w:rPr>
        <w:t>Many researchers [</w:t>
      </w:r>
      <w:r w:rsidR="004B03CB">
        <w:rPr>
          <w:sz w:val="28"/>
          <w:szCs w:val="28"/>
          <w:lang w:val="en-US"/>
        </w:rPr>
        <w:t>206</w:t>
      </w:r>
      <w:r w:rsidRPr="00244343">
        <w:rPr>
          <w:sz w:val="28"/>
          <w:szCs w:val="28"/>
          <w:lang w:val="en-US"/>
        </w:rPr>
        <w:t>, p. 1540;</w:t>
      </w:r>
      <w:r w:rsidRPr="004B03CB">
        <w:rPr>
          <w:sz w:val="28"/>
          <w:szCs w:val="28"/>
          <w:lang w:val="en-US"/>
        </w:rPr>
        <w:t xml:space="preserve"> </w:t>
      </w:r>
      <w:r w:rsidR="004B03CB">
        <w:rPr>
          <w:sz w:val="28"/>
          <w:szCs w:val="28"/>
          <w:lang w:val="en-US"/>
        </w:rPr>
        <w:t>231</w:t>
      </w:r>
      <w:r w:rsidRPr="004B03CB">
        <w:rPr>
          <w:sz w:val="28"/>
          <w:szCs w:val="28"/>
          <w:lang w:val="en-US"/>
        </w:rPr>
        <w:t>]</w:t>
      </w:r>
      <w:r w:rsidRPr="00244343">
        <w:rPr>
          <w:sz w:val="28"/>
          <w:szCs w:val="28"/>
          <w:lang w:val="en-US"/>
        </w:rPr>
        <w:t xml:space="preserve"> have found that becoming an entrepreneur involves a wide range of psychological factors and a specific combination of practical skills. A meta-analysis from a 2014 study [</w:t>
      </w:r>
      <w:r w:rsidR="006907D6">
        <w:rPr>
          <w:sz w:val="28"/>
          <w:szCs w:val="28"/>
          <w:lang w:val="en-US"/>
        </w:rPr>
        <w:t>29</w:t>
      </w:r>
      <w:r w:rsidR="0046396C">
        <w:rPr>
          <w:sz w:val="28"/>
          <w:szCs w:val="28"/>
          <w:lang w:val="kk-KZ"/>
        </w:rPr>
        <w:t>7</w:t>
      </w:r>
      <w:r w:rsidRPr="00244343">
        <w:rPr>
          <w:sz w:val="28"/>
          <w:szCs w:val="28"/>
          <w:lang w:val="en-US"/>
        </w:rPr>
        <w:t xml:space="preserve">] shows a strong connection between personality traits such as general self-efficacy, need for achievement, entrepreneurial orientation, and entrepreneurship, especially concerning the growth and success of a business. There are myriads of research work done by different scholars in different research disciplines demonstrating the </w:t>
      </w:r>
      <w:r w:rsidRPr="00244343">
        <w:rPr>
          <w:sz w:val="28"/>
          <w:szCs w:val="28"/>
          <w:lang w:val="en-US"/>
        </w:rPr>
        <w:lastRenderedPageBreak/>
        <w:t>interconnectedness of the personal psychological factors and personal skills ether contributing or demotivating the entrepreneurial intention, spirit or a person/student becoming an entrepreneur. However, there are other factors impeding or predicting the students` entrepreneurial intention and intention. Behavioral psychology is essential for comprehending entrepreneurial intention [</w:t>
      </w:r>
      <w:r w:rsidR="008C7FCA">
        <w:rPr>
          <w:sz w:val="28"/>
          <w:szCs w:val="28"/>
          <w:lang w:val="en-US"/>
        </w:rPr>
        <w:t>29</w:t>
      </w:r>
      <w:r w:rsidR="0046396C">
        <w:rPr>
          <w:sz w:val="28"/>
          <w:szCs w:val="28"/>
          <w:lang w:val="kk-KZ"/>
        </w:rPr>
        <w:t>8</w:t>
      </w:r>
      <w:r w:rsidR="006907D6">
        <w:rPr>
          <w:sz w:val="28"/>
          <w:szCs w:val="28"/>
          <w:lang w:val="en-US"/>
        </w:rPr>
        <w:t>-30</w:t>
      </w:r>
      <w:r w:rsidR="0046396C">
        <w:rPr>
          <w:sz w:val="28"/>
          <w:szCs w:val="28"/>
          <w:lang w:val="kk-KZ"/>
        </w:rPr>
        <w:t>2</w:t>
      </w:r>
      <w:r w:rsidRPr="00244343">
        <w:rPr>
          <w:sz w:val="28"/>
          <w:szCs w:val="28"/>
          <w:lang w:val="en-US"/>
        </w:rPr>
        <w:t>], as it includes the psychological variables that affect individuals' motives and actions about entrepreneurship. The interaction of diverse psychological variables profoundly influences entrepreneurial behavior. In other words, economic psychology [</w:t>
      </w:r>
      <w:r w:rsidR="006907D6">
        <w:rPr>
          <w:sz w:val="28"/>
          <w:szCs w:val="28"/>
          <w:lang w:val="en-US"/>
        </w:rPr>
        <w:t>30</w:t>
      </w:r>
      <w:r w:rsidR="0046396C">
        <w:rPr>
          <w:sz w:val="28"/>
          <w:szCs w:val="28"/>
          <w:lang w:val="kk-KZ"/>
        </w:rPr>
        <w:t>3</w:t>
      </w:r>
      <w:r w:rsidR="006907D6">
        <w:rPr>
          <w:sz w:val="28"/>
          <w:szCs w:val="28"/>
          <w:lang w:val="en-US"/>
        </w:rPr>
        <w:t>-30</w:t>
      </w:r>
      <w:r w:rsidR="0046396C">
        <w:rPr>
          <w:sz w:val="28"/>
          <w:szCs w:val="28"/>
          <w:lang w:val="kk-KZ"/>
        </w:rPr>
        <w:t>4</w:t>
      </w:r>
      <w:r w:rsidRPr="00244343">
        <w:rPr>
          <w:sz w:val="28"/>
          <w:szCs w:val="28"/>
          <w:lang w:val="en-US"/>
        </w:rPr>
        <w:t>]</w:t>
      </w:r>
      <w:r w:rsidRPr="00244343">
        <w:rPr>
          <w:sz w:val="28"/>
          <w:szCs w:val="28"/>
          <w:shd w:val="clear" w:color="auto" w:fill="FFFFFF"/>
          <w:lang w:val="en-US"/>
        </w:rPr>
        <w:t xml:space="preserve"> </w:t>
      </w:r>
      <w:r w:rsidRPr="00244343">
        <w:rPr>
          <w:sz w:val="28"/>
          <w:szCs w:val="28"/>
          <w:lang w:val="en-US"/>
        </w:rPr>
        <w:t>comes first. Analyzing the psychological motivations underlying conflicts and interests is crucial in economic psychology and behavior. It facilitates the establishment of a harmonious behavioral relationship based on the rational mechanisms of interest distribution, referred to as the "psychological contract"</w:t>
      </w:r>
      <w:r w:rsidR="004B03CB">
        <w:rPr>
          <w:sz w:val="28"/>
          <w:szCs w:val="28"/>
          <w:lang w:val="en-US"/>
        </w:rPr>
        <w:t xml:space="preserve"> </w:t>
      </w:r>
      <w:r w:rsidRPr="00244343">
        <w:rPr>
          <w:sz w:val="28"/>
          <w:szCs w:val="28"/>
          <w:lang w:val="en-US"/>
        </w:rPr>
        <w:t>[</w:t>
      </w:r>
      <w:r w:rsidR="006907D6">
        <w:rPr>
          <w:sz w:val="28"/>
          <w:szCs w:val="28"/>
          <w:lang w:val="en-US"/>
        </w:rPr>
        <w:t>30</w:t>
      </w:r>
      <w:r w:rsidR="0046396C">
        <w:rPr>
          <w:sz w:val="28"/>
          <w:szCs w:val="28"/>
          <w:lang w:val="kk-KZ"/>
        </w:rPr>
        <w:t>5</w:t>
      </w:r>
      <w:r w:rsidRPr="00244343">
        <w:rPr>
          <w:sz w:val="28"/>
          <w:szCs w:val="28"/>
          <w:lang w:val="en-US"/>
        </w:rPr>
        <w:t xml:space="preserve">]. </w:t>
      </w:r>
    </w:p>
    <w:p w14:paraId="63AD6B6C" w14:textId="7B12BE72" w:rsidR="00600C79" w:rsidRPr="00244343" w:rsidRDefault="00600C79" w:rsidP="004B03CB">
      <w:pPr>
        <w:pStyle w:val="a4"/>
        <w:ind w:firstLine="720"/>
        <w:contextualSpacing/>
        <w:jc w:val="both"/>
        <w:rPr>
          <w:sz w:val="28"/>
          <w:szCs w:val="28"/>
          <w:lang w:val="en-US"/>
        </w:rPr>
      </w:pPr>
      <w:r w:rsidRPr="00244343">
        <w:rPr>
          <w:sz w:val="28"/>
          <w:szCs w:val="28"/>
          <w:lang w:val="en-US"/>
        </w:rPr>
        <w:t>The human beings are mostly driven by different motives, underlying various behavioral performance. Task performance success, need for achievement and entrepreneurship success components heavily depend on personality traits, locus of control, entrepreneurial self-efficacy and intention of the learner. A study by a group of Kazakhstani authors looked at how entrepreneurial self-efficacy and locus of control moderate the impact of the university environment and program on entrepreneurial intention and attitudes. The study included responses from 713 students from 30 universities in Kazakhstan. According to the findings, the university environment and personal traits like self-efficacy and locus of control</w:t>
      </w:r>
      <w:r w:rsidR="004B03CB">
        <w:rPr>
          <w:sz w:val="28"/>
          <w:szCs w:val="28"/>
          <w:lang w:val="en-US"/>
        </w:rPr>
        <w:t xml:space="preserve"> </w:t>
      </w:r>
      <w:r w:rsidRPr="00244343">
        <w:rPr>
          <w:sz w:val="28"/>
          <w:szCs w:val="28"/>
          <w:lang w:val="en-US"/>
        </w:rPr>
        <w:t>have an impact on student entrepreneurship [</w:t>
      </w:r>
      <w:r w:rsidR="006907D6">
        <w:rPr>
          <w:sz w:val="28"/>
          <w:szCs w:val="28"/>
          <w:lang w:val="en-US"/>
        </w:rPr>
        <w:t>206</w:t>
      </w:r>
      <w:r w:rsidRPr="00244343">
        <w:rPr>
          <w:sz w:val="28"/>
          <w:szCs w:val="28"/>
          <w:lang w:val="en-US"/>
        </w:rPr>
        <w:t xml:space="preserve">, p.1548].  </w:t>
      </w:r>
    </w:p>
    <w:p w14:paraId="0EFF0633" w14:textId="77777777" w:rsidR="00600C79" w:rsidRPr="004B03CB" w:rsidRDefault="00600C79" w:rsidP="004B03CB">
      <w:pPr>
        <w:pStyle w:val="a4"/>
        <w:ind w:firstLine="720"/>
        <w:contextualSpacing/>
        <w:jc w:val="both"/>
        <w:rPr>
          <w:sz w:val="28"/>
          <w:szCs w:val="28"/>
          <w:lang w:val="en-US"/>
        </w:rPr>
      </w:pPr>
      <w:r w:rsidRPr="004B03CB">
        <w:rPr>
          <w:sz w:val="28"/>
          <w:szCs w:val="28"/>
          <w:lang w:val="en-US"/>
        </w:rPr>
        <w:t>Motivated students and entrepreneurship:</w:t>
      </w:r>
    </w:p>
    <w:p w14:paraId="689D7E95" w14:textId="3053950B" w:rsidR="00600C79" w:rsidRPr="004B03CB" w:rsidRDefault="00600C79" w:rsidP="004B03CB">
      <w:pPr>
        <w:pStyle w:val="a4"/>
        <w:ind w:firstLine="720"/>
        <w:contextualSpacing/>
        <w:jc w:val="both"/>
        <w:rPr>
          <w:sz w:val="28"/>
          <w:szCs w:val="28"/>
          <w:lang w:val="en-US"/>
        </w:rPr>
      </w:pPr>
      <w:r w:rsidRPr="00244343">
        <w:rPr>
          <w:sz w:val="28"/>
          <w:szCs w:val="28"/>
          <w:lang w:val="en-US"/>
        </w:rPr>
        <w:t>Although there are multiple studies indicating the strong relationship between high motivation and entrepreneurial success of the student. However not many studies would reveal the intrinsic motivation correlation to the task performance, leading to personal success in realms. While task performance was a positive predictor of task interest in the high-grade condition, it did not significantly explain increased levels of ongoing motivation for the activity. Conversely, task autonomy accounted for increased task interest and ongoing motivation for the task observed in the nongraded condition [</w:t>
      </w:r>
      <w:r w:rsidR="006907D6">
        <w:rPr>
          <w:sz w:val="28"/>
          <w:szCs w:val="28"/>
          <w:lang w:val="en-US"/>
        </w:rPr>
        <w:t>30</w:t>
      </w:r>
      <w:r w:rsidR="0046396C">
        <w:rPr>
          <w:sz w:val="28"/>
          <w:szCs w:val="28"/>
          <w:lang w:val="kk-KZ"/>
        </w:rPr>
        <w:t>6</w:t>
      </w:r>
      <w:r w:rsidRPr="00244343">
        <w:rPr>
          <w:sz w:val="28"/>
          <w:szCs w:val="28"/>
          <w:lang w:val="en-US"/>
        </w:rPr>
        <w:t>]</w:t>
      </w:r>
      <w:r w:rsidRPr="004B03CB">
        <w:rPr>
          <w:sz w:val="28"/>
          <w:szCs w:val="28"/>
          <w:lang w:val="en-US"/>
        </w:rPr>
        <w:t xml:space="preserve">. The research mentioned above highlights human nature's complexity and its economic implications. </w:t>
      </w:r>
    </w:p>
    <w:p w14:paraId="7D0E12D6" w14:textId="2563AF1B" w:rsidR="00600C79" w:rsidRPr="00244343" w:rsidRDefault="00600C79" w:rsidP="004B03CB">
      <w:pPr>
        <w:pStyle w:val="a4"/>
        <w:ind w:firstLine="720"/>
        <w:contextualSpacing/>
        <w:jc w:val="both"/>
        <w:rPr>
          <w:sz w:val="28"/>
          <w:szCs w:val="28"/>
          <w:lang w:val="en-US"/>
        </w:rPr>
      </w:pPr>
      <w:r w:rsidRPr="00244343">
        <w:rPr>
          <w:sz w:val="28"/>
          <w:szCs w:val="28"/>
          <w:lang w:val="en-US"/>
        </w:rPr>
        <w:t>The author illuminates the links between economic (or behavioral psychology) psychology and entrepreneurial education in the university setting and how to implement the recommendations within the context of the universities. University environment</w:t>
      </w:r>
      <w:r w:rsidR="006907D6">
        <w:rPr>
          <w:sz w:val="28"/>
          <w:szCs w:val="28"/>
          <w:lang w:val="en-US"/>
        </w:rPr>
        <w:t xml:space="preserve"> </w:t>
      </w:r>
      <w:r w:rsidRPr="00244343">
        <w:rPr>
          <w:sz w:val="28"/>
          <w:szCs w:val="28"/>
          <w:lang w:val="en-US"/>
        </w:rPr>
        <w:t>university support, even a home country</w:t>
      </w:r>
      <w:r w:rsidR="006907D6">
        <w:rPr>
          <w:sz w:val="28"/>
          <w:szCs w:val="28"/>
          <w:lang w:val="en-US"/>
        </w:rPr>
        <w:t xml:space="preserve"> </w:t>
      </w:r>
      <w:r w:rsidRPr="00244343">
        <w:rPr>
          <w:sz w:val="28"/>
          <w:szCs w:val="28"/>
          <w:lang w:val="en-US"/>
        </w:rPr>
        <w:t>and learning programs</w:t>
      </w:r>
      <w:r w:rsidR="006907D6">
        <w:rPr>
          <w:sz w:val="28"/>
          <w:szCs w:val="28"/>
          <w:lang w:val="en-US"/>
        </w:rPr>
        <w:t xml:space="preserve"> </w:t>
      </w:r>
      <w:r w:rsidRPr="00244343">
        <w:rPr>
          <w:sz w:val="28"/>
          <w:szCs w:val="28"/>
          <w:lang w:val="en-US"/>
        </w:rPr>
        <w:t>are crucial in harnessing the entrepreneurial mindset of the students</w:t>
      </w:r>
      <w:r w:rsidR="006907D6">
        <w:rPr>
          <w:sz w:val="28"/>
          <w:szCs w:val="28"/>
          <w:lang w:val="en-US"/>
        </w:rPr>
        <w:t xml:space="preserve"> [30</w:t>
      </w:r>
      <w:r w:rsidR="0046396C">
        <w:rPr>
          <w:sz w:val="28"/>
          <w:szCs w:val="28"/>
          <w:lang w:val="kk-KZ"/>
        </w:rPr>
        <w:t>7</w:t>
      </w:r>
      <w:r w:rsidR="006907D6">
        <w:rPr>
          <w:sz w:val="28"/>
          <w:szCs w:val="28"/>
          <w:lang w:val="en-US"/>
        </w:rPr>
        <w:t>-3</w:t>
      </w:r>
      <w:r w:rsidR="0046396C">
        <w:rPr>
          <w:sz w:val="28"/>
          <w:szCs w:val="28"/>
          <w:lang w:val="kk-KZ"/>
        </w:rPr>
        <w:t>19</w:t>
      </w:r>
      <w:r w:rsidR="006907D6">
        <w:rPr>
          <w:sz w:val="28"/>
          <w:szCs w:val="28"/>
          <w:lang w:val="en-US"/>
        </w:rPr>
        <w:t>]</w:t>
      </w:r>
      <w:r w:rsidRPr="00244343">
        <w:rPr>
          <w:sz w:val="28"/>
          <w:szCs w:val="28"/>
          <w:lang w:val="en-US"/>
        </w:rPr>
        <w:t>. The link is also posited to be influenced by the students' entrepreneurial experience, the pedagogical approaches utilized in university entrepreneurial projects, and the presence of opportunity-driven entrepreneurship across the nation [</w:t>
      </w:r>
      <w:r w:rsidR="006907D6">
        <w:rPr>
          <w:sz w:val="28"/>
          <w:szCs w:val="28"/>
          <w:lang w:val="en-US"/>
        </w:rPr>
        <w:t>32</w:t>
      </w:r>
      <w:r w:rsidR="0046396C">
        <w:rPr>
          <w:sz w:val="28"/>
          <w:szCs w:val="28"/>
          <w:lang w:val="kk-KZ"/>
        </w:rPr>
        <w:t>0</w:t>
      </w:r>
      <w:r w:rsidRPr="00244343">
        <w:rPr>
          <w:sz w:val="28"/>
          <w:szCs w:val="28"/>
          <w:lang w:val="en-US"/>
        </w:rPr>
        <w:t>]. Maintaining entrepreneurial education requires enhancing educator capacity and networks of collaborating educators from many institutions</w:t>
      </w:r>
      <w:r w:rsidR="004B03CB">
        <w:rPr>
          <w:sz w:val="28"/>
          <w:szCs w:val="28"/>
          <w:lang w:val="en-US"/>
        </w:rPr>
        <w:t xml:space="preserve"> </w:t>
      </w:r>
      <w:r w:rsidRPr="00244343">
        <w:rPr>
          <w:sz w:val="28"/>
          <w:szCs w:val="28"/>
          <w:lang w:val="en-US"/>
        </w:rPr>
        <w:t>and disciplines devising transdisciplinary instructional methodologies [</w:t>
      </w:r>
      <w:r w:rsidR="006907D6">
        <w:rPr>
          <w:sz w:val="28"/>
          <w:szCs w:val="28"/>
          <w:lang w:val="en-US"/>
        </w:rPr>
        <w:t>32</w:t>
      </w:r>
      <w:r w:rsidR="0046396C">
        <w:rPr>
          <w:sz w:val="28"/>
          <w:szCs w:val="28"/>
          <w:lang w:val="kk-KZ"/>
        </w:rPr>
        <w:t>1</w:t>
      </w:r>
      <w:r w:rsidRPr="00244343">
        <w:rPr>
          <w:sz w:val="28"/>
          <w:szCs w:val="28"/>
          <w:lang w:val="en-US"/>
        </w:rPr>
        <w:t xml:space="preserve">]. </w:t>
      </w:r>
    </w:p>
    <w:p w14:paraId="1FF58D7C" w14:textId="77777777" w:rsidR="00600C79" w:rsidRPr="00244343" w:rsidRDefault="00600C79" w:rsidP="004B03CB">
      <w:pPr>
        <w:pStyle w:val="a4"/>
        <w:ind w:firstLine="720"/>
        <w:contextualSpacing/>
        <w:jc w:val="both"/>
        <w:rPr>
          <w:sz w:val="28"/>
          <w:szCs w:val="28"/>
          <w:lang w:val="en-US"/>
        </w:rPr>
      </w:pPr>
      <w:r w:rsidRPr="004B03CB">
        <w:rPr>
          <w:sz w:val="28"/>
          <w:szCs w:val="28"/>
          <w:lang w:val="en-US"/>
        </w:rPr>
        <w:lastRenderedPageBreak/>
        <w:t>Several options are offered as students entrepreneurship culture cultivation</w:t>
      </w:r>
      <w:r>
        <w:rPr>
          <w:sz w:val="28"/>
          <w:szCs w:val="28"/>
          <w:lang w:val="en-US"/>
        </w:rPr>
        <w:t xml:space="preserve"> </w:t>
      </w:r>
      <w:r w:rsidRPr="004B03CB">
        <w:rPr>
          <w:sz w:val="28"/>
          <w:szCs w:val="28"/>
          <w:lang w:val="en-US"/>
        </w:rPr>
        <w:t>through curriculum:</w:t>
      </w:r>
      <w:r w:rsidRPr="00244343">
        <w:rPr>
          <w:sz w:val="28"/>
          <w:szCs w:val="28"/>
          <w:lang w:val="en-US"/>
        </w:rPr>
        <w:t xml:space="preserve"> </w:t>
      </w:r>
    </w:p>
    <w:p w14:paraId="2A419DB3" w14:textId="77777777" w:rsidR="00600C79" w:rsidRPr="00BF504D" w:rsidRDefault="00600C79" w:rsidP="004B03CB">
      <w:pPr>
        <w:pStyle w:val="a4"/>
        <w:ind w:firstLine="720"/>
        <w:contextualSpacing/>
        <w:jc w:val="both"/>
        <w:rPr>
          <w:i/>
          <w:iCs/>
          <w:sz w:val="28"/>
          <w:szCs w:val="28"/>
          <w:lang w:val="en-US"/>
        </w:rPr>
      </w:pPr>
      <w:r w:rsidRPr="00BF504D">
        <w:rPr>
          <w:i/>
          <w:iCs/>
          <w:sz w:val="28"/>
          <w:szCs w:val="28"/>
          <w:lang w:val="en-US"/>
        </w:rPr>
        <w:t>Advancing existing entrepreneurship education</w:t>
      </w:r>
    </w:p>
    <w:p w14:paraId="324B92BA" w14:textId="469F7CFC" w:rsidR="00600C79" w:rsidRPr="00244343" w:rsidRDefault="00600C79" w:rsidP="004B03CB">
      <w:pPr>
        <w:pStyle w:val="a4"/>
        <w:ind w:firstLine="720"/>
        <w:contextualSpacing/>
        <w:jc w:val="both"/>
        <w:rPr>
          <w:sz w:val="28"/>
          <w:szCs w:val="28"/>
          <w:lang w:val="en-US"/>
        </w:rPr>
      </w:pPr>
      <w:r w:rsidRPr="00244343">
        <w:rPr>
          <w:sz w:val="28"/>
          <w:szCs w:val="28"/>
          <w:lang w:val="en-US"/>
        </w:rPr>
        <w:t>The European Commission's Entrepreneurship 2020 Action Plan</w:t>
      </w:r>
      <w:r w:rsidR="00BF504D">
        <w:rPr>
          <w:sz w:val="28"/>
          <w:szCs w:val="28"/>
          <w:lang w:val="kk-KZ"/>
        </w:rPr>
        <w:t xml:space="preserve"> </w:t>
      </w:r>
      <w:r w:rsidRPr="00244343">
        <w:rPr>
          <w:sz w:val="28"/>
          <w:szCs w:val="28"/>
          <w:lang w:val="en-US"/>
        </w:rPr>
        <w:t>(EU commission site), established in 2013, claims that EU countries need more entrepreneurs with progressive technical education to enhance competitiveness and innovation</w:t>
      </w:r>
      <w:r w:rsidR="00BF504D" w:rsidRPr="00244343">
        <w:rPr>
          <w:sz w:val="28"/>
          <w:szCs w:val="28"/>
          <w:lang w:val="en-US"/>
        </w:rPr>
        <w:t xml:space="preserve"> [</w:t>
      </w:r>
      <w:r w:rsidR="00BF504D">
        <w:rPr>
          <w:sz w:val="28"/>
          <w:szCs w:val="28"/>
          <w:lang w:val="en-US"/>
        </w:rPr>
        <w:t>32</w:t>
      </w:r>
      <w:r w:rsidR="00BF504D">
        <w:rPr>
          <w:sz w:val="28"/>
          <w:szCs w:val="28"/>
          <w:lang w:val="kk-KZ"/>
        </w:rPr>
        <w:t>2</w:t>
      </w:r>
      <w:r w:rsidR="00BF504D" w:rsidRPr="00244343">
        <w:rPr>
          <w:sz w:val="28"/>
          <w:szCs w:val="28"/>
          <w:lang w:val="en-US"/>
        </w:rPr>
        <w:t>]</w:t>
      </w:r>
      <w:r w:rsidRPr="00244343">
        <w:rPr>
          <w:sz w:val="28"/>
          <w:szCs w:val="28"/>
          <w:lang w:val="en-US"/>
        </w:rPr>
        <w:t xml:space="preserve">. It defines </w:t>
      </w:r>
      <w:r w:rsidRPr="004B03CB">
        <w:rPr>
          <w:sz w:val="28"/>
          <w:szCs w:val="28"/>
          <w:lang w:val="en-US"/>
        </w:rPr>
        <w:t>education</w:t>
      </w:r>
      <w:r w:rsidRPr="005C6D95">
        <w:rPr>
          <w:sz w:val="28"/>
          <w:szCs w:val="28"/>
          <w:lang w:val="en-US"/>
        </w:rPr>
        <w:t xml:space="preserve"> </w:t>
      </w:r>
      <w:r w:rsidRPr="00244343">
        <w:rPr>
          <w:sz w:val="28"/>
          <w:szCs w:val="28"/>
          <w:lang w:val="en-US"/>
        </w:rPr>
        <w:t xml:space="preserve">as one of the three pillars for boosting entrepreneurship and believes universities must enhance their effectiveness in fostering entrepreneurial endeavors. Subsequently, the author of this PhD thesis offers to work on: existing discipline (Fundamentals of Entrepreneurship for instance). </w:t>
      </w:r>
    </w:p>
    <w:p w14:paraId="58843B6F" w14:textId="77777777" w:rsidR="004A02A3" w:rsidRDefault="00600C79" w:rsidP="004B03CB">
      <w:pPr>
        <w:pStyle w:val="a4"/>
        <w:ind w:firstLine="720"/>
        <w:contextualSpacing/>
        <w:jc w:val="both"/>
        <w:rPr>
          <w:sz w:val="28"/>
          <w:szCs w:val="28"/>
          <w:shd w:val="clear" w:color="auto" w:fill="FFFFFF"/>
          <w:lang w:val="en-US"/>
        </w:rPr>
      </w:pPr>
      <w:r w:rsidRPr="00244343">
        <w:rPr>
          <w:sz w:val="28"/>
          <w:szCs w:val="28"/>
          <w:lang w:val="en-US"/>
        </w:rPr>
        <w:t>Existing discipline on Entrepreneurship is advanced in content and designates practical assignments to complete</w:t>
      </w:r>
      <w:r w:rsidR="00BF504D">
        <w:rPr>
          <w:sz w:val="28"/>
          <w:szCs w:val="28"/>
          <w:lang w:val="kk-KZ"/>
        </w:rPr>
        <w:t xml:space="preserve"> </w:t>
      </w:r>
      <w:r w:rsidR="00BF504D" w:rsidRPr="00244343">
        <w:rPr>
          <w:sz w:val="28"/>
          <w:szCs w:val="28"/>
          <w:lang w:val="en-US"/>
        </w:rPr>
        <w:t>[</w:t>
      </w:r>
      <w:r w:rsidR="00BF504D">
        <w:rPr>
          <w:sz w:val="28"/>
          <w:szCs w:val="28"/>
          <w:lang w:val="en-US"/>
        </w:rPr>
        <w:t>32</w:t>
      </w:r>
      <w:r w:rsidR="00BF504D">
        <w:rPr>
          <w:sz w:val="28"/>
          <w:szCs w:val="28"/>
          <w:lang w:val="kk-KZ"/>
        </w:rPr>
        <w:t>3</w:t>
      </w:r>
      <w:r w:rsidR="00BF504D" w:rsidRPr="00244343">
        <w:rPr>
          <w:sz w:val="28"/>
          <w:szCs w:val="28"/>
          <w:lang w:val="en-US"/>
        </w:rPr>
        <w:t>]</w:t>
      </w:r>
      <w:r w:rsidRPr="00244343">
        <w:rPr>
          <w:sz w:val="28"/>
          <w:szCs w:val="28"/>
          <w:lang w:val="en-US"/>
        </w:rPr>
        <w:t>. Moreover, it is recommended that the entrepreneurship discipline be integrated across all other disciplines of the learning programs, not only as a separate entrepreneurial block or in a financial course but also into other disciplines taught in the university. It may be efficiently transmitted and incorporated into several academic fields [</w:t>
      </w:r>
      <w:r w:rsidR="006907D6">
        <w:rPr>
          <w:sz w:val="28"/>
          <w:szCs w:val="28"/>
          <w:lang w:val="en-US"/>
        </w:rPr>
        <w:t>32</w:t>
      </w:r>
      <w:r w:rsidR="0046396C">
        <w:rPr>
          <w:sz w:val="28"/>
          <w:szCs w:val="28"/>
          <w:lang w:val="kk-KZ"/>
        </w:rPr>
        <w:t>1</w:t>
      </w:r>
      <w:r w:rsidRPr="004B03CB">
        <w:rPr>
          <w:sz w:val="28"/>
          <w:szCs w:val="28"/>
          <w:lang w:val="en-US"/>
        </w:rPr>
        <w:t>, p.956</w:t>
      </w:r>
      <w:r w:rsidR="006907D6">
        <w:rPr>
          <w:sz w:val="28"/>
          <w:szCs w:val="28"/>
          <w:lang w:val="en-US"/>
        </w:rPr>
        <w:t>; 32</w:t>
      </w:r>
      <w:r w:rsidR="0046396C">
        <w:rPr>
          <w:sz w:val="28"/>
          <w:szCs w:val="28"/>
          <w:lang w:val="kk-KZ"/>
        </w:rPr>
        <w:t>4</w:t>
      </w:r>
      <w:r w:rsidRPr="004B03CB">
        <w:rPr>
          <w:sz w:val="28"/>
          <w:szCs w:val="28"/>
          <w:lang w:val="en-US"/>
        </w:rPr>
        <w:t>]</w:t>
      </w:r>
      <w:r w:rsidRPr="00244343">
        <w:rPr>
          <w:sz w:val="28"/>
          <w:szCs w:val="28"/>
          <w:lang w:val="en-US"/>
        </w:rPr>
        <w:t xml:space="preserve">. There are multiple ways to improve the EE, however not many tools to track entrepreneurial skills of the students, tutors, instructors. One article outlines an online platform called EICAA, which assists educators and trainers in instructing or mentoring students and employees in cultivating entrepreneurial and intrapreneurial competencies. The platform is founded on a Competence Framework derived from a comprehensive literature analysis, delineating 18 essential competencies categorized into three competence domains. The platform enables educators to evaluate the entrepreneurial competencies of a cohort of students or participants through the Competence Monitor and offers customized instruction using the Competence Development Kit. Five European institutions utilize the platform, and it is accessible to any higher education institution or organization seeking to enhance the entrepreneurial competencies of their students and workers </w:t>
      </w:r>
      <w:r w:rsidRPr="00244343">
        <w:rPr>
          <w:sz w:val="28"/>
          <w:szCs w:val="28"/>
          <w:shd w:val="clear" w:color="auto" w:fill="FFFFFF"/>
          <w:lang w:val="en-US"/>
        </w:rPr>
        <w:t xml:space="preserve">Wu and Song utilize social media within online entrepreneurship course groups, identifying four satisfaction elements as primary motivators for integrating social media into these courses </w:t>
      </w:r>
      <w:r w:rsidRPr="00244343">
        <w:rPr>
          <w:sz w:val="28"/>
          <w:szCs w:val="28"/>
          <w:lang w:val="en-US"/>
        </w:rPr>
        <w:t>[</w:t>
      </w:r>
      <w:r w:rsidR="006907D6">
        <w:rPr>
          <w:sz w:val="28"/>
          <w:szCs w:val="28"/>
          <w:lang w:val="en-US"/>
        </w:rPr>
        <w:t>32</w:t>
      </w:r>
      <w:r w:rsidR="0046396C">
        <w:rPr>
          <w:sz w:val="28"/>
          <w:szCs w:val="28"/>
          <w:lang w:val="kk-KZ"/>
        </w:rPr>
        <w:t>5</w:t>
      </w:r>
      <w:r w:rsidRPr="00244343">
        <w:rPr>
          <w:sz w:val="28"/>
          <w:szCs w:val="28"/>
          <w:lang w:val="en-US"/>
        </w:rPr>
        <w:t>]</w:t>
      </w:r>
      <w:r w:rsidRPr="00244343">
        <w:rPr>
          <w:sz w:val="28"/>
          <w:szCs w:val="28"/>
          <w:shd w:val="clear" w:color="auto" w:fill="FFFFFF"/>
          <w:lang w:val="en-US"/>
        </w:rPr>
        <w:t>. Wu and Chen utilizing an alternative method, showcase their endeavors in collaborating with industry and business professionals to construct entrepreneurial courses and joint instruction [</w:t>
      </w:r>
      <w:r w:rsidR="006907D6">
        <w:rPr>
          <w:sz w:val="28"/>
          <w:szCs w:val="28"/>
          <w:shd w:val="clear" w:color="auto" w:fill="FFFFFF"/>
          <w:lang w:val="en-US"/>
        </w:rPr>
        <w:t>32</w:t>
      </w:r>
      <w:r w:rsidR="0046396C">
        <w:rPr>
          <w:sz w:val="28"/>
          <w:szCs w:val="28"/>
          <w:shd w:val="clear" w:color="auto" w:fill="FFFFFF"/>
          <w:lang w:val="kk-KZ"/>
        </w:rPr>
        <w:t>6</w:t>
      </w:r>
      <w:r w:rsidRPr="00244343">
        <w:rPr>
          <w:sz w:val="28"/>
          <w:szCs w:val="28"/>
          <w:shd w:val="clear" w:color="auto" w:fill="FFFFFF"/>
          <w:lang w:val="en-US"/>
        </w:rPr>
        <w:t xml:space="preserve">]. </w:t>
      </w:r>
    </w:p>
    <w:p w14:paraId="7A7ABF09" w14:textId="63E8EE62" w:rsidR="004A02A3" w:rsidRPr="004B03CB" w:rsidRDefault="00600C79" w:rsidP="004A02A3">
      <w:pPr>
        <w:pStyle w:val="a4"/>
        <w:ind w:firstLine="720"/>
        <w:contextualSpacing/>
        <w:jc w:val="both"/>
        <w:rPr>
          <w:sz w:val="28"/>
          <w:szCs w:val="28"/>
          <w:shd w:val="clear" w:color="auto" w:fill="FFFFFF"/>
          <w:lang w:val="en-US"/>
        </w:rPr>
      </w:pPr>
      <w:r w:rsidRPr="00244343">
        <w:rPr>
          <w:sz w:val="28"/>
          <w:szCs w:val="28"/>
          <w:shd w:val="clear" w:color="auto" w:fill="FFFFFF"/>
          <w:lang w:val="en-US"/>
        </w:rPr>
        <w:t>This collaboratively constructed course is more effective in enhancing students' entrepreneurial skills and professional competitiveness than others. Wang S.-M. et al. ultimately compare the impacts of two entrepreneurial education pathways</w:t>
      </w:r>
      <w:r w:rsidR="00F75DE6">
        <w:rPr>
          <w:sz w:val="28"/>
          <w:szCs w:val="28"/>
          <w:shd w:val="clear" w:color="auto" w:fill="FFFFFF"/>
          <w:lang w:val="kk-KZ"/>
        </w:rPr>
        <w:t xml:space="preserve"> – </w:t>
      </w:r>
      <w:r w:rsidRPr="00244343">
        <w:rPr>
          <w:sz w:val="28"/>
          <w:szCs w:val="28"/>
          <w:shd w:val="clear" w:color="auto" w:fill="FFFFFF"/>
          <w:lang w:val="en-US"/>
        </w:rPr>
        <w:t>a Creativity and Entrepreneurship Program (CEP) and management education</w:t>
      </w:r>
      <w:r w:rsidR="00F75DE6">
        <w:rPr>
          <w:sz w:val="28"/>
          <w:szCs w:val="28"/>
          <w:shd w:val="clear" w:color="auto" w:fill="FFFFFF"/>
          <w:lang w:val="kk-KZ"/>
        </w:rPr>
        <w:t xml:space="preserve"> – </w:t>
      </w:r>
      <w:r w:rsidRPr="00244343">
        <w:rPr>
          <w:sz w:val="28"/>
          <w:szCs w:val="28"/>
          <w:shd w:val="clear" w:color="auto" w:fill="FFFFFF"/>
          <w:lang w:val="en-US"/>
        </w:rPr>
        <w:t>on enhancing students' entrepreneurial competencies and intentions</w:t>
      </w:r>
      <w:r w:rsidR="0092229A">
        <w:rPr>
          <w:sz w:val="28"/>
          <w:szCs w:val="28"/>
          <w:shd w:val="clear" w:color="auto" w:fill="FFFFFF"/>
          <w:lang w:val="en-US"/>
        </w:rPr>
        <w:t xml:space="preserve"> </w:t>
      </w:r>
      <w:r w:rsidR="00F75DE6" w:rsidRPr="00244343">
        <w:rPr>
          <w:sz w:val="28"/>
          <w:szCs w:val="28"/>
          <w:shd w:val="clear" w:color="auto" w:fill="FFFFFF"/>
          <w:lang w:val="en-US"/>
        </w:rPr>
        <w:t>[</w:t>
      </w:r>
      <w:r w:rsidR="00F75DE6">
        <w:rPr>
          <w:sz w:val="28"/>
          <w:szCs w:val="28"/>
          <w:shd w:val="clear" w:color="auto" w:fill="FFFFFF"/>
          <w:lang w:val="en-US"/>
        </w:rPr>
        <w:t>32</w:t>
      </w:r>
      <w:r w:rsidR="00F75DE6">
        <w:rPr>
          <w:sz w:val="28"/>
          <w:szCs w:val="28"/>
          <w:shd w:val="clear" w:color="auto" w:fill="FFFFFF"/>
          <w:lang w:val="kk-KZ"/>
        </w:rPr>
        <w:t>7</w:t>
      </w:r>
      <w:r w:rsidR="00F75DE6" w:rsidRPr="00244343">
        <w:rPr>
          <w:sz w:val="28"/>
          <w:szCs w:val="28"/>
          <w:shd w:val="clear" w:color="auto" w:fill="FFFFFF"/>
          <w:lang w:val="en-US"/>
        </w:rPr>
        <w:t>]</w:t>
      </w:r>
      <w:r w:rsidRPr="00244343">
        <w:rPr>
          <w:sz w:val="28"/>
          <w:szCs w:val="28"/>
          <w:shd w:val="clear" w:color="auto" w:fill="FFFFFF"/>
          <w:lang w:val="en-US"/>
        </w:rPr>
        <w:t>. They examine the contextual constraints or enhancements in the entrepreneurship education of university students across several academic disciplines within a management school. These methods could be a good path for advancing and improving existing disciplines on entrepreneurial education in the university.</w:t>
      </w:r>
    </w:p>
    <w:p w14:paraId="382D3F75" w14:textId="2B2758BF" w:rsidR="00600C79" w:rsidRPr="004B03CB" w:rsidRDefault="00600C79" w:rsidP="004B03CB">
      <w:pPr>
        <w:pStyle w:val="a4"/>
        <w:ind w:firstLine="720"/>
        <w:contextualSpacing/>
        <w:jc w:val="both"/>
        <w:rPr>
          <w:sz w:val="28"/>
          <w:szCs w:val="28"/>
          <w:shd w:val="clear" w:color="auto" w:fill="FFFFFF"/>
          <w:lang w:val="en-US"/>
        </w:rPr>
      </w:pPr>
      <w:r w:rsidRPr="004B03CB">
        <w:rPr>
          <w:sz w:val="28"/>
          <w:szCs w:val="28"/>
          <w:shd w:val="clear" w:color="auto" w:fill="FFFFFF"/>
          <w:lang w:val="en-US"/>
        </w:rPr>
        <w:lastRenderedPageBreak/>
        <w:t>Opt</w:t>
      </w:r>
      <w:r w:rsidR="00015E71">
        <w:rPr>
          <w:sz w:val="28"/>
          <w:szCs w:val="28"/>
          <w:shd w:val="clear" w:color="auto" w:fill="FFFFFF"/>
          <w:lang w:val="en-US"/>
        </w:rPr>
        <w:t>i</w:t>
      </w:r>
      <w:r w:rsidRPr="004B03CB">
        <w:rPr>
          <w:sz w:val="28"/>
          <w:szCs w:val="28"/>
          <w:shd w:val="clear" w:color="auto" w:fill="FFFFFF"/>
          <w:lang w:val="en-US"/>
        </w:rPr>
        <w:t xml:space="preserve">on 2 - Mentoring </w:t>
      </w:r>
    </w:p>
    <w:p w14:paraId="3AE849D7" w14:textId="1C27E3C3" w:rsidR="00600C79" w:rsidRPr="004B03CB" w:rsidRDefault="00600C79" w:rsidP="004B03CB">
      <w:pPr>
        <w:pStyle w:val="a4"/>
        <w:ind w:firstLine="720"/>
        <w:contextualSpacing/>
        <w:jc w:val="both"/>
        <w:rPr>
          <w:sz w:val="28"/>
          <w:szCs w:val="28"/>
          <w:shd w:val="clear" w:color="auto" w:fill="FFFFFF"/>
          <w:lang w:val="en-US"/>
        </w:rPr>
      </w:pPr>
      <w:r w:rsidRPr="004B03CB">
        <w:rPr>
          <w:sz w:val="28"/>
          <w:szCs w:val="28"/>
          <w:shd w:val="clear" w:color="auto" w:fill="FFFFFF"/>
          <w:lang w:val="en-US"/>
        </w:rPr>
        <w:t>It is recommended that entrepreneurs create entrepreneurial skills set by incorporating four entrepreneurial discipline blocks, focusing on forging, hoarding, and harnessing the skills that form the entrepreneurial mindset. It will increase their odds of having a prosperous future. Thus, the following names of the disciplines are</w:t>
      </w:r>
      <w:r w:rsidR="004B03CB">
        <w:rPr>
          <w:sz w:val="28"/>
          <w:szCs w:val="28"/>
          <w:shd w:val="clear" w:color="auto" w:fill="FFFFFF"/>
          <w:lang w:val="en-US"/>
        </w:rPr>
        <w:t xml:space="preserve"> </w:t>
      </w:r>
      <w:r w:rsidRPr="004B03CB">
        <w:rPr>
          <w:sz w:val="28"/>
          <w:szCs w:val="28"/>
          <w:shd w:val="clear" w:color="auto" w:fill="FFFFFF"/>
          <w:lang w:val="en-US"/>
        </w:rPr>
        <w:t>offered:</w:t>
      </w:r>
    </w:p>
    <w:p w14:paraId="7C658AE1" w14:textId="59564A96" w:rsidR="00600C79" w:rsidRPr="00244343" w:rsidRDefault="00600C79" w:rsidP="004B03CB">
      <w:pPr>
        <w:pStyle w:val="a4"/>
        <w:ind w:firstLine="720"/>
        <w:contextualSpacing/>
        <w:jc w:val="both"/>
        <w:rPr>
          <w:sz w:val="28"/>
          <w:szCs w:val="28"/>
          <w:shd w:val="clear" w:color="auto" w:fill="FFFFFF"/>
          <w:lang w:val="en-US"/>
        </w:rPr>
      </w:pPr>
      <w:r w:rsidRPr="004B03CB">
        <w:rPr>
          <w:sz w:val="28"/>
          <w:szCs w:val="28"/>
          <w:shd w:val="clear" w:color="auto" w:fill="FFFFFF"/>
          <w:lang w:val="en-US"/>
        </w:rPr>
        <w:t xml:space="preserve"> Entrepreneurial mindset I - effective communication [</w:t>
      </w:r>
      <w:r w:rsidR="00660E1F">
        <w:rPr>
          <w:sz w:val="28"/>
          <w:szCs w:val="28"/>
          <w:shd w:val="clear" w:color="auto" w:fill="FFFFFF"/>
          <w:lang w:val="en-US"/>
        </w:rPr>
        <w:t>3</w:t>
      </w:r>
      <w:r w:rsidR="006F00CD">
        <w:rPr>
          <w:sz w:val="28"/>
          <w:szCs w:val="28"/>
          <w:shd w:val="clear" w:color="auto" w:fill="FFFFFF"/>
          <w:lang w:val="en-US"/>
        </w:rPr>
        <w:t>2</w:t>
      </w:r>
      <w:r w:rsidR="0046396C">
        <w:rPr>
          <w:sz w:val="28"/>
          <w:szCs w:val="28"/>
          <w:shd w:val="clear" w:color="auto" w:fill="FFFFFF"/>
          <w:lang w:val="kk-KZ"/>
        </w:rPr>
        <w:t>8</w:t>
      </w:r>
      <w:r w:rsidR="00660E1F">
        <w:rPr>
          <w:sz w:val="28"/>
          <w:szCs w:val="28"/>
          <w:shd w:val="clear" w:color="auto" w:fill="FFFFFF"/>
          <w:lang w:val="en-US"/>
        </w:rPr>
        <w:t>-3</w:t>
      </w:r>
      <w:r w:rsidR="0046396C">
        <w:rPr>
          <w:sz w:val="28"/>
          <w:szCs w:val="28"/>
          <w:shd w:val="clear" w:color="auto" w:fill="FFFFFF"/>
          <w:lang w:val="kk-KZ"/>
        </w:rPr>
        <w:t>29</w:t>
      </w:r>
      <w:r w:rsidRPr="004B03CB">
        <w:rPr>
          <w:sz w:val="28"/>
          <w:szCs w:val="28"/>
          <w:shd w:val="clear" w:color="auto" w:fill="FFFFFF"/>
          <w:lang w:val="en-US"/>
        </w:rPr>
        <w:t>]. Effective communication is a strong predictor of entrepreneurial success, paving the way to other skills as fundraising and networking which are crucial [</w:t>
      </w:r>
      <w:r w:rsidR="00660E1F">
        <w:rPr>
          <w:sz w:val="28"/>
          <w:szCs w:val="28"/>
          <w:shd w:val="clear" w:color="auto" w:fill="FFFFFF"/>
          <w:lang w:val="en-US"/>
        </w:rPr>
        <w:t>33</w:t>
      </w:r>
      <w:r w:rsidR="0046396C">
        <w:rPr>
          <w:sz w:val="28"/>
          <w:szCs w:val="28"/>
          <w:shd w:val="clear" w:color="auto" w:fill="FFFFFF"/>
          <w:lang w:val="kk-KZ"/>
        </w:rPr>
        <w:t>0</w:t>
      </w:r>
      <w:r w:rsidRPr="004B03CB">
        <w:rPr>
          <w:sz w:val="28"/>
          <w:szCs w:val="28"/>
          <w:shd w:val="clear" w:color="auto" w:fill="FFFFFF"/>
          <w:lang w:val="en-US"/>
        </w:rPr>
        <w:t>]</w:t>
      </w:r>
      <w:r w:rsidRPr="00244343">
        <w:rPr>
          <w:sz w:val="28"/>
          <w:szCs w:val="28"/>
          <w:shd w:val="clear" w:color="auto" w:fill="FFFFFF"/>
          <w:lang w:val="en-US"/>
        </w:rPr>
        <w:t xml:space="preserve">; </w:t>
      </w:r>
    </w:p>
    <w:p w14:paraId="5E8DC868" w14:textId="77777777" w:rsidR="00600C79" w:rsidRPr="004B03CB" w:rsidRDefault="00600C79" w:rsidP="004B03CB">
      <w:pPr>
        <w:pStyle w:val="a4"/>
        <w:ind w:firstLine="720"/>
        <w:contextualSpacing/>
        <w:jc w:val="both"/>
        <w:rPr>
          <w:sz w:val="28"/>
          <w:szCs w:val="28"/>
          <w:shd w:val="clear" w:color="auto" w:fill="FFFFFF"/>
          <w:lang w:val="en-US"/>
        </w:rPr>
      </w:pPr>
      <w:r w:rsidRPr="004B03CB">
        <w:rPr>
          <w:sz w:val="28"/>
          <w:szCs w:val="28"/>
          <w:shd w:val="clear" w:color="auto" w:fill="FFFFFF"/>
          <w:lang w:val="en-US"/>
        </w:rPr>
        <w:t>Entrepreneurial mindset II (creativity and innovation);</w:t>
      </w:r>
    </w:p>
    <w:p w14:paraId="004E2290" w14:textId="77777777" w:rsidR="00600C79" w:rsidRPr="004B03CB" w:rsidRDefault="00600C79" w:rsidP="004B03CB">
      <w:pPr>
        <w:pStyle w:val="a4"/>
        <w:ind w:firstLine="720"/>
        <w:contextualSpacing/>
        <w:jc w:val="both"/>
        <w:rPr>
          <w:sz w:val="28"/>
          <w:szCs w:val="28"/>
          <w:shd w:val="clear" w:color="auto" w:fill="FFFFFF"/>
          <w:lang w:val="en-US"/>
        </w:rPr>
      </w:pPr>
      <w:r w:rsidRPr="004B03CB">
        <w:rPr>
          <w:sz w:val="28"/>
          <w:szCs w:val="28"/>
          <w:shd w:val="clear" w:color="auto" w:fill="FFFFFF"/>
          <w:lang w:val="en-US"/>
        </w:rPr>
        <w:t>Entrepreneurial mindset III (customer awareness, decision-making, teamworking);</w:t>
      </w:r>
    </w:p>
    <w:p w14:paraId="5090AD8D" w14:textId="41F6B3FE" w:rsidR="00600C79" w:rsidRPr="004B03CB" w:rsidRDefault="00600C79" w:rsidP="004B03CB">
      <w:pPr>
        <w:pStyle w:val="a4"/>
        <w:ind w:firstLine="720"/>
        <w:contextualSpacing/>
        <w:jc w:val="both"/>
        <w:rPr>
          <w:sz w:val="28"/>
          <w:szCs w:val="28"/>
          <w:shd w:val="clear" w:color="auto" w:fill="FFFFFF"/>
          <w:lang w:val="en-US"/>
        </w:rPr>
      </w:pPr>
      <w:r w:rsidRPr="004B03CB">
        <w:rPr>
          <w:sz w:val="28"/>
          <w:szCs w:val="28"/>
          <w:shd w:val="clear" w:color="auto" w:fill="FFFFFF"/>
          <w:lang w:val="en-US"/>
        </w:rPr>
        <w:t>Entrepreneurial mindset</w:t>
      </w:r>
      <w:r w:rsidRPr="00244343">
        <w:rPr>
          <w:sz w:val="28"/>
          <w:szCs w:val="28"/>
          <w:lang w:val="en-US"/>
        </w:rPr>
        <w:t xml:space="preserve"> IV (self-directed research, life-long learning) [</w:t>
      </w:r>
      <w:r w:rsidR="00660E1F">
        <w:rPr>
          <w:sz w:val="28"/>
          <w:szCs w:val="28"/>
          <w:lang w:val="en-US"/>
        </w:rPr>
        <w:t>33</w:t>
      </w:r>
      <w:r w:rsidR="0046396C">
        <w:rPr>
          <w:sz w:val="28"/>
          <w:szCs w:val="28"/>
          <w:lang w:val="kk-KZ"/>
        </w:rPr>
        <w:t>1</w:t>
      </w:r>
      <w:r w:rsidR="00660E1F">
        <w:rPr>
          <w:sz w:val="28"/>
          <w:szCs w:val="28"/>
          <w:lang w:val="en-US"/>
        </w:rPr>
        <w:t>-33</w:t>
      </w:r>
      <w:r w:rsidR="0046396C">
        <w:rPr>
          <w:sz w:val="28"/>
          <w:szCs w:val="28"/>
          <w:lang w:val="kk-KZ"/>
        </w:rPr>
        <w:t>2</w:t>
      </w:r>
      <w:r w:rsidRPr="00244343">
        <w:rPr>
          <w:sz w:val="28"/>
          <w:szCs w:val="28"/>
          <w:lang w:val="en-US"/>
        </w:rPr>
        <w:t xml:space="preserve">]. Entrepreneurial mindset is essential element in future success and perspectives of the graduates` success according to some studies. This research advocates incorporating entrepreneurial abilities with practical applications throughout all engineering curricula </w:t>
      </w:r>
      <w:r w:rsidRPr="004B03CB">
        <w:rPr>
          <w:sz w:val="28"/>
          <w:szCs w:val="28"/>
          <w:shd w:val="clear" w:color="auto" w:fill="FFFFFF"/>
          <w:lang w:val="en-US"/>
        </w:rPr>
        <w:t>and university courses. It enhances the literature by being one of the few studies focusing on broadening engineering graduates' entrepreneurial prospects and guiding them into entrepreneurial initiatives. It also emphasizes the necessity of revising university engineering programs to incorporate entrepreneurial skills and competencies. [</w:t>
      </w:r>
      <w:r w:rsidR="00660E1F">
        <w:rPr>
          <w:sz w:val="28"/>
          <w:szCs w:val="28"/>
          <w:shd w:val="clear" w:color="auto" w:fill="FFFFFF"/>
          <w:lang w:val="en-US"/>
        </w:rPr>
        <w:t>33</w:t>
      </w:r>
      <w:r w:rsidR="0046396C">
        <w:rPr>
          <w:sz w:val="28"/>
          <w:szCs w:val="28"/>
          <w:shd w:val="clear" w:color="auto" w:fill="FFFFFF"/>
          <w:lang w:val="kk-KZ"/>
        </w:rPr>
        <w:t>3</w:t>
      </w:r>
      <w:r w:rsidR="00660E1F">
        <w:rPr>
          <w:sz w:val="28"/>
          <w:szCs w:val="28"/>
          <w:shd w:val="clear" w:color="auto" w:fill="FFFFFF"/>
          <w:lang w:val="en-US"/>
        </w:rPr>
        <w:t>-33</w:t>
      </w:r>
      <w:r w:rsidR="0046396C">
        <w:rPr>
          <w:sz w:val="28"/>
          <w:szCs w:val="28"/>
          <w:shd w:val="clear" w:color="auto" w:fill="FFFFFF"/>
          <w:lang w:val="kk-KZ"/>
        </w:rPr>
        <w:t>4</w:t>
      </w:r>
      <w:r w:rsidRPr="004B03CB">
        <w:rPr>
          <w:sz w:val="28"/>
          <w:szCs w:val="28"/>
          <w:shd w:val="clear" w:color="auto" w:fill="FFFFFF"/>
          <w:lang w:val="en-US"/>
        </w:rPr>
        <w:t>]; The other study also examines the integration of entrepreneurial competencies within the conventional engineering curriculum, acknowledging its potential impact on job creation. This study suggests a course design integrating project management with entrepreneurship, utilizing a challenge-based learning methodology [</w:t>
      </w:r>
      <w:r w:rsidR="00660E1F">
        <w:rPr>
          <w:sz w:val="28"/>
          <w:szCs w:val="28"/>
          <w:shd w:val="clear" w:color="auto" w:fill="FFFFFF"/>
          <w:lang w:val="en-US"/>
        </w:rPr>
        <w:t>33</w:t>
      </w:r>
      <w:r w:rsidR="0046396C">
        <w:rPr>
          <w:sz w:val="28"/>
          <w:szCs w:val="28"/>
          <w:shd w:val="clear" w:color="auto" w:fill="FFFFFF"/>
          <w:lang w:val="kk-KZ"/>
        </w:rPr>
        <w:t>5</w:t>
      </w:r>
      <w:r w:rsidRPr="004B03CB">
        <w:rPr>
          <w:sz w:val="28"/>
          <w:szCs w:val="28"/>
          <w:shd w:val="clear" w:color="auto" w:fill="FFFFFF"/>
          <w:lang w:val="en-US"/>
        </w:rPr>
        <w:t>].</w:t>
      </w:r>
    </w:p>
    <w:p w14:paraId="595EDFC0" w14:textId="11B5A2E7" w:rsidR="00600C79" w:rsidRPr="00244343" w:rsidRDefault="00600C79" w:rsidP="004B03CB">
      <w:pPr>
        <w:pStyle w:val="a4"/>
        <w:ind w:firstLine="720"/>
        <w:contextualSpacing/>
        <w:jc w:val="both"/>
        <w:rPr>
          <w:sz w:val="28"/>
          <w:szCs w:val="28"/>
          <w:lang w:val="en-US"/>
        </w:rPr>
      </w:pPr>
      <w:r w:rsidRPr="004B03CB">
        <w:rPr>
          <w:sz w:val="28"/>
          <w:szCs w:val="28"/>
          <w:shd w:val="clear" w:color="auto" w:fill="FFFFFF"/>
          <w:lang w:val="en-US"/>
        </w:rPr>
        <w:t>So, it should be taken throughout four years of study. Each year will cover and completes the set of necessary skills</w:t>
      </w:r>
      <w:r w:rsidRPr="00244343">
        <w:rPr>
          <w:sz w:val="28"/>
          <w:szCs w:val="28"/>
          <w:lang w:val="en-US"/>
        </w:rPr>
        <w:t xml:space="preserve"> for entrepreneurial mindset. However, the main point is to prepare the students to both positive and negative sides of entrepreneurship [</w:t>
      </w:r>
      <w:r w:rsidR="00660E1F">
        <w:rPr>
          <w:sz w:val="28"/>
          <w:szCs w:val="28"/>
          <w:lang w:val="en-US"/>
        </w:rPr>
        <w:t>33</w:t>
      </w:r>
      <w:r w:rsidR="0046396C">
        <w:rPr>
          <w:sz w:val="28"/>
          <w:szCs w:val="28"/>
          <w:lang w:val="kk-KZ"/>
        </w:rPr>
        <w:t>6</w:t>
      </w:r>
      <w:r w:rsidRPr="00660E1F">
        <w:rPr>
          <w:lang w:val="en-US"/>
        </w:rPr>
        <w:t>]</w:t>
      </w:r>
      <w:r w:rsidRPr="00244343">
        <w:rPr>
          <w:sz w:val="28"/>
          <w:szCs w:val="28"/>
          <w:lang w:val="en-US"/>
        </w:rPr>
        <w:t xml:space="preserve">, since the majority learning programs are designed to show and teach purely the positive side of the entrepreneurship, demonstrating that everyone could become an entrepreneur. The study's results by De </w:t>
      </w:r>
      <w:proofErr w:type="spellStart"/>
      <w:r w:rsidRPr="00244343">
        <w:rPr>
          <w:sz w:val="28"/>
          <w:szCs w:val="28"/>
          <w:lang w:val="en-US"/>
        </w:rPr>
        <w:t>Sordi</w:t>
      </w:r>
      <w:proofErr w:type="spellEnd"/>
      <w:r w:rsidRPr="00244343">
        <w:rPr>
          <w:sz w:val="28"/>
          <w:szCs w:val="28"/>
          <w:lang w:val="en-US"/>
        </w:rPr>
        <w:t xml:space="preserve"> J O et al addressed the disciplines, and the texts of the most utilized articles exhibit a greater prevalence of messages that support entrepreneurial endeavors. The adverse impacts or facets of entrepreneurship are treated superficially [</w:t>
      </w:r>
      <w:r w:rsidR="00660E1F">
        <w:rPr>
          <w:sz w:val="28"/>
          <w:szCs w:val="28"/>
          <w:lang w:val="en-US"/>
        </w:rPr>
        <w:t>33</w:t>
      </w:r>
      <w:r w:rsidR="0046396C">
        <w:rPr>
          <w:sz w:val="28"/>
          <w:szCs w:val="28"/>
          <w:lang w:val="kk-KZ"/>
        </w:rPr>
        <w:t>7</w:t>
      </w:r>
      <w:r w:rsidRPr="00244343">
        <w:rPr>
          <w:sz w:val="28"/>
          <w:szCs w:val="28"/>
          <w:lang w:val="en-US"/>
        </w:rPr>
        <w:t xml:space="preserve">]. </w:t>
      </w:r>
    </w:p>
    <w:p w14:paraId="27BAB5B3" w14:textId="45CAFCDF" w:rsidR="00600C79" w:rsidRPr="00244343" w:rsidRDefault="00600C79" w:rsidP="004B03CB">
      <w:pPr>
        <w:pStyle w:val="a4"/>
        <w:ind w:firstLine="720"/>
        <w:contextualSpacing/>
        <w:jc w:val="both"/>
        <w:rPr>
          <w:sz w:val="28"/>
          <w:szCs w:val="28"/>
          <w:lang w:val="en-US"/>
        </w:rPr>
      </w:pPr>
      <w:r w:rsidRPr="00244343">
        <w:rPr>
          <w:sz w:val="28"/>
          <w:szCs w:val="28"/>
          <w:lang w:val="en-US"/>
        </w:rPr>
        <w:t>Balanced curriculum and experiential learning are explored as the best alternatives for preparing future entrepreneurs. For instance, students can cultivate realistic expectations and coping strategies by discussing the negative aspects of entrepreneurship [</w:t>
      </w:r>
      <w:r w:rsidR="00660E1F">
        <w:rPr>
          <w:sz w:val="28"/>
          <w:szCs w:val="28"/>
          <w:lang w:val="en-US"/>
        </w:rPr>
        <w:t>3</w:t>
      </w:r>
      <w:r w:rsidR="006F00CD">
        <w:rPr>
          <w:sz w:val="28"/>
          <w:szCs w:val="28"/>
          <w:lang w:val="en-US"/>
        </w:rPr>
        <w:t>3</w:t>
      </w:r>
      <w:r w:rsidR="00626AC4">
        <w:rPr>
          <w:sz w:val="28"/>
          <w:szCs w:val="28"/>
          <w:lang w:val="kk-KZ"/>
        </w:rPr>
        <w:t>8</w:t>
      </w:r>
      <w:r w:rsidRPr="00244343">
        <w:rPr>
          <w:sz w:val="28"/>
          <w:szCs w:val="28"/>
          <w:lang w:val="en-US"/>
        </w:rPr>
        <w:t>]. By involving students in real-world scenarios that require them to confront negative experiences, their learning and resilience can be improved</w:t>
      </w:r>
      <w:r w:rsidR="004B03CB">
        <w:rPr>
          <w:sz w:val="28"/>
          <w:szCs w:val="28"/>
          <w:lang w:val="en-US"/>
        </w:rPr>
        <w:t xml:space="preserve"> </w:t>
      </w:r>
      <w:r w:rsidRPr="00244343">
        <w:rPr>
          <w:sz w:val="28"/>
          <w:szCs w:val="28"/>
          <w:lang w:val="en-US"/>
        </w:rPr>
        <w:t>[</w:t>
      </w:r>
      <w:r w:rsidR="00660E1F">
        <w:rPr>
          <w:sz w:val="28"/>
          <w:szCs w:val="28"/>
          <w:lang w:val="en-US"/>
        </w:rPr>
        <w:t>3</w:t>
      </w:r>
      <w:r w:rsidR="00626AC4">
        <w:rPr>
          <w:sz w:val="28"/>
          <w:szCs w:val="28"/>
          <w:lang w:val="kk-KZ"/>
        </w:rPr>
        <w:t>39</w:t>
      </w:r>
      <w:r w:rsidRPr="00244343">
        <w:rPr>
          <w:sz w:val="28"/>
          <w:szCs w:val="28"/>
          <w:lang w:val="en-US"/>
        </w:rPr>
        <w:t>].</w:t>
      </w:r>
    </w:p>
    <w:p w14:paraId="40D94B8D" w14:textId="50F92370" w:rsidR="00600C79" w:rsidRPr="00244343" w:rsidRDefault="00600C79" w:rsidP="004B03CB">
      <w:pPr>
        <w:pStyle w:val="a4"/>
        <w:ind w:firstLine="720"/>
        <w:contextualSpacing/>
        <w:jc w:val="both"/>
        <w:rPr>
          <w:sz w:val="28"/>
          <w:szCs w:val="28"/>
          <w:lang w:val="en-US"/>
        </w:rPr>
      </w:pPr>
      <w:r w:rsidRPr="00244343">
        <w:rPr>
          <w:sz w:val="28"/>
          <w:szCs w:val="28"/>
          <w:lang w:val="en-US"/>
        </w:rPr>
        <w:t>In contrast, some contend that emphasizing the negative aspects may discourage prospective entrepreneurs, resulting in a lack of economic development and innovation. It is crucial to adopt a balanced course to guarantee that students are</w:t>
      </w:r>
      <w:r w:rsidR="004B03CB">
        <w:rPr>
          <w:sz w:val="28"/>
          <w:szCs w:val="28"/>
          <w:lang w:val="en-US"/>
        </w:rPr>
        <w:t xml:space="preserve"> </w:t>
      </w:r>
      <w:r w:rsidRPr="00244343">
        <w:rPr>
          <w:sz w:val="28"/>
          <w:szCs w:val="28"/>
          <w:lang w:val="en-US"/>
        </w:rPr>
        <w:t>both motivated to pursue entrepreneurial endeavors and aware of the risks involved.</w:t>
      </w:r>
    </w:p>
    <w:p w14:paraId="6B342A8D" w14:textId="5822E359" w:rsidR="00600C79" w:rsidRPr="00244343" w:rsidRDefault="00600C79" w:rsidP="004B03CB">
      <w:pPr>
        <w:pStyle w:val="a4"/>
        <w:ind w:firstLine="720"/>
        <w:contextualSpacing/>
        <w:jc w:val="both"/>
        <w:rPr>
          <w:sz w:val="28"/>
          <w:szCs w:val="28"/>
          <w:lang w:val="en-US"/>
        </w:rPr>
      </w:pPr>
      <w:r w:rsidRPr="00244343">
        <w:rPr>
          <w:sz w:val="28"/>
          <w:szCs w:val="28"/>
          <w:lang w:val="en-US"/>
        </w:rPr>
        <w:lastRenderedPageBreak/>
        <w:t>Each of the skills into each academic entrepreneurial discipline should be designed to educate students to enterprises, and prepare them to different outcomes. As mentioned before, a myriads of EE objectives concentrate on educating students by shedding lights only on positive outcomes, although to become successful entrepreneur or employable graduate it is critical to be prepared for all negative</w:t>
      </w:r>
      <w:r w:rsidR="004B03CB">
        <w:rPr>
          <w:sz w:val="28"/>
          <w:szCs w:val="28"/>
          <w:lang w:val="en-US"/>
        </w:rPr>
        <w:t xml:space="preserve"> </w:t>
      </w:r>
      <w:r w:rsidRPr="00244343">
        <w:rPr>
          <w:sz w:val="28"/>
          <w:szCs w:val="28"/>
          <w:lang w:val="en-US"/>
        </w:rPr>
        <w:t xml:space="preserve">setbacks the students may encounter. </w:t>
      </w:r>
    </w:p>
    <w:p w14:paraId="4B514441" w14:textId="053DEFD8" w:rsidR="00600C79" w:rsidRPr="00244343" w:rsidRDefault="00600C79" w:rsidP="004B03CB">
      <w:pPr>
        <w:pStyle w:val="a4"/>
        <w:ind w:firstLine="720"/>
        <w:contextualSpacing/>
        <w:jc w:val="both"/>
        <w:rPr>
          <w:sz w:val="28"/>
          <w:szCs w:val="28"/>
          <w:lang w:val="en-US"/>
        </w:rPr>
      </w:pPr>
      <w:r w:rsidRPr="00244343">
        <w:rPr>
          <w:sz w:val="28"/>
          <w:szCs w:val="28"/>
          <w:lang w:val="en-US"/>
        </w:rPr>
        <w:t xml:space="preserve">At the end of each semester, every group of the students should have a mentor student (senior student). Peer mentorship in higher education is considered an effective strategy for promoting the success and retention of at-risk students. We aim to establish an educational environment conducive to authentic entrepreneurial learning by integrating these concepts. This approach was addressed in 11th International Conference on Technology, Education and Development (INTED) in 2017, by </w:t>
      </w:r>
      <w:proofErr w:type="spellStart"/>
      <w:r w:rsidRPr="00244343">
        <w:rPr>
          <w:sz w:val="28"/>
          <w:szCs w:val="28"/>
          <w:lang w:val="en-US"/>
        </w:rPr>
        <w:t>Voldsund</w:t>
      </w:r>
      <w:proofErr w:type="spellEnd"/>
      <w:r w:rsidRPr="00244343">
        <w:rPr>
          <w:sz w:val="28"/>
          <w:szCs w:val="28"/>
          <w:lang w:val="en-US"/>
        </w:rPr>
        <w:t xml:space="preserve">, KH and </w:t>
      </w:r>
      <w:proofErr w:type="spellStart"/>
      <w:r w:rsidRPr="00244343">
        <w:rPr>
          <w:sz w:val="28"/>
          <w:szCs w:val="28"/>
          <w:lang w:val="en-US"/>
        </w:rPr>
        <w:t>Bragelien</w:t>
      </w:r>
      <w:proofErr w:type="spellEnd"/>
      <w:r w:rsidRPr="00244343">
        <w:rPr>
          <w:sz w:val="28"/>
          <w:szCs w:val="28"/>
          <w:lang w:val="en-US"/>
        </w:rPr>
        <w:t>, JJ. T.</w:t>
      </w:r>
      <w:r>
        <w:rPr>
          <w:sz w:val="28"/>
          <w:szCs w:val="28"/>
          <w:lang w:val="en-US"/>
        </w:rPr>
        <w:t xml:space="preserve"> </w:t>
      </w:r>
      <w:r w:rsidRPr="00244343">
        <w:rPr>
          <w:sz w:val="28"/>
          <w:szCs w:val="28"/>
          <w:lang w:val="en-US"/>
        </w:rPr>
        <w:t>[</w:t>
      </w:r>
      <w:r w:rsidR="00660E1F">
        <w:rPr>
          <w:sz w:val="28"/>
          <w:szCs w:val="28"/>
          <w:lang w:val="en-US"/>
        </w:rPr>
        <w:t>34</w:t>
      </w:r>
      <w:r w:rsidR="00626AC4">
        <w:rPr>
          <w:sz w:val="28"/>
          <w:szCs w:val="28"/>
          <w:lang w:val="kk-KZ"/>
        </w:rPr>
        <w:t>0</w:t>
      </w:r>
      <w:r w:rsidRPr="00244343">
        <w:rPr>
          <w:sz w:val="28"/>
          <w:szCs w:val="28"/>
          <w:lang w:val="en-US"/>
        </w:rPr>
        <w:t>]. According to the research this method of peer integration was successfully employed. The investigation yielded a diminished stated scope of the subject or enhanced expertise. The grade results appear to have improved. Students supervised by mentors fulfil a duty that lecturers do not owe due to (1) age disparity and (2) The lecturer will evaluate the students,</w:t>
      </w:r>
      <w:r w:rsidR="004B03CB">
        <w:rPr>
          <w:sz w:val="28"/>
          <w:szCs w:val="28"/>
          <w:lang w:val="en-US"/>
        </w:rPr>
        <w:t xml:space="preserve"> </w:t>
      </w:r>
      <w:r w:rsidRPr="00244343">
        <w:rPr>
          <w:sz w:val="28"/>
          <w:szCs w:val="28"/>
          <w:lang w:val="en-US"/>
        </w:rPr>
        <w:t>who may be hesitant to pose inquiries.</w:t>
      </w:r>
    </w:p>
    <w:p w14:paraId="07B45426" w14:textId="0034E0D1" w:rsidR="00600C79" w:rsidRPr="00244343" w:rsidRDefault="00600C79" w:rsidP="004B03CB">
      <w:pPr>
        <w:pStyle w:val="a4"/>
        <w:ind w:firstLine="720"/>
        <w:contextualSpacing/>
        <w:jc w:val="both"/>
        <w:rPr>
          <w:sz w:val="28"/>
          <w:szCs w:val="28"/>
          <w:lang w:val="en-US"/>
        </w:rPr>
      </w:pPr>
      <w:r w:rsidRPr="00244343">
        <w:rPr>
          <w:sz w:val="28"/>
          <w:szCs w:val="28"/>
          <w:lang w:val="en-US"/>
        </w:rPr>
        <w:t xml:space="preserve"> Furthermore, the paper above examines students' attitudes and performance when utilizing peer mentors in the ING101 Technology Management, Economics, and Innovation course at Bergen University College, known as Western University for Applied Sciences (HVL) in Norway. The course is designed for undergraduate students outside of the business discipline. The objective is to enhance students' collaborative processes and engagement with a challenging semester task wherein</w:t>
      </w:r>
      <w:r w:rsidR="004B03CB">
        <w:rPr>
          <w:sz w:val="28"/>
          <w:szCs w:val="28"/>
          <w:lang w:val="en-US"/>
        </w:rPr>
        <w:t xml:space="preserve"> </w:t>
      </w:r>
      <w:r w:rsidRPr="00244343">
        <w:rPr>
          <w:sz w:val="28"/>
          <w:szCs w:val="28"/>
          <w:lang w:val="en-US"/>
        </w:rPr>
        <w:t>the groups apply theoretical concepts in practice.</w:t>
      </w:r>
    </w:p>
    <w:p w14:paraId="2C0CE3D0" w14:textId="77777777" w:rsidR="00600C79" w:rsidRPr="00244343" w:rsidRDefault="00600C79" w:rsidP="004B03CB">
      <w:pPr>
        <w:pStyle w:val="a4"/>
        <w:ind w:firstLine="720"/>
        <w:contextualSpacing/>
        <w:jc w:val="both"/>
        <w:rPr>
          <w:sz w:val="28"/>
          <w:szCs w:val="28"/>
          <w:lang w:val="en-US"/>
        </w:rPr>
      </w:pPr>
      <w:r w:rsidRPr="00244343">
        <w:rPr>
          <w:sz w:val="28"/>
          <w:szCs w:val="28"/>
          <w:lang w:val="en-US"/>
        </w:rPr>
        <w:t xml:space="preserve">The student demographic comprises engineering students participating in a mandatory entrepreneurship course featuring practical components. The course, titled ING 101 Technology Management, with 10 ECTS credits, is offered at Bergen University College, known as Western University of Applied Sciences (HVL), and blends conventional lectures with experience learning. Conventional lectures enable students to grasp subjects' academic and theoretical dimensions while applying theory, facilitating experiential learning. The course is intended for all engineering students at HVL in the bachelor's program, specifically those in the 3rd to 6th semester. This course seeks to convert concepts into a viable company idea, refine a business model, compose a business plan, and deliver an "elevator pitch" to a panel of investors and Technology Transfer Of icers (TTO). Students acquire proficiency in utilizing innovative tools and adopt a pragmatic approach to collaboratively develop a realistic business plan in teams of 2-5 members. A unified platform for collaboration and communication between lecturers and student mentors was established. </w:t>
      </w:r>
    </w:p>
    <w:p w14:paraId="058C6A46" w14:textId="6F65A69D" w:rsidR="00600C79" w:rsidRPr="00244343" w:rsidRDefault="00600C79" w:rsidP="004B03CB">
      <w:pPr>
        <w:pStyle w:val="a4"/>
        <w:ind w:firstLine="720"/>
        <w:contextualSpacing/>
        <w:jc w:val="both"/>
        <w:rPr>
          <w:sz w:val="28"/>
          <w:szCs w:val="28"/>
          <w:lang w:val="en-US"/>
        </w:rPr>
      </w:pPr>
      <w:r w:rsidRPr="00244343">
        <w:rPr>
          <w:sz w:val="28"/>
          <w:szCs w:val="28"/>
          <w:lang w:val="en-US"/>
        </w:rPr>
        <w:t xml:space="preserve">Over the past decade, the instructors at Bergen University College have guided student groups in innovation and entrepreneur hip courses. Last semester, we engaged student mentors in ING101, who concentrate on students' work regarding the term assignment and group dynamics. Those recruited as student mentors had </w:t>
      </w:r>
      <w:r w:rsidRPr="00244343">
        <w:rPr>
          <w:sz w:val="28"/>
          <w:szCs w:val="28"/>
          <w:lang w:val="en-US"/>
        </w:rPr>
        <w:lastRenderedPageBreak/>
        <w:t>prior experience in the course and were master's students in innovation. Their duties included various tasks. For example, coordinating meetings with student groups, inquiring about their evaluations, and assessing the progress within the groups to facilitate the students' requests for help. It was indispensable for all student groups to meet their mentor, although they could decide the extent of assistance they desired to request. The student mentors were required to experience both optional and mandatory assessments. A unified platform for collaboration and communication</w:t>
      </w:r>
      <w:r w:rsidR="004B03CB">
        <w:rPr>
          <w:sz w:val="28"/>
          <w:szCs w:val="28"/>
          <w:lang w:val="en-US"/>
        </w:rPr>
        <w:t xml:space="preserve"> </w:t>
      </w:r>
      <w:r w:rsidRPr="00244343">
        <w:rPr>
          <w:sz w:val="28"/>
          <w:szCs w:val="28"/>
          <w:lang w:val="en-US"/>
        </w:rPr>
        <w:t xml:space="preserve">between lecturers and student mentors was established. </w:t>
      </w:r>
    </w:p>
    <w:p w14:paraId="76D5AC62" w14:textId="77777777" w:rsidR="00600C79" w:rsidRPr="00244343" w:rsidRDefault="00600C79" w:rsidP="004B03CB">
      <w:pPr>
        <w:pStyle w:val="a4"/>
        <w:ind w:firstLine="720"/>
        <w:contextualSpacing/>
        <w:jc w:val="both"/>
        <w:rPr>
          <w:sz w:val="28"/>
          <w:szCs w:val="28"/>
          <w:lang w:val="en-US"/>
        </w:rPr>
      </w:pPr>
      <w:r w:rsidRPr="00244343">
        <w:rPr>
          <w:sz w:val="28"/>
          <w:szCs w:val="28"/>
          <w:lang w:val="en-US"/>
        </w:rPr>
        <w:t xml:space="preserve">The Kazakhstani universities could adopt the same tactic, if not a unified platform, but students peer mentorship. </w:t>
      </w:r>
    </w:p>
    <w:p w14:paraId="7E432B33" w14:textId="77777777" w:rsidR="00600C79" w:rsidRPr="00244343" w:rsidRDefault="00600C79" w:rsidP="004B03CB">
      <w:pPr>
        <w:pStyle w:val="a4"/>
        <w:ind w:firstLine="720"/>
        <w:contextualSpacing/>
        <w:jc w:val="both"/>
        <w:rPr>
          <w:sz w:val="28"/>
          <w:szCs w:val="28"/>
          <w:lang w:val="en-US"/>
        </w:rPr>
      </w:pPr>
      <w:r w:rsidRPr="00244343">
        <w:rPr>
          <w:sz w:val="28"/>
          <w:szCs w:val="28"/>
          <w:lang w:val="en-US"/>
        </w:rPr>
        <w:t>We offer a peer mentorship at the end of each semester of given disciplines, but at 4</w:t>
      </w:r>
      <w:r w:rsidRPr="004B03CB">
        <w:rPr>
          <w:sz w:val="28"/>
          <w:szCs w:val="28"/>
          <w:lang w:val="en-US"/>
        </w:rPr>
        <w:t>th</w:t>
      </w:r>
      <w:r w:rsidRPr="00244343">
        <w:rPr>
          <w:sz w:val="28"/>
          <w:szCs w:val="28"/>
          <w:lang w:val="en-US"/>
        </w:rPr>
        <w:t xml:space="preserve"> year study to integrate mentors from </w:t>
      </w:r>
      <w:r w:rsidRPr="004B03CB">
        <w:rPr>
          <w:sz w:val="28"/>
          <w:szCs w:val="28"/>
          <w:lang w:val="en-US"/>
        </w:rPr>
        <w:t>real</w:t>
      </w:r>
      <w:r w:rsidRPr="00244343">
        <w:rPr>
          <w:sz w:val="28"/>
          <w:szCs w:val="28"/>
          <w:lang w:val="en-US"/>
        </w:rPr>
        <w:t xml:space="preserve"> world business owners.</w:t>
      </w:r>
    </w:p>
    <w:p w14:paraId="71DD509D" w14:textId="77777777" w:rsidR="00600C79" w:rsidRPr="00244343" w:rsidRDefault="00600C79" w:rsidP="004B03CB">
      <w:pPr>
        <w:pStyle w:val="a4"/>
        <w:ind w:firstLine="720"/>
        <w:contextualSpacing/>
        <w:jc w:val="both"/>
        <w:rPr>
          <w:sz w:val="28"/>
          <w:szCs w:val="28"/>
          <w:lang w:val="en-US"/>
        </w:rPr>
      </w:pPr>
      <w:r w:rsidRPr="00244343">
        <w:rPr>
          <w:sz w:val="28"/>
          <w:szCs w:val="28"/>
          <w:lang w:val="en-US"/>
        </w:rPr>
        <w:t xml:space="preserve">Various mentoring and tutorship strategies are implemented at each stage in different universities depending on the direction they hold. </w:t>
      </w:r>
    </w:p>
    <w:p w14:paraId="526A986F" w14:textId="77777777" w:rsidR="00600C79" w:rsidRPr="006D3B40" w:rsidRDefault="00600C79" w:rsidP="004B03CB">
      <w:pPr>
        <w:pStyle w:val="a4"/>
        <w:ind w:firstLine="720"/>
        <w:contextualSpacing/>
        <w:jc w:val="both"/>
        <w:rPr>
          <w:sz w:val="28"/>
          <w:szCs w:val="28"/>
          <w:lang w:val="en-US"/>
        </w:rPr>
      </w:pPr>
      <w:r w:rsidRPr="006D3B40">
        <w:rPr>
          <w:sz w:val="28"/>
          <w:szCs w:val="28"/>
          <w:lang w:val="en-US"/>
        </w:rPr>
        <w:t>Option 3- Gamifying the goal-achieving process:</w:t>
      </w:r>
    </w:p>
    <w:p w14:paraId="5E66CED6" w14:textId="55CD6B31" w:rsidR="00600C79" w:rsidRPr="00244343" w:rsidRDefault="00600C79" w:rsidP="004B03CB">
      <w:pPr>
        <w:pStyle w:val="a4"/>
        <w:ind w:firstLine="720"/>
        <w:contextualSpacing/>
        <w:jc w:val="both"/>
        <w:rPr>
          <w:sz w:val="28"/>
          <w:szCs w:val="28"/>
          <w:lang w:val="en-US"/>
        </w:rPr>
      </w:pPr>
      <w:r w:rsidRPr="00244343">
        <w:rPr>
          <w:sz w:val="28"/>
          <w:szCs w:val="28"/>
          <w:lang w:val="en-US"/>
        </w:rPr>
        <w:t>Integrating goal-gradient effect [</w:t>
      </w:r>
      <w:r w:rsidR="00660E1F">
        <w:rPr>
          <w:sz w:val="28"/>
          <w:szCs w:val="28"/>
          <w:lang w:val="en-US"/>
        </w:rPr>
        <w:t>34</w:t>
      </w:r>
      <w:r w:rsidR="00626AC4">
        <w:rPr>
          <w:sz w:val="28"/>
          <w:szCs w:val="28"/>
          <w:lang w:val="kk-KZ"/>
        </w:rPr>
        <w:t>1</w:t>
      </w:r>
      <w:r w:rsidRPr="00244343">
        <w:rPr>
          <w:sz w:val="28"/>
          <w:szCs w:val="28"/>
          <w:lang w:val="en-US"/>
        </w:rPr>
        <w:t>] scale into the whole system of learning platform applied for all disciplines. However, to escape the final grading condition, but task completion effect. The implementation of this option calls for changes in entire grading system, learning program policy in educational system, adaptation and HEI stuff resilience. Although it could be a challenging to integrate and implement the system of goal- gradient effect in education, other fields of groundbreaking successful businesses ever (Starbucks, Uber, Coursera (MOOC),</w:t>
      </w:r>
      <w:r>
        <w:rPr>
          <w:sz w:val="28"/>
          <w:szCs w:val="28"/>
          <w:lang w:val="en-US"/>
        </w:rPr>
        <w:t xml:space="preserve"> </w:t>
      </w:r>
      <w:r w:rsidRPr="00244343">
        <w:rPr>
          <w:sz w:val="28"/>
          <w:szCs w:val="28"/>
          <w:lang w:val="en-US"/>
        </w:rPr>
        <w:t xml:space="preserve">Moodle, LinkedIn, </w:t>
      </w:r>
      <w:proofErr w:type="spellStart"/>
      <w:r w:rsidRPr="00244343">
        <w:rPr>
          <w:sz w:val="28"/>
          <w:szCs w:val="28"/>
          <w:lang w:val="en-US"/>
        </w:rPr>
        <w:t>DuoLingo</w:t>
      </w:r>
      <w:proofErr w:type="spellEnd"/>
      <w:r w:rsidRPr="00244343">
        <w:rPr>
          <w:sz w:val="28"/>
          <w:szCs w:val="28"/>
          <w:lang w:val="en-US"/>
        </w:rPr>
        <w:t xml:space="preserve">, online banking services, and many other examples) probably succeed in their businesses because the leverage of behavioral psychology. Put it simply, goal-gradient effect is a visual tool that visually boost your motivation to complete the assignment or whatever goal is. And one more option to manage the effort of the students. </w:t>
      </w:r>
    </w:p>
    <w:p w14:paraId="5EBC44ED" w14:textId="6BD4F579" w:rsidR="00600C79" w:rsidRPr="00244343" w:rsidRDefault="00600C79" w:rsidP="00690084">
      <w:pPr>
        <w:pStyle w:val="a4"/>
        <w:ind w:firstLine="720"/>
        <w:contextualSpacing/>
        <w:jc w:val="both"/>
        <w:rPr>
          <w:sz w:val="28"/>
          <w:szCs w:val="28"/>
          <w:lang w:val="en-US"/>
        </w:rPr>
      </w:pPr>
      <w:r w:rsidRPr="00244343">
        <w:rPr>
          <w:sz w:val="28"/>
          <w:szCs w:val="28"/>
          <w:lang w:val="en-US"/>
        </w:rPr>
        <w:t>The hypothesis, an extension of Hull's goal reaction hypothesis, posits that the goal reaction is most strongly conditioned to the preceding stimuli. In contrast, the other reactions in the sequence are conditioned to their stimuli, with the strength of conditioning inversely proportional to their temporal or spatial distance from the goal reaction. It presumes a gradient, which pertains to the objective, so he designates it as a goal-gradient. This gradient's shape is demonstrated, referencing Yoshioka's experiment on rat maze pathway selection to be positively accelerated and to adhere to the logarithmic law. The author infers ten observable behavioral events from his approach, including the selection of shorter routes, the sequence of discarding dead ends, and the varying rates of movement in different sections of the</w:t>
      </w:r>
      <w:r w:rsidR="00690084">
        <w:rPr>
          <w:sz w:val="28"/>
          <w:szCs w:val="28"/>
          <w:lang w:val="en-US"/>
        </w:rPr>
        <w:t xml:space="preserve"> </w:t>
      </w:r>
      <w:r w:rsidRPr="00244343">
        <w:rPr>
          <w:sz w:val="28"/>
          <w:szCs w:val="28"/>
          <w:lang w:val="en-US"/>
        </w:rPr>
        <w:t>maze.</w:t>
      </w:r>
    </w:p>
    <w:p w14:paraId="77AD189A" w14:textId="0E744982" w:rsidR="00600C79" w:rsidRPr="00244343" w:rsidRDefault="00600C79" w:rsidP="00690084">
      <w:pPr>
        <w:pStyle w:val="a4"/>
        <w:ind w:firstLine="720"/>
        <w:contextualSpacing/>
        <w:jc w:val="both"/>
        <w:rPr>
          <w:sz w:val="28"/>
          <w:szCs w:val="28"/>
          <w:lang w:val="en-US"/>
        </w:rPr>
      </w:pPr>
      <w:r w:rsidRPr="00244343">
        <w:rPr>
          <w:sz w:val="28"/>
          <w:szCs w:val="28"/>
          <w:lang w:val="en-US"/>
        </w:rPr>
        <w:t>It is all about effort put whenever an individual sees he is closer to the goal, the person`s effort increases [</w:t>
      </w:r>
      <w:r w:rsidR="00660E1F">
        <w:rPr>
          <w:sz w:val="28"/>
          <w:szCs w:val="28"/>
          <w:lang w:val="en-US"/>
        </w:rPr>
        <w:t>34</w:t>
      </w:r>
      <w:r w:rsidR="00626AC4">
        <w:rPr>
          <w:sz w:val="28"/>
          <w:szCs w:val="28"/>
          <w:lang w:val="kk-KZ"/>
        </w:rPr>
        <w:t>2</w:t>
      </w:r>
      <w:r w:rsidR="00660E1F">
        <w:rPr>
          <w:sz w:val="28"/>
          <w:szCs w:val="28"/>
          <w:lang w:val="en-US"/>
        </w:rPr>
        <w:t>-34</w:t>
      </w:r>
      <w:r w:rsidR="00626AC4">
        <w:rPr>
          <w:sz w:val="28"/>
          <w:szCs w:val="28"/>
          <w:lang w:val="kk-KZ"/>
        </w:rPr>
        <w:t>4</w:t>
      </w:r>
      <w:r w:rsidRPr="00244343">
        <w:rPr>
          <w:sz w:val="28"/>
          <w:szCs w:val="28"/>
          <w:lang w:val="en-US"/>
        </w:rPr>
        <w:t xml:space="preserve">]. </w:t>
      </w:r>
      <w:proofErr w:type="spellStart"/>
      <w:r w:rsidRPr="00244343">
        <w:rPr>
          <w:sz w:val="28"/>
          <w:szCs w:val="28"/>
          <w:lang w:val="en-US"/>
        </w:rPr>
        <w:t>Cryder</w:t>
      </w:r>
      <w:proofErr w:type="spellEnd"/>
      <w:r w:rsidRPr="00244343">
        <w:rPr>
          <w:sz w:val="28"/>
          <w:szCs w:val="28"/>
          <w:lang w:val="en-US"/>
        </w:rPr>
        <w:t xml:space="preserve"> et al in their published paper put it simply, according to research individuals are increasingly inclined to contribute when humanitarian initiatives near their objectives</w:t>
      </w:r>
      <w:r w:rsidR="00660E1F">
        <w:rPr>
          <w:sz w:val="28"/>
          <w:szCs w:val="28"/>
          <w:lang w:val="en-US"/>
        </w:rPr>
        <w:t xml:space="preserve"> [34</w:t>
      </w:r>
      <w:r w:rsidR="00626AC4">
        <w:rPr>
          <w:sz w:val="28"/>
          <w:szCs w:val="28"/>
          <w:lang w:val="kk-KZ"/>
        </w:rPr>
        <w:t>5</w:t>
      </w:r>
      <w:r w:rsidR="00660E1F">
        <w:rPr>
          <w:sz w:val="28"/>
          <w:szCs w:val="28"/>
          <w:lang w:val="en-US"/>
        </w:rPr>
        <w:t>]</w:t>
      </w:r>
      <w:r w:rsidRPr="00244343">
        <w:rPr>
          <w:sz w:val="28"/>
          <w:szCs w:val="28"/>
          <w:lang w:val="en-US"/>
        </w:rPr>
        <w:t xml:space="preserve">. This "goal gradient helping" phenomenon arises partly because late-stage contributions enhance donors' perception of personal influence, serving as a significant source of gratification from </w:t>
      </w:r>
      <w:r w:rsidRPr="00244343">
        <w:rPr>
          <w:sz w:val="28"/>
          <w:szCs w:val="28"/>
          <w:lang w:val="en-US"/>
        </w:rPr>
        <w:lastRenderedPageBreak/>
        <w:t>altruistic actions. Three research examined the idea that regulatory focus, both as a stable individual characteristic and as a modified situational factor, significantly influences the intensity of participants' approach and avoidance strategic motivations as they near their goals</w:t>
      </w:r>
      <w:r w:rsidR="00660E1F">
        <w:rPr>
          <w:sz w:val="28"/>
          <w:szCs w:val="28"/>
          <w:lang w:val="en-US"/>
        </w:rPr>
        <w:t xml:space="preserve"> [34</w:t>
      </w:r>
      <w:r w:rsidR="008966DD">
        <w:rPr>
          <w:sz w:val="28"/>
          <w:szCs w:val="28"/>
          <w:lang w:val="kk-KZ"/>
        </w:rPr>
        <w:t>6</w:t>
      </w:r>
      <w:r w:rsidR="00660E1F">
        <w:rPr>
          <w:sz w:val="28"/>
          <w:szCs w:val="28"/>
          <w:lang w:val="en-US"/>
        </w:rPr>
        <w:t>]</w:t>
      </w:r>
      <w:r w:rsidRPr="00244343">
        <w:rPr>
          <w:sz w:val="28"/>
          <w:szCs w:val="28"/>
          <w:lang w:val="en-US"/>
        </w:rPr>
        <w:t xml:space="preserve">. In two experiments, flexion and extension arm pressure were real-time approach and avoidance intensity indicators, respectively. The approach gradient was steeper for participants with a promotion focus on ambitions and gains than those with a prevention focus on duties and </w:t>
      </w:r>
      <w:proofErr w:type="spellStart"/>
      <w:r w:rsidRPr="00244343">
        <w:rPr>
          <w:sz w:val="28"/>
          <w:szCs w:val="28"/>
          <w:lang w:val="en-US"/>
        </w:rPr>
        <w:t>nonlosses</w:t>
      </w:r>
      <w:proofErr w:type="spellEnd"/>
      <w:r w:rsidRPr="00244343">
        <w:rPr>
          <w:sz w:val="28"/>
          <w:szCs w:val="28"/>
          <w:lang w:val="en-US"/>
        </w:rPr>
        <w:t>. In contrast, the opposite was marked for the avoidance gradient. A third study revealed consistent results on a persistence measure of motivational strength. Participants with a promotion emphasis engaged in anagrams for longer while utilizing approach means for goal attainment compared to avoidance methods. In contrast, the opposite was observed for participants with a prevention focus. Interesting research conducted by Peter J. Frost and Thomas A. Mahoney</w:t>
      </w:r>
      <w:r w:rsidR="00660E1F">
        <w:rPr>
          <w:sz w:val="28"/>
          <w:szCs w:val="28"/>
          <w:lang w:val="en-US"/>
        </w:rPr>
        <w:t xml:space="preserve"> </w:t>
      </w:r>
      <w:r w:rsidRPr="00244343">
        <w:rPr>
          <w:sz w:val="28"/>
          <w:szCs w:val="28"/>
          <w:lang w:val="en-US"/>
        </w:rPr>
        <w:t>underpins the links between goals and performance examined in this laboratory study considers how the complexity and difficulty of assigned goals and the frequency of performance intervals set aside for task completion affect each individual's performance</w:t>
      </w:r>
      <w:r w:rsidR="00660E1F">
        <w:rPr>
          <w:sz w:val="28"/>
          <w:szCs w:val="28"/>
          <w:lang w:val="en-US"/>
        </w:rPr>
        <w:t xml:space="preserve"> [34</w:t>
      </w:r>
      <w:r w:rsidR="008966DD">
        <w:rPr>
          <w:sz w:val="28"/>
          <w:szCs w:val="28"/>
          <w:lang w:val="kk-KZ"/>
        </w:rPr>
        <w:t>7</w:t>
      </w:r>
      <w:r w:rsidR="00660E1F">
        <w:rPr>
          <w:sz w:val="28"/>
          <w:szCs w:val="28"/>
          <w:lang w:val="en-US"/>
        </w:rPr>
        <w:t>]</w:t>
      </w:r>
      <w:r w:rsidRPr="00244343">
        <w:rPr>
          <w:sz w:val="28"/>
          <w:szCs w:val="28"/>
          <w:lang w:val="en-US"/>
        </w:rPr>
        <w:t xml:space="preserve">. The prescriptive nature of the task process involved was believed to impact the structure of these interactions. The task process was identified as a differentiator of some goal-performance variables. Individual regulation improved performance on a fixed process task but had no noticeable effect on a problem-solving task (nonprescribed, variable process); focusing on a specific goal improved the problem-solving task but had no noticeable effect on the repetitive task. An examination of the 240 subjects in the experimental group, categorized post hoc into low and high task interest, revealed that subjects with high interest consistently outperformed those with low interest across all tasks. The findings indicate a distinct locus of interest, externally driven in a repetitive task and internal to a problem-solving task. It proves that goal-gradient works to enhance the task performance (increased motivation to complete), except the repetitive tasks. </w:t>
      </w:r>
    </w:p>
    <w:p w14:paraId="4695CA59" w14:textId="4484A716" w:rsidR="00600C79" w:rsidRPr="00244343" w:rsidRDefault="00600C79" w:rsidP="009A1777">
      <w:pPr>
        <w:pStyle w:val="a4"/>
        <w:ind w:firstLine="720"/>
        <w:contextualSpacing/>
        <w:jc w:val="both"/>
        <w:rPr>
          <w:sz w:val="28"/>
          <w:szCs w:val="28"/>
          <w:lang w:val="en-US"/>
        </w:rPr>
      </w:pPr>
      <w:r w:rsidRPr="00244343">
        <w:rPr>
          <w:sz w:val="28"/>
          <w:szCs w:val="28"/>
          <w:lang w:val="en-US"/>
        </w:rPr>
        <w:t xml:space="preserve">A notable study in 1977 by </w:t>
      </w:r>
      <w:proofErr w:type="spellStart"/>
      <w:r w:rsidRPr="00244343">
        <w:rPr>
          <w:sz w:val="28"/>
          <w:szCs w:val="28"/>
          <w:lang w:val="en-US"/>
        </w:rPr>
        <w:t>Losco</w:t>
      </w:r>
      <w:proofErr w:type="spellEnd"/>
      <w:r w:rsidRPr="00244343">
        <w:rPr>
          <w:sz w:val="28"/>
          <w:szCs w:val="28"/>
          <w:lang w:val="en-US"/>
        </w:rPr>
        <w:t>, J., &amp; Epstein, S.</w:t>
      </w:r>
      <w:r w:rsidR="00660E1F">
        <w:rPr>
          <w:sz w:val="28"/>
          <w:szCs w:val="28"/>
          <w:lang w:val="en-US"/>
        </w:rPr>
        <w:t xml:space="preserve"> </w:t>
      </w:r>
      <w:r w:rsidRPr="00244343">
        <w:rPr>
          <w:sz w:val="28"/>
          <w:szCs w:val="28"/>
          <w:lang w:val="en-US"/>
        </w:rPr>
        <w:t>illustrates that the experimental design allowed for the analysis of height and steepness of arousal gradients as a function of (a) incentive magnitude while maintaining constant valence and quality of incentive; and (b) incentive valence, while keeping magnitude and quality of incentive constant</w:t>
      </w:r>
      <w:r w:rsidR="00660E1F">
        <w:rPr>
          <w:sz w:val="28"/>
          <w:szCs w:val="28"/>
          <w:lang w:val="en-US"/>
        </w:rPr>
        <w:t xml:space="preserve"> [3</w:t>
      </w:r>
      <w:r w:rsidR="006F00CD">
        <w:rPr>
          <w:sz w:val="28"/>
          <w:szCs w:val="28"/>
          <w:lang w:val="en-US"/>
        </w:rPr>
        <w:t>4</w:t>
      </w:r>
      <w:r w:rsidR="00C77A97">
        <w:rPr>
          <w:sz w:val="28"/>
          <w:szCs w:val="28"/>
          <w:lang w:val="kk-KZ"/>
        </w:rPr>
        <w:t>8</w:t>
      </w:r>
      <w:r w:rsidR="00660E1F">
        <w:rPr>
          <w:sz w:val="28"/>
          <w:szCs w:val="28"/>
          <w:lang w:val="en-US"/>
        </w:rPr>
        <w:t>]</w:t>
      </w:r>
      <w:r w:rsidRPr="00244343">
        <w:rPr>
          <w:sz w:val="28"/>
          <w:szCs w:val="28"/>
          <w:lang w:val="en-US"/>
        </w:rPr>
        <w:t>. An augmentation in incentive elevated both the gradient slope and the magnitude of approach and avoidance arousal. The results support N. E. Miller's (which were published in 1944, 1959 respectively) hypothesis that motive strength operates as a multiplicative function of drive-related stimuli and an internal condition rather than an additive function</w:t>
      </w:r>
      <w:r w:rsidR="00660E1F">
        <w:rPr>
          <w:sz w:val="28"/>
          <w:szCs w:val="28"/>
          <w:lang w:val="en-US"/>
        </w:rPr>
        <w:t xml:space="preserve"> [3</w:t>
      </w:r>
      <w:r w:rsidR="00C77A97">
        <w:rPr>
          <w:sz w:val="28"/>
          <w:szCs w:val="28"/>
          <w:lang w:val="kk-KZ"/>
        </w:rPr>
        <w:t>49</w:t>
      </w:r>
      <w:r w:rsidR="00660E1F">
        <w:rPr>
          <w:sz w:val="28"/>
          <w:szCs w:val="28"/>
          <w:lang w:val="en-US"/>
        </w:rPr>
        <w:t>-35</w:t>
      </w:r>
      <w:r w:rsidR="00C77A97">
        <w:rPr>
          <w:sz w:val="28"/>
          <w:szCs w:val="28"/>
          <w:lang w:val="kk-KZ"/>
        </w:rPr>
        <w:t>0</w:t>
      </w:r>
      <w:r w:rsidR="00660E1F">
        <w:rPr>
          <w:sz w:val="28"/>
          <w:szCs w:val="28"/>
          <w:lang w:val="en-US"/>
        </w:rPr>
        <w:t>]</w:t>
      </w:r>
      <w:r w:rsidRPr="00244343">
        <w:rPr>
          <w:sz w:val="28"/>
          <w:szCs w:val="28"/>
          <w:lang w:val="en-US"/>
        </w:rPr>
        <w:t xml:space="preserve">. Avoidance gradients were markedly steeper than approach gradients; however, the effect lacked robustness and showed considerable variability among subjects, with some demonstrating significantly steeper approach gradients than avoidance gradients. It is found that while avoidance gradients may inherently be steeper than approach gradients, this inclination is weak and readily reversible, resulting in "avoidance-approach" conflict. This sort of contradiction has significant theoretical and practical </w:t>
      </w:r>
      <w:r w:rsidRPr="00244343">
        <w:rPr>
          <w:sz w:val="28"/>
          <w:szCs w:val="28"/>
          <w:lang w:val="en-US"/>
        </w:rPr>
        <w:lastRenderedPageBreak/>
        <w:t>ramifications that have been overlooked due to the unthinking acceptance of the</w:t>
      </w:r>
      <w:r w:rsidR="009A1777" w:rsidRPr="009A1777">
        <w:rPr>
          <w:sz w:val="28"/>
          <w:szCs w:val="28"/>
          <w:lang w:val="en-US"/>
        </w:rPr>
        <w:t xml:space="preserve"> </w:t>
      </w:r>
      <w:r w:rsidRPr="00244343">
        <w:rPr>
          <w:sz w:val="28"/>
          <w:szCs w:val="28"/>
          <w:lang w:val="en-US"/>
        </w:rPr>
        <w:t xml:space="preserve">premise that avoidance gradients are consistently steeper than approach gradients. </w:t>
      </w:r>
    </w:p>
    <w:p w14:paraId="57598F25" w14:textId="5F9DE046" w:rsidR="009A1777" w:rsidRDefault="00600C79" w:rsidP="009A1777">
      <w:pPr>
        <w:pStyle w:val="a4"/>
        <w:ind w:firstLine="720"/>
        <w:contextualSpacing/>
        <w:jc w:val="both"/>
        <w:rPr>
          <w:sz w:val="28"/>
          <w:szCs w:val="28"/>
          <w:lang w:val="en-US"/>
        </w:rPr>
      </w:pPr>
      <w:r w:rsidRPr="00244343">
        <w:rPr>
          <w:sz w:val="28"/>
          <w:szCs w:val="28"/>
          <w:lang w:val="en-US"/>
        </w:rPr>
        <w:t xml:space="preserve">Customers exert more significant effort as they approach the attainment of incentives. Our study investigated how varying descriptions of incentives under varied temporal distances may influence this impact. It utilized the temporal construal theory for several purposes. The study employed investigates the impact of the preferred description on the motivation underlying customers' goal-gradient </w:t>
      </w:r>
      <w:proofErr w:type="spellStart"/>
      <w:r w:rsidRPr="00244343">
        <w:rPr>
          <w:sz w:val="28"/>
          <w:szCs w:val="28"/>
          <w:lang w:val="en-US"/>
        </w:rPr>
        <w:t>behaviour</w:t>
      </w:r>
      <w:proofErr w:type="spellEnd"/>
      <w:r w:rsidRPr="00244343">
        <w:rPr>
          <w:sz w:val="28"/>
          <w:szCs w:val="28"/>
          <w:lang w:val="en-US"/>
        </w:rPr>
        <w:t>. The findings indicate that participants who made substantial progress toward obtaining a reward favor concrete descriptions (measurable) over abstract ones. Targeting suitable reward descriptions enhances participants' incentive to purchase further [</w:t>
      </w:r>
      <w:r w:rsidR="00660E1F">
        <w:rPr>
          <w:sz w:val="28"/>
          <w:szCs w:val="28"/>
          <w:lang w:val="en-US"/>
        </w:rPr>
        <w:t>35</w:t>
      </w:r>
      <w:r w:rsidR="00C77A97">
        <w:rPr>
          <w:sz w:val="28"/>
          <w:szCs w:val="28"/>
          <w:lang w:val="kk-KZ"/>
        </w:rPr>
        <w:t>1</w:t>
      </w:r>
      <w:r w:rsidRPr="00244343">
        <w:rPr>
          <w:sz w:val="28"/>
          <w:szCs w:val="28"/>
          <w:lang w:val="en-US"/>
        </w:rPr>
        <w:t>]</w:t>
      </w:r>
      <w:r w:rsidRPr="00244343">
        <w:rPr>
          <w:sz w:val="28"/>
          <w:szCs w:val="28"/>
          <w:shd w:val="clear" w:color="auto" w:fill="FFFFFF"/>
          <w:lang w:val="en-US"/>
        </w:rPr>
        <w:t xml:space="preserve">. The goal-gradient effect is enhanced with rollover effect. Rollover effect is also a visual UX tool used to manipulate user interface, id </w:t>
      </w:r>
      <w:proofErr w:type="spellStart"/>
      <w:r w:rsidRPr="00244343">
        <w:rPr>
          <w:sz w:val="28"/>
          <w:szCs w:val="28"/>
          <w:shd w:val="clear" w:color="auto" w:fill="FFFFFF"/>
          <w:lang w:val="en-US"/>
        </w:rPr>
        <w:t>est</w:t>
      </w:r>
      <w:proofErr w:type="spellEnd"/>
      <w:r w:rsidRPr="00244343">
        <w:rPr>
          <w:sz w:val="28"/>
          <w:szCs w:val="28"/>
          <w:shd w:val="clear" w:color="auto" w:fill="FFFFFF"/>
          <w:lang w:val="en-US"/>
        </w:rPr>
        <w:t xml:space="preserve"> behavior of the customer.  </w:t>
      </w:r>
      <w:r w:rsidRPr="00244343">
        <w:rPr>
          <w:sz w:val="28"/>
          <w:szCs w:val="28"/>
          <w:lang w:val="en-US"/>
        </w:rPr>
        <w:t xml:space="preserve">Cheema, A., &amp; </w:t>
      </w:r>
      <w:proofErr w:type="spellStart"/>
      <w:r w:rsidRPr="00244343">
        <w:rPr>
          <w:sz w:val="28"/>
          <w:szCs w:val="28"/>
          <w:lang w:val="en-US"/>
        </w:rPr>
        <w:t>Bagchi</w:t>
      </w:r>
      <w:proofErr w:type="spellEnd"/>
      <w:r w:rsidRPr="00244343">
        <w:rPr>
          <w:sz w:val="28"/>
          <w:szCs w:val="28"/>
          <w:lang w:val="en-US"/>
        </w:rPr>
        <w:t>, R. demonstrate that external representations facilitating goal visualization augment goal pursuit as individuals near a goal [</w:t>
      </w:r>
      <w:r w:rsidR="00660E1F">
        <w:rPr>
          <w:sz w:val="28"/>
          <w:szCs w:val="28"/>
          <w:lang w:val="en-US"/>
        </w:rPr>
        <w:t>35</w:t>
      </w:r>
      <w:r w:rsidR="00C77A97">
        <w:rPr>
          <w:sz w:val="28"/>
          <w:szCs w:val="28"/>
          <w:lang w:val="kk-KZ"/>
        </w:rPr>
        <w:t>2</w:t>
      </w:r>
      <w:r w:rsidRPr="00244343">
        <w:rPr>
          <w:sz w:val="28"/>
          <w:szCs w:val="28"/>
          <w:lang w:val="en-US"/>
        </w:rPr>
        <w:t>].</w:t>
      </w:r>
    </w:p>
    <w:p w14:paraId="1E887078" w14:textId="77777777" w:rsidR="009A1777" w:rsidRDefault="00600C79" w:rsidP="009A1777">
      <w:pPr>
        <w:pStyle w:val="a4"/>
        <w:ind w:firstLine="720"/>
        <w:contextualSpacing/>
        <w:jc w:val="both"/>
        <w:rPr>
          <w:sz w:val="28"/>
          <w:szCs w:val="28"/>
          <w:lang w:val="en-US"/>
        </w:rPr>
      </w:pPr>
      <w:r w:rsidRPr="00244343">
        <w:rPr>
          <w:sz w:val="28"/>
          <w:szCs w:val="28"/>
          <w:lang w:val="en-US"/>
        </w:rPr>
        <w:t>Consumers perceive easily visualized goals as nearer than challenging to imagine, enhancing effort and commitment. The ease of visualization influences performance in swimming contests and the physical exertion demonstrated in the laboratory. Visualization influences commitment to savings, readiness to await service, and efficacy in a simulated sales assignment. The advantageous effects of visualizing occur only when individuals are near the objective. The impact of visualization diminishes when the objective is divided into subgoals. Managers can use these findings to augment consumer goal attainment, affect consumer satisfaction in online service interactions, and incentivize personnel to perform better. In diverse settings, visual depictions of target advancement (e.g., progress bars) augment motivation as individuals near their objectives.</w:t>
      </w:r>
    </w:p>
    <w:p w14:paraId="3A743E5B" w14:textId="34F2C217" w:rsidR="009A1777" w:rsidRPr="00C02FF7" w:rsidRDefault="00600C79" w:rsidP="009A1777">
      <w:pPr>
        <w:pStyle w:val="a4"/>
        <w:ind w:firstLine="720"/>
        <w:contextualSpacing/>
        <w:jc w:val="both"/>
        <w:rPr>
          <w:sz w:val="28"/>
          <w:szCs w:val="28"/>
          <w:lang w:val="kk-KZ"/>
        </w:rPr>
      </w:pPr>
      <w:r w:rsidRPr="00244343">
        <w:rPr>
          <w:sz w:val="28"/>
          <w:szCs w:val="28"/>
          <w:lang w:val="en-US"/>
        </w:rPr>
        <w:t>Taxi apps and delivery companies (figure 40)</w:t>
      </w:r>
      <w:r w:rsidR="005E2CA7">
        <w:rPr>
          <w:sz w:val="28"/>
          <w:szCs w:val="28"/>
          <w:lang w:val="en-US"/>
        </w:rPr>
        <w:t xml:space="preserve"> </w:t>
      </w:r>
      <w:r w:rsidRPr="00244343">
        <w:rPr>
          <w:sz w:val="28"/>
          <w:szCs w:val="28"/>
          <w:lang w:val="en-US"/>
        </w:rPr>
        <w:t xml:space="preserve">(Uber, Yandex </w:t>
      </w:r>
      <w:proofErr w:type="spellStart"/>
      <w:r w:rsidRPr="00244343">
        <w:rPr>
          <w:sz w:val="28"/>
          <w:szCs w:val="28"/>
          <w:lang w:val="en-US"/>
        </w:rPr>
        <w:t>etc</w:t>
      </w:r>
      <w:proofErr w:type="spellEnd"/>
      <w:r w:rsidRPr="00244343">
        <w:rPr>
          <w:sz w:val="28"/>
          <w:szCs w:val="28"/>
          <w:lang w:val="en-US"/>
        </w:rPr>
        <w:t xml:space="preserve">) demonstrating a) the visual uncertainty elimination, raised out of uncertainty anxiety b) operational transparency, id </w:t>
      </w:r>
      <w:proofErr w:type="spellStart"/>
      <w:r w:rsidRPr="00244343">
        <w:rPr>
          <w:sz w:val="28"/>
          <w:szCs w:val="28"/>
          <w:lang w:val="en-US"/>
        </w:rPr>
        <w:t>est</w:t>
      </w:r>
      <w:proofErr w:type="spellEnd"/>
      <w:r w:rsidRPr="00244343">
        <w:rPr>
          <w:sz w:val="28"/>
          <w:szCs w:val="28"/>
          <w:lang w:val="en-US"/>
        </w:rPr>
        <w:t xml:space="preserve"> each step (delivery, taxi) demonstrated the rate of the progress during the wait</w:t>
      </w:r>
      <w:r w:rsidR="005E2CA7">
        <w:rPr>
          <w:sz w:val="28"/>
          <w:szCs w:val="28"/>
          <w:lang w:val="en-US"/>
        </w:rPr>
        <w:t xml:space="preserve"> [35</w:t>
      </w:r>
      <w:r w:rsidR="00437382">
        <w:rPr>
          <w:sz w:val="28"/>
          <w:szCs w:val="28"/>
          <w:lang w:val="kk-KZ"/>
        </w:rPr>
        <w:t>3</w:t>
      </w:r>
      <w:r w:rsidR="005E2CA7">
        <w:rPr>
          <w:sz w:val="28"/>
          <w:szCs w:val="28"/>
          <w:lang w:val="en-US"/>
        </w:rPr>
        <w:t>]</w:t>
      </w:r>
      <w:r w:rsidRPr="00244343">
        <w:rPr>
          <w:sz w:val="28"/>
          <w:szCs w:val="28"/>
          <w:lang w:val="en-US"/>
        </w:rPr>
        <w:t>. For example, Uber Labs addressed this issue by designing its map, which significantly highlights the vehicle's proximity to both the pick-up location and the destination [</w:t>
      </w:r>
      <w:r w:rsidR="005E2CA7">
        <w:rPr>
          <w:sz w:val="28"/>
          <w:szCs w:val="28"/>
          <w:lang w:val="en-US"/>
        </w:rPr>
        <w:t>35</w:t>
      </w:r>
      <w:r w:rsidR="00437382">
        <w:rPr>
          <w:sz w:val="28"/>
          <w:szCs w:val="28"/>
          <w:lang w:val="kk-KZ"/>
        </w:rPr>
        <w:t>4</w:t>
      </w:r>
      <w:r w:rsidR="005E2CA7">
        <w:rPr>
          <w:sz w:val="28"/>
          <w:szCs w:val="28"/>
          <w:lang w:val="en-US"/>
        </w:rPr>
        <w:t>]</w:t>
      </w:r>
      <w:r w:rsidRPr="00244343">
        <w:rPr>
          <w:sz w:val="28"/>
          <w:szCs w:val="28"/>
          <w:lang w:val="en-US"/>
        </w:rPr>
        <w:t>.</w:t>
      </w:r>
    </w:p>
    <w:p w14:paraId="79DF3791" w14:textId="01E38466" w:rsidR="009A1777" w:rsidRPr="009A1777" w:rsidRDefault="00600C79" w:rsidP="009A1777">
      <w:pPr>
        <w:pStyle w:val="a4"/>
        <w:ind w:firstLine="720"/>
        <w:contextualSpacing/>
        <w:jc w:val="both"/>
        <w:rPr>
          <w:sz w:val="28"/>
          <w:szCs w:val="28"/>
          <w:lang w:val="en-US"/>
        </w:rPr>
      </w:pPr>
      <w:r w:rsidRPr="00244343">
        <w:rPr>
          <w:sz w:val="28"/>
          <w:szCs w:val="28"/>
          <w:lang w:val="en-US"/>
        </w:rPr>
        <w:t>Existing research published in 2022 by Lu J. et al.</w:t>
      </w:r>
      <w:r w:rsidR="005E2CA7">
        <w:rPr>
          <w:sz w:val="28"/>
          <w:szCs w:val="28"/>
          <w:lang w:val="en-US"/>
        </w:rPr>
        <w:t xml:space="preserve"> </w:t>
      </w:r>
      <w:r w:rsidRPr="00244343">
        <w:rPr>
          <w:sz w:val="28"/>
          <w:szCs w:val="28"/>
          <w:lang w:val="en-US"/>
        </w:rPr>
        <w:t>shows that online educational platforms increasingly help learners engage with content at their speed through on-demand formats, unlike traditional education</w:t>
      </w:r>
      <w:r w:rsidR="005E2CA7">
        <w:rPr>
          <w:sz w:val="28"/>
          <w:szCs w:val="28"/>
          <w:lang w:val="en-US"/>
        </w:rPr>
        <w:t xml:space="preserve"> [35</w:t>
      </w:r>
      <w:r w:rsidR="009C0DDF">
        <w:rPr>
          <w:sz w:val="28"/>
          <w:szCs w:val="28"/>
          <w:lang w:val="kk-KZ"/>
        </w:rPr>
        <w:t>5</w:t>
      </w:r>
      <w:r w:rsidR="005E2CA7">
        <w:rPr>
          <w:sz w:val="28"/>
          <w:szCs w:val="28"/>
          <w:lang w:val="en-US"/>
        </w:rPr>
        <w:t>].</w:t>
      </w:r>
      <w:r w:rsidRPr="00244343">
        <w:rPr>
          <w:sz w:val="28"/>
          <w:szCs w:val="28"/>
          <w:lang w:val="en-US"/>
        </w:rPr>
        <w:t xml:space="preserve"> So, it is crucial to comprehend and represent learner participation within various contexts. The authors utilize data from four business courses on Coursera to conceptualize learner behavior as a two-stage decision-making process, where the initial stage assesses continuation against cessation across days, and the latter stage evaluates options among lectures, quizzes, and breaks within a single day. The authors model the variety among learners aiming to complete lectures and quizzes, thereby capturing distinct consuming patterns that align with existing theories of goal progression in an empirical context. They observe that the majority of individuals have a learning style in which the effectiveness of lectures varies according to an inverted U-shaped </w:t>
      </w:r>
      <w:r w:rsidRPr="00244343">
        <w:rPr>
          <w:sz w:val="28"/>
          <w:szCs w:val="28"/>
          <w:lang w:val="en-US"/>
        </w:rPr>
        <w:lastRenderedPageBreak/>
        <w:t xml:space="preserve">function of their current progress. It can be employed as an early detection instrument for forecasting changes in engagement, allowing the authors to combine learning styles with final performance results and their subsequent course registration. Businesses cannot be run successfully without a proper knowledge of behavioral psychology. Education increasingly functions as a commercial enterprise, </w:t>
      </w:r>
      <w:r w:rsidRPr="009A1777">
        <w:rPr>
          <w:sz w:val="28"/>
          <w:szCs w:val="28"/>
          <w:lang w:val="en-US"/>
        </w:rPr>
        <w:t>interlinking with economic activities and impacting entrepreneurial outcomes. The relationship is apparent in multiple contexts, underscoring the dual function of education as a service and a catalyst for economic growth.</w:t>
      </w:r>
    </w:p>
    <w:p w14:paraId="484528E6" w14:textId="77777777" w:rsidR="009A1777" w:rsidRDefault="00600C79" w:rsidP="009A1777">
      <w:pPr>
        <w:pStyle w:val="a4"/>
        <w:ind w:firstLine="720"/>
        <w:contextualSpacing/>
        <w:jc w:val="both"/>
        <w:rPr>
          <w:sz w:val="28"/>
          <w:szCs w:val="28"/>
          <w:lang w:val="en-US"/>
        </w:rPr>
      </w:pPr>
      <w:r w:rsidRPr="009A1777">
        <w:rPr>
          <w:sz w:val="28"/>
          <w:szCs w:val="28"/>
          <w:lang w:val="en-US"/>
        </w:rPr>
        <w:t>The study investigated the incorporation of motivating instruments in educational platforms at Kazakhstani and prominent global universities, acknowledging the increasing significance of student participation in higher education. The study sought to evaluate the degree to which institutions integrate elements to bolster student motivation.</w:t>
      </w:r>
      <w:bookmarkStart w:id="34" w:name="_Hlk190772450"/>
    </w:p>
    <w:p w14:paraId="71073451" w14:textId="2F26E1B9" w:rsidR="009A1777" w:rsidRPr="006F00CD" w:rsidRDefault="00600C79" w:rsidP="009A1777">
      <w:pPr>
        <w:pStyle w:val="a4"/>
        <w:ind w:firstLine="720"/>
        <w:contextualSpacing/>
        <w:jc w:val="both"/>
        <w:rPr>
          <w:sz w:val="28"/>
          <w:szCs w:val="28"/>
          <w:lang w:val="en-US"/>
        </w:rPr>
      </w:pPr>
      <w:r w:rsidRPr="009A1777">
        <w:rPr>
          <w:sz w:val="28"/>
          <w:szCs w:val="28"/>
          <w:lang w:val="en-US"/>
        </w:rPr>
        <w:t xml:space="preserve">To facilitate this analysis, the </w:t>
      </w:r>
      <w:proofErr w:type="spellStart"/>
      <w:r w:rsidRPr="009A1777">
        <w:rPr>
          <w:sz w:val="28"/>
          <w:szCs w:val="28"/>
          <w:lang w:val="en-US"/>
        </w:rPr>
        <w:t>Unichecker</w:t>
      </w:r>
      <w:proofErr w:type="spellEnd"/>
      <w:r w:rsidRPr="009A1777">
        <w:rPr>
          <w:sz w:val="28"/>
          <w:szCs w:val="28"/>
          <w:lang w:val="en-US"/>
        </w:rPr>
        <w:t xml:space="preserve"> program (Appendix </w:t>
      </w:r>
      <w:r w:rsidR="0054045C">
        <w:rPr>
          <w:sz w:val="28"/>
          <w:szCs w:val="28"/>
          <w:lang w:val="en-US"/>
        </w:rPr>
        <w:t>D</w:t>
      </w:r>
      <w:r w:rsidRPr="009A1777">
        <w:rPr>
          <w:sz w:val="28"/>
          <w:szCs w:val="28"/>
          <w:lang w:val="en-US"/>
        </w:rPr>
        <w:t xml:space="preserve">) was developed </w:t>
      </w:r>
      <w:r w:rsidRPr="006F00CD">
        <w:rPr>
          <w:sz w:val="28"/>
          <w:szCs w:val="28"/>
          <w:lang w:val="en-US"/>
        </w:rPr>
        <w:t>using Python 3.12.1, enabling a systematic examination of university websites (over 100 Kazakhstani Universities) based on specific keywords related to motivation in learning platforms. Using keyword-based detection, the program identified instances where learning platforms featured motivational components, such as gamification, leaderboards, adaptive learning, and reward systems. This approach provided an efficient and standardized method for assessing the adoption of student engagement tools in digital learning environments.</w:t>
      </w:r>
    </w:p>
    <w:p w14:paraId="2A8C325A" w14:textId="170270E1" w:rsidR="009A1777" w:rsidRPr="006F00CD" w:rsidRDefault="00600C79" w:rsidP="009A1777">
      <w:pPr>
        <w:pStyle w:val="a4"/>
        <w:ind w:firstLine="720"/>
        <w:contextualSpacing/>
        <w:jc w:val="both"/>
        <w:rPr>
          <w:sz w:val="28"/>
          <w:szCs w:val="28"/>
          <w:lang w:val="en-US"/>
        </w:rPr>
      </w:pPr>
      <w:r w:rsidRPr="006F00CD">
        <w:rPr>
          <w:sz w:val="28"/>
          <w:szCs w:val="28"/>
          <w:lang w:val="en-US"/>
        </w:rPr>
        <w:t xml:space="preserve">The analysis revealed that using student motivational tools in learning platforms among Kazakhstani universities is relatively uncommon, with only five universities implementing such features. The keywords used to identify motivational tools included "gamification," "leaderboard," "adaptive learning," "reward," and "motivation" in both </w:t>
      </w:r>
      <w:r w:rsidRPr="006F00CD">
        <w:rPr>
          <w:sz w:val="28"/>
          <w:szCs w:val="28"/>
          <w:lang w:val="en-US"/>
        </w:rPr>
        <w:tab/>
        <w:t xml:space="preserve">English and Russian. Among the world's leading universities, only Harvard University and Stanford University were found to utilize motivational tools in their learning platforms. In Kazakhstan, such tools were implemented at the Kazakh-German University (DKU), Kazakh </w:t>
      </w:r>
      <w:proofErr w:type="spellStart"/>
      <w:r w:rsidRPr="006F00CD">
        <w:rPr>
          <w:sz w:val="28"/>
          <w:szCs w:val="28"/>
          <w:lang w:val="en-US"/>
        </w:rPr>
        <w:t>Ablai</w:t>
      </w:r>
      <w:proofErr w:type="spellEnd"/>
      <w:r w:rsidRPr="006F00CD">
        <w:rPr>
          <w:sz w:val="28"/>
          <w:szCs w:val="28"/>
          <w:lang w:val="en-US"/>
        </w:rPr>
        <w:t xml:space="preserve"> Khan University of International Relations and World Languages, Karaganda Economic University (KEU), and Almaty Management University (</w:t>
      </w:r>
      <w:proofErr w:type="spellStart"/>
      <w:r w:rsidRPr="006F00CD">
        <w:rPr>
          <w:sz w:val="28"/>
          <w:szCs w:val="28"/>
          <w:lang w:val="en-US"/>
        </w:rPr>
        <w:t>AlmaU</w:t>
      </w:r>
      <w:proofErr w:type="spellEnd"/>
      <w:proofErr w:type="gramStart"/>
      <w:r w:rsidRPr="006F00CD">
        <w:rPr>
          <w:sz w:val="28"/>
          <w:szCs w:val="28"/>
          <w:lang w:val="en-US"/>
        </w:rPr>
        <w:t>)(</w:t>
      </w:r>
      <w:proofErr w:type="gramEnd"/>
      <w:r w:rsidRPr="006F00CD">
        <w:rPr>
          <w:sz w:val="28"/>
          <w:szCs w:val="28"/>
          <w:lang w:val="en-US"/>
        </w:rPr>
        <w:t xml:space="preserve">Appendix </w:t>
      </w:r>
      <w:r w:rsidR="0054045C">
        <w:rPr>
          <w:sz w:val="28"/>
          <w:szCs w:val="28"/>
          <w:lang w:val="en-US"/>
        </w:rPr>
        <w:t>D</w:t>
      </w:r>
      <w:r w:rsidRPr="006F00CD">
        <w:rPr>
          <w:sz w:val="28"/>
          <w:szCs w:val="28"/>
          <w:lang w:val="en-US"/>
        </w:rPr>
        <w:t>). The remaining universities analyzed did not incorporate motivational tools in their learning platforms, highlighting the need for further technological advancements to enhance student engagement and academic performance.</w:t>
      </w:r>
      <w:bookmarkEnd w:id="34"/>
    </w:p>
    <w:p w14:paraId="126A2A59" w14:textId="0ABF0F1C" w:rsidR="009A1777" w:rsidRDefault="00600C79" w:rsidP="009A1777">
      <w:pPr>
        <w:pStyle w:val="a4"/>
        <w:ind w:firstLine="720"/>
        <w:contextualSpacing/>
        <w:jc w:val="both"/>
        <w:rPr>
          <w:sz w:val="28"/>
          <w:szCs w:val="28"/>
          <w:lang w:val="en-US"/>
        </w:rPr>
      </w:pPr>
      <w:r w:rsidRPr="006F00CD">
        <w:rPr>
          <w:sz w:val="28"/>
          <w:szCs w:val="28"/>
          <w:lang w:val="en-US"/>
        </w:rPr>
        <w:t>Goal-gradient effect is used in different realm, from sport to academics [</w:t>
      </w:r>
      <w:r w:rsidR="005E2CA7" w:rsidRPr="006F00CD">
        <w:rPr>
          <w:sz w:val="28"/>
          <w:szCs w:val="28"/>
          <w:lang w:val="en-US"/>
        </w:rPr>
        <w:t>35</w:t>
      </w:r>
      <w:r w:rsidR="009C0DDF">
        <w:rPr>
          <w:sz w:val="28"/>
          <w:szCs w:val="28"/>
          <w:lang w:val="kk-KZ"/>
        </w:rPr>
        <w:t>6</w:t>
      </w:r>
      <w:r w:rsidRPr="006F00CD">
        <w:rPr>
          <w:sz w:val="28"/>
          <w:szCs w:val="28"/>
          <w:lang w:val="en-US"/>
        </w:rPr>
        <w:t xml:space="preserve">]. It illustrates two mediators. As the activity approaches </w:t>
      </w:r>
      <w:r w:rsidRPr="00244343">
        <w:rPr>
          <w:sz w:val="28"/>
          <w:szCs w:val="28"/>
          <w:lang w:val="en-US"/>
        </w:rPr>
        <w:t xml:space="preserve">an outcome, there is an increased propensity to envision negative alternative scenarios, indicating greater counterfactual potency for subsequent actions. The second factor is perceived outcome reversibility, which diminishes for acts taken later, as there is reduced time for the provisional consequence to alter. Thus, paving the way to new future research agenda, pointing out that the closer the time of deadline is better performance. The research discussion looks at the theoretical effects on how people understand timing, how they think about what might have happened differently, how they think about what might have happened in the future, and possible future research directions for </w:t>
      </w:r>
      <w:r w:rsidRPr="00244343">
        <w:rPr>
          <w:sz w:val="28"/>
          <w:szCs w:val="28"/>
          <w:lang w:val="en-US"/>
        </w:rPr>
        <w:lastRenderedPageBreak/>
        <w:t xml:space="preserve">the goal-gradient phenomenon (the tendency to focus on the last few steps needed to reach a goal). Subsequently, indicating that entrepreneurial education disciplines focusing on entrepreneurial mindset is more viable and effective in terms of behavioral psychology. </w:t>
      </w:r>
    </w:p>
    <w:p w14:paraId="1D5B70FA" w14:textId="77777777" w:rsidR="009A1777" w:rsidRDefault="00600C79" w:rsidP="009A1777">
      <w:pPr>
        <w:pStyle w:val="a4"/>
        <w:ind w:firstLine="720"/>
        <w:contextualSpacing/>
        <w:jc w:val="both"/>
        <w:rPr>
          <w:sz w:val="28"/>
          <w:szCs w:val="28"/>
          <w:lang w:val="en-US"/>
        </w:rPr>
      </w:pPr>
      <w:r w:rsidRPr="00244343">
        <w:rPr>
          <w:sz w:val="28"/>
          <w:szCs w:val="28"/>
          <w:lang w:val="en-US"/>
        </w:rPr>
        <w:t>The goal-gradient is a classic phenomenon identified in the early twentieth-century literature on animal learning and behaviorism. This phenomenon has significant implications for achievement motivation and goal pursuit; however, it remains understudied in humans.</w:t>
      </w:r>
    </w:p>
    <w:p w14:paraId="2E194BD5" w14:textId="003F7440" w:rsidR="00600C79" w:rsidRPr="00244343" w:rsidRDefault="00600C79" w:rsidP="009A1777">
      <w:pPr>
        <w:pStyle w:val="a4"/>
        <w:ind w:firstLine="720"/>
        <w:contextualSpacing/>
        <w:jc w:val="both"/>
        <w:rPr>
          <w:sz w:val="28"/>
          <w:szCs w:val="28"/>
          <w:lang w:val="en-US"/>
        </w:rPr>
      </w:pPr>
      <w:r w:rsidRPr="00244343">
        <w:rPr>
          <w:sz w:val="28"/>
          <w:szCs w:val="28"/>
          <w:lang w:val="en-US"/>
        </w:rPr>
        <w:t>Universities and students' expected value and goal of education is to gain knowledge (figure 4</w:t>
      </w:r>
      <w:r w:rsidR="00742D77">
        <w:rPr>
          <w:sz w:val="28"/>
          <w:szCs w:val="28"/>
          <w:lang w:val="en-US"/>
        </w:rPr>
        <w:t>2</w:t>
      </w:r>
      <w:r w:rsidRPr="00244343">
        <w:rPr>
          <w:sz w:val="28"/>
          <w:szCs w:val="28"/>
          <w:lang w:val="en-US"/>
        </w:rPr>
        <w:t xml:space="preserve">). However, the journey to acquire knowledge can be challenging for students. Since human beings constantly struggle with ups and downs in motivation toward a goal, university managers should create helpful platforms to pursue the academic goal or integrate the goal-gradient scale (such as Coursera, Udemy, etc.) into the existing platform (for example, Canvas, Moodle, </w:t>
      </w:r>
      <w:proofErr w:type="spellStart"/>
      <w:r w:rsidRPr="00244343">
        <w:rPr>
          <w:sz w:val="28"/>
          <w:szCs w:val="28"/>
          <w:lang w:val="en-US"/>
        </w:rPr>
        <w:t>Platonus</w:t>
      </w:r>
      <w:proofErr w:type="spellEnd"/>
      <w:r w:rsidRPr="00244343">
        <w:rPr>
          <w:sz w:val="28"/>
          <w:szCs w:val="28"/>
          <w:lang w:val="en-US"/>
        </w:rPr>
        <w:t xml:space="preserve"> etc.).</w:t>
      </w:r>
    </w:p>
    <w:p w14:paraId="1B7EF28A" w14:textId="77777777" w:rsidR="00600C79" w:rsidRPr="00244343" w:rsidRDefault="00600C79" w:rsidP="00600C79">
      <w:pPr>
        <w:spacing w:after="0" w:line="240" w:lineRule="auto"/>
        <w:contextualSpacing/>
        <w:jc w:val="both"/>
        <w:rPr>
          <w:rFonts w:ascii="Times New Roman" w:hAnsi="Times New Roman" w:cs="Times New Roman"/>
          <w:b/>
          <w:bCs/>
          <w:sz w:val="28"/>
          <w:szCs w:val="28"/>
          <w:lang w:val="en-US"/>
        </w:rPr>
      </w:pPr>
    </w:p>
    <w:p w14:paraId="702B4889" w14:textId="64282225" w:rsidR="00600C79" w:rsidRPr="00244343" w:rsidRDefault="00015E71" w:rsidP="00600C79">
      <w:pPr>
        <w:spacing w:after="0" w:line="240" w:lineRule="auto"/>
        <w:contextualSpacing/>
        <w:jc w:val="both"/>
        <w:rPr>
          <w:rFonts w:ascii="Times New Roman" w:hAnsi="Times New Roman" w:cs="Times New Roman"/>
          <w:b/>
          <w:bCs/>
          <w:sz w:val="28"/>
          <w:szCs w:val="28"/>
          <w:lang w:val="en-US"/>
        </w:rPr>
      </w:pPr>
      <w:r w:rsidRPr="00244343">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76515ECE" wp14:editId="2236DFB8">
                <wp:simplePos x="0" y="0"/>
                <wp:positionH relativeFrom="column">
                  <wp:posOffset>5099685</wp:posOffset>
                </wp:positionH>
                <wp:positionV relativeFrom="paragraph">
                  <wp:posOffset>1085215</wp:posOffset>
                </wp:positionV>
                <wp:extent cx="15240" cy="579120"/>
                <wp:effectExtent l="38100" t="0" r="60960" b="49530"/>
                <wp:wrapNone/>
                <wp:docPr id="39" name="Прямая со стрелкой 39"/>
                <wp:cNvGraphicFramePr/>
                <a:graphic xmlns:a="http://schemas.openxmlformats.org/drawingml/2006/main">
                  <a:graphicData uri="http://schemas.microsoft.com/office/word/2010/wordprocessingShape">
                    <wps:wsp>
                      <wps:cNvCnPr/>
                      <wps:spPr>
                        <a:xfrm>
                          <a:off x="0" y="0"/>
                          <a:ext cx="15240" cy="579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27BC035" id="_x0000_t32" coordsize="21600,21600" o:spt="32" o:oned="t" path="m,l21600,21600e" filled="f">
                <v:path arrowok="t" fillok="f" o:connecttype="none"/>
                <o:lock v:ext="edit" shapetype="t"/>
              </v:shapetype>
              <v:shape id="Прямая со стрелкой 39" o:spid="_x0000_s1026" type="#_x0000_t32" style="position:absolute;margin-left:401.55pt;margin-top:85.45pt;width:1.2pt;height:45.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" strokecolor="black [3200]" strokeweight=".5pt">
                <v:stroke endarrow="block" joinstyle="miter"/>
              </v:shape>
            </w:pict>
          </mc:Fallback>
        </mc:AlternateContent>
      </w:r>
      <w:r w:rsidRPr="00244343">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1696AFE2" wp14:editId="41887D62">
                <wp:simplePos x="0" y="0"/>
                <wp:positionH relativeFrom="column">
                  <wp:posOffset>1167765</wp:posOffset>
                </wp:positionH>
                <wp:positionV relativeFrom="paragraph">
                  <wp:posOffset>2662555</wp:posOffset>
                </wp:positionV>
                <wp:extent cx="1341120" cy="541020"/>
                <wp:effectExtent l="0" t="0" r="68580" b="68580"/>
                <wp:wrapNone/>
                <wp:docPr id="37" name="Прямая со стрелкой 37"/>
                <wp:cNvGraphicFramePr/>
                <a:graphic xmlns:a="http://schemas.openxmlformats.org/drawingml/2006/main">
                  <a:graphicData uri="http://schemas.microsoft.com/office/word/2010/wordprocessingShape">
                    <wps:wsp>
                      <wps:cNvCnPr/>
                      <wps:spPr>
                        <a:xfrm>
                          <a:off x="0" y="0"/>
                          <a:ext cx="1341120" cy="541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88BC2F" id="Прямая со стрелкой 37" o:spid="_x0000_s1026" type="#_x0000_t32" style="position:absolute;margin-left:91.95pt;margin-top:209.65pt;width:105.6pt;height:42.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" strokecolor="black [3200]" strokeweight=".5pt">
                <v:stroke endarrow="block" joinstyle="miter"/>
              </v:shape>
            </w:pict>
          </mc:Fallback>
        </mc:AlternateContent>
      </w:r>
      <w:r w:rsidRPr="00244343">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ED8C8CC" wp14:editId="6E609244">
                <wp:simplePos x="0" y="0"/>
                <wp:positionH relativeFrom="column">
                  <wp:posOffset>3712845</wp:posOffset>
                </wp:positionH>
                <wp:positionV relativeFrom="paragraph">
                  <wp:posOffset>2686050</wp:posOffset>
                </wp:positionV>
                <wp:extent cx="1158240" cy="518160"/>
                <wp:effectExtent l="38100" t="0" r="22860" b="53340"/>
                <wp:wrapNone/>
                <wp:docPr id="36" name="Прямая со стрелкой 36"/>
                <wp:cNvGraphicFramePr/>
                <a:graphic xmlns:a="http://schemas.openxmlformats.org/drawingml/2006/main">
                  <a:graphicData uri="http://schemas.microsoft.com/office/word/2010/wordprocessingShape">
                    <wps:wsp>
                      <wps:cNvCnPr/>
                      <wps:spPr>
                        <a:xfrm flipH="1">
                          <a:off x="0" y="0"/>
                          <a:ext cx="1158240" cy="518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59AE2B" id="Прямая со стрелкой 36" o:spid="_x0000_s1026" type="#_x0000_t32" style="position:absolute;margin-left:292.35pt;margin-top:211.5pt;width:91.2pt;height:40.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" strokecolor="black [3200]" strokeweight=".5pt">
                <v:stroke endarrow="block" joinstyle="miter"/>
              </v:shape>
            </w:pict>
          </mc:Fallback>
        </mc:AlternateContent>
      </w:r>
      <w:r w:rsidR="00600C79" w:rsidRPr="00244343">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619946F2" wp14:editId="24146EDD">
                <wp:simplePos x="0" y="0"/>
                <wp:positionH relativeFrom="column">
                  <wp:posOffset>1541145</wp:posOffset>
                </wp:positionH>
                <wp:positionV relativeFrom="paragraph">
                  <wp:posOffset>346709</wp:posOffset>
                </wp:positionV>
                <wp:extent cx="2956560" cy="45719"/>
                <wp:effectExtent l="19050" t="76200" r="91440" b="88265"/>
                <wp:wrapNone/>
                <wp:docPr id="20" name="Прямая со стрелкой 20"/>
                <wp:cNvGraphicFramePr/>
                <a:graphic xmlns:a="http://schemas.openxmlformats.org/drawingml/2006/main">
                  <a:graphicData uri="http://schemas.microsoft.com/office/word/2010/wordprocessingShape">
                    <wps:wsp>
                      <wps:cNvCnPr/>
                      <wps:spPr>
                        <a:xfrm>
                          <a:off x="0" y="0"/>
                          <a:ext cx="2956560" cy="4571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9B434B" id="Прямая со стрелкой 20" o:spid="_x0000_s1026" type="#_x0000_t32" style="position:absolute;margin-left:121.35pt;margin-top:27.3pt;width:232.8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" strokecolor="black [3200]" strokeweight=".5pt">
                <v:stroke startarrow="block" endarrow="block" joinstyle="miter"/>
              </v:shape>
            </w:pict>
          </mc:Fallback>
        </mc:AlternateContent>
      </w:r>
      <w:r w:rsidR="00600C79" w:rsidRPr="00244343">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54EE2CF" wp14:editId="70CF41A7">
                <wp:simplePos x="0" y="0"/>
                <wp:positionH relativeFrom="column">
                  <wp:posOffset>733425</wp:posOffset>
                </wp:positionH>
                <wp:positionV relativeFrom="paragraph">
                  <wp:posOffset>1153795</wp:posOffset>
                </wp:positionV>
                <wp:extent cx="7620" cy="510540"/>
                <wp:effectExtent l="38100" t="0" r="68580" b="60960"/>
                <wp:wrapNone/>
                <wp:docPr id="38" name="Прямая со стрелкой 38"/>
                <wp:cNvGraphicFramePr/>
                <a:graphic xmlns:a="http://schemas.openxmlformats.org/drawingml/2006/main">
                  <a:graphicData uri="http://schemas.microsoft.com/office/word/2010/wordprocessingShape">
                    <wps:wsp>
                      <wps:cNvCnPr/>
                      <wps:spPr>
                        <a:xfrm>
                          <a:off x="0" y="0"/>
                          <a:ext cx="7620" cy="510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FE1D93" id="Прямая со стрелкой 38" o:spid="_x0000_s1026" type="#_x0000_t32" style="position:absolute;margin-left:57.75pt;margin-top:90.85pt;width:.6pt;height:40.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" strokecolor="black [3200]" strokeweight=".5pt">
                <v:stroke endarrow="block" joinstyle="miter"/>
              </v:shape>
            </w:pict>
          </mc:Fallback>
        </mc:AlternateContent>
      </w:r>
      <w:r w:rsidR="00600C79" w:rsidRPr="00244343">
        <w:rPr>
          <w:rFonts w:ascii="Times New Roman" w:hAnsi="Times New Roman" w:cs="Times New Roman"/>
          <w:noProof/>
          <w:sz w:val="28"/>
          <w:szCs w:val="28"/>
          <w:lang w:eastAsia="ru-RU"/>
        </w:rPr>
        <w:drawing>
          <wp:inline distT="0" distB="0" distL="0" distR="0" wp14:anchorId="135C10AE" wp14:editId="63559A30">
            <wp:extent cx="5762846" cy="3387799"/>
            <wp:effectExtent l="0" t="57150" r="0" b="41275"/>
            <wp:docPr id="50"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478A96A5" w14:textId="77777777" w:rsidR="00600C79" w:rsidRPr="00244343" w:rsidRDefault="00600C79" w:rsidP="00600C79">
      <w:pPr>
        <w:spacing w:after="0" w:line="240" w:lineRule="auto"/>
        <w:contextualSpacing/>
        <w:jc w:val="center"/>
        <w:rPr>
          <w:rFonts w:ascii="Times New Roman" w:hAnsi="Times New Roman" w:cs="Times New Roman"/>
          <w:sz w:val="28"/>
          <w:szCs w:val="28"/>
          <w:lang w:val="en-US"/>
        </w:rPr>
      </w:pPr>
    </w:p>
    <w:p w14:paraId="01C9BFE4" w14:textId="097CFC27" w:rsidR="009A1777" w:rsidRDefault="00600C79" w:rsidP="009A1777">
      <w:pPr>
        <w:spacing w:after="0" w:line="240" w:lineRule="auto"/>
        <w:contextualSpacing/>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4</w:t>
      </w:r>
      <w:r w:rsidR="00742D77">
        <w:rPr>
          <w:rFonts w:ascii="Times New Roman" w:hAnsi="Times New Roman" w:cs="Times New Roman"/>
          <w:sz w:val="28"/>
          <w:szCs w:val="28"/>
          <w:lang w:val="en-US"/>
        </w:rPr>
        <w:t>2</w:t>
      </w:r>
      <w:r w:rsidRPr="00244343">
        <w:rPr>
          <w:rFonts w:ascii="Times New Roman" w:hAnsi="Times New Roman" w:cs="Times New Roman"/>
          <w:sz w:val="28"/>
          <w:szCs w:val="28"/>
          <w:lang w:val="en-US"/>
        </w:rPr>
        <w:t xml:space="preserve"> - Goa</w:t>
      </w:r>
      <w:r w:rsidR="004A02A3">
        <w:rPr>
          <w:rFonts w:ascii="Times New Roman" w:hAnsi="Times New Roman" w:cs="Times New Roman"/>
          <w:sz w:val="28"/>
          <w:szCs w:val="28"/>
          <w:lang w:val="en-US"/>
        </w:rPr>
        <w:t>l</w:t>
      </w:r>
      <w:r w:rsidRPr="00244343">
        <w:rPr>
          <w:rFonts w:ascii="Times New Roman" w:hAnsi="Times New Roman" w:cs="Times New Roman"/>
          <w:sz w:val="28"/>
          <w:szCs w:val="28"/>
          <w:lang w:val="en-US"/>
        </w:rPr>
        <w:t>-gradient effect and education management interplay.</w:t>
      </w:r>
    </w:p>
    <w:p w14:paraId="6BEB1D8A" w14:textId="5DD3063D" w:rsidR="00600C79" w:rsidRPr="00781C84" w:rsidRDefault="00600C79" w:rsidP="009A1777">
      <w:pPr>
        <w:pStyle w:val="a4"/>
        <w:ind w:firstLine="720"/>
        <w:contextualSpacing/>
        <w:jc w:val="both"/>
        <w:rPr>
          <w:lang w:val="en-US"/>
        </w:rPr>
      </w:pPr>
      <w:r w:rsidRPr="00781C84">
        <w:rPr>
          <w:lang w:val="en-US"/>
        </w:rPr>
        <w:t xml:space="preserve">Note – compiled by author </w:t>
      </w:r>
    </w:p>
    <w:p w14:paraId="03A333CC" w14:textId="77777777" w:rsidR="009A1777" w:rsidRPr="00244343" w:rsidRDefault="009A1777" w:rsidP="009A1777">
      <w:pPr>
        <w:pStyle w:val="a4"/>
        <w:ind w:firstLine="720"/>
        <w:contextualSpacing/>
        <w:jc w:val="both"/>
        <w:rPr>
          <w:sz w:val="28"/>
          <w:szCs w:val="28"/>
          <w:lang w:val="en-US"/>
        </w:rPr>
      </w:pPr>
    </w:p>
    <w:p w14:paraId="35D91B63" w14:textId="0EED2EEB" w:rsidR="00600C79" w:rsidRPr="00244343" w:rsidRDefault="00600C79" w:rsidP="009A1777">
      <w:pPr>
        <w:pStyle w:val="a4"/>
        <w:ind w:firstLine="720"/>
        <w:contextualSpacing/>
        <w:jc w:val="both"/>
        <w:rPr>
          <w:sz w:val="28"/>
          <w:szCs w:val="28"/>
          <w:lang w:val="en-US"/>
        </w:rPr>
      </w:pPr>
      <w:r w:rsidRPr="00244343">
        <w:rPr>
          <w:sz w:val="28"/>
          <w:szCs w:val="28"/>
          <w:lang w:val="en-US"/>
        </w:rPr>
        <w:t xml:space="preserve">It is logical that both universities and students working on the value, where one side is conveying the knowledge, the other side is acquiring as possible. Education in the context of learning programs and tasks given, can deliver the knowledge and skills necessary to the students. Students do differently, either their best or barely covering the minimal points to continue the next year. Thus, education managers should use behavioral incentive to upgrade the students` performance via </w:t>
      </w:r>
      <w:r w:rsidRPr="00244343">
        <w:rPr>
          <w:sz w:val="28"/>
          <w:szCs w:val="28"/>
          <w:lang w:val="en-US"/>
        </w:rPr>
        <w:lastRenderedPageBreak/>
        <w:t xml:space="preserve">goal-gradient tool, and subsequently reach common value. As a result, the university will have more motivated students to perform the task, students will be motivated and accept the entire system as a game to complete. </w:t>
      </w:r>
    </w:p>
    <w:p w14:paraId="64FC804D" w14:textId="77777777" w:rsidR="00600C79" w:rsidRPr="00244343" w:rsidRDefault="00600C79" w:rsidP="00600C79">
      <w:pPr>
        <w:spacing w:after="0" w:line="240" w:lineRule="auto"/>
        <w:jc w:val="center"/>
        <w:rPr>
          <w:rFonts w:ascii="Times New Roman" w:hAnsi="Times New Roman" w:cs="Times New Roman"/>
          <w:sz w:val="28"/>
          <w:szCs w:val="28"/>
          <w:lang w:val="en-US"/>
        </w:rPr>
      </w:pPr>
      <w:r w:rsidRPr="00244343">
        <w:rPr>
          <w:rFonts w:ascii="Times New Roman" w:hAnsi="Times New Roman" w:cs="Times New Roman"/>
          <w:noProof/>
          <w:sz w:val="28"/>
          <w:szCs w:val="28"/>
          <w:lang w:eastAsia="ru-RU"/>
        </w:rPr>
        <w:drawing>
          <wp:inline distT="0" distB="0" distL="0" distR="0" wp14:anchorId="58546618" wp14:editId="38DD93F7">
            <wp:extent cx="5940425" cy="1847215"/>
            <wp:effectExtent l="0" t="0" r="3175"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5460"/>
                    <a:stretch/>
                  </pic:blipFill>
                  <pic:spPr bwMode="auto">
                    <a:xfrm>
                      <a:off x="0" y="0"/>
                      <a:ext cx="5940425" cy="1847215"/>
                    </a:xfrm>
                    <a:prstGeom prst="rect">
                      <a:avLst/>
                    </a:prstGeom>
                    <a:ln>
                      <a:noFill/>
                    </a:ln>
                    <a:extLst>
                      <a:ext uri="{53640926-AAD7-44D8-BBD7-CCE9431645EC}">
                        <a14:shadowObscured xmlns:a14="http://schemas.microsoft.com/office/drawing/2010/main"/>
                      </a:ext>
                    </a:extLst>
                  </pic:spPr>
                </pic:pic>
              </a:graphicData>
            </a:graphic>
          </wp:inline>
        </w:drawing>
      </w:r>
    </w:p>
    <w:p w14:paraId="45D2F3EC" w14:textId="77777777" w:rsidR="00600C79" w:rsidRPr="00244343" w:rsidRDefault="00600C79" w:rsidP="00600C79">
      <w:pPr>
        <w:pStyle w:val="ad"/>
        <w:spacing w:after="0" w:line="240" w:lineRule="auto"/>
        <w:ind w:left="927"/>
        <w:jc w:val="both"/>
        <w:rPr>
          <w:rFonts w:ascii="Times New Roman" w:hAnsi="Times New Roman" w:cs="Times New Roman"/>
          <w:sz w:val="28"/>
          <w:szCs w:val="28"/>
          <w:lang w:val="en-US"/>
        </w:rPr>
      </w:pPr>
    </w:p>
    <w:p w14:paraId="48E4786E" w14:textId="3E0438C5" w:rsidR="00600C79" w:rsidRPr="00244343" w:rsidRDefault="00600C79" w:rsidP="00600C79">
      <w:pPr>
        <w:pStyle w:val="ad"/>
        <w:spacing w:after="0" w:line="240" w:lineRule="auto"/>
        <w:ind w:left="927"/>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Figure 4</w:t>
      </w:r>
      <w:r w:rsidR="00742D77">
        <w:rPr>
          <w:rFonts w:ascii="Times New Roman" w:hAnsi="Times New Roman" w:cs="Times New Roman"/>
          <w:sz w:val="28"/>
          <w:szCs w:val="28"/>
          <w:lang w:val="en-US"/>
        </w:rPr>
        <w:t>3</w:t>
      </w:r>
      <w:r w:rsidRPr="00244343">
        <w:rPr>
          <w:rFonts w:ascii="Times New Roman" w:hAnsi="Times New Roman" w:cs="Times New Roman"/>
          <w:sz w:val="28"/>
          <w:szCs w:val="28"/>
          <w:lang w:val="en-US"/>
        </w:rPr>
        <w:t xml:space="preserve"> - Desirability and feasibility of the goal</w:t>
      </w:r>
    </w:p>
    <w:p w14:paraId="6D8E532B" w14:textId="77777777" w:rsidR="009A1777" w:rsidRDefault="009A1777" w:rsidP="009A1777">
      <w:pPr>
        <w:spacing w:after="0" w:line="240" w:lineRule="auto"/>
        <w:ind w:firstLine="113"/>
        <w:rPr>
          <w:rFonts w:ascii="Times New Roman" w:hAnsi="Times New Roman" w:cs="Times New Roman"/>
          <w:sz w:val="28"/>
          <w:szCs w:val="28"/>
          <w:lang w:val="en-US"/>
        </w:rPr>
      </w:pPr>
    </w:p>
    <w:p w14:paraId="3ECD8A42" w14:textId="24AF83B3" w:rsidR="00600C79" w:rsidRPr="00781C84" w:rsidRDefault="00600C79" w:rsidP="009A1777">
      <w:pPr>
        <w:spacing w:after="0" w:line="240" w:lineRule="auto"/>
        <w:ind w:firstLine="720"/>
        <w:jc w:val="both"/>
        <w:rPr>
          <w:rFonts w:ascii="Times New Roman" w:hAnsi="Times New Roman" w:cs="Times New Roman"/>
          <w:sz w:val="24"/>
          <w:szCs w:val="24"/>
          <w:lang w:val="en-US"/>
        </w:rPr>
      </w:pPr>
      <w:r w:rsidRPr="00781C84">
        <w:rPr>
          <w:rFonts w:ascii="Times New Roman" w:hAnsi="Times New Roman" w:cs="Times New Roman"/>
          <w:sz w:val="24"/>
          <w:szCs w:val="24"/>
          <w:lang w:val="en-US"/>
        </w:rPr>
        <w:t xml:space="preserve">Note – </w:t>
      </w:r>
      <w:r w:rsidR="00836FC0" w:rsidRPr="00836FC0">
        <w:rPr>
          <w:rFonts w:ascii="Times New Roman" w:hAnsi="Times New Roman" w:cs="Times New Roman"/>
          <w:sz w:val="24"/>
          <w:szCs w:val="24"/>
          <w:lang w:val="en-US"/>
        </w:rPr>
        <w:t xml:space="preserve">compiled by author </w:t>
      </w:r>
      <w:r w:rsidR="00836FC0">
        <w:rPr>
          <w:rFonts w:ascii="Times New Roman" w:hAnsi="Times New Roman" w:cs="Times New Roman"/>
          <w:sz w:val="24"/>
          <w:szCs w:val="24"/>
          <w:lang w:val="en-US"/>
        </w:rPr>
        <w:t>b</w:t>
      </w:r>
      <w:r w:rsidRPr="00781C84">
        <w:rPr>
          <w:rFonts w:ascii="Times New Roman" w:hAnsi="Times New Roman" w:cs="Times New Roman"/>
          <w:sz w:val="24"/>
          <w:szCs w:val="24"/>
          <w:lang w:val="en-US"/>
        </w:rPr>
        <w:t>ased on source [</w:t>
      </w:r>
      <w:r w:rsidR="005E2CA7" w:rsidRPr="00781C84">
        <w:rPr>
          <w:rFonts w:ascii="Times New Roman" w:hAnsi="Times New Roman" w:cs="Times New Roman"/>
          <w:sz w:val="24"/>
          <w:szCs w:val="24"/>
          <w:lang w:val="en-US"/>
        </w:rPr>
        <w:t>35</w:t>
      </w:r>
      <w:r w:rsidR="009C0DDF">
        <w:rPr>
          <w:rFonts w:ascii="Times New Roman" w:hAnsi="Times New Roman" w:cs="Times New Roman"/>
          <w:sz w:val="24"/>
          <w:szCs w:val="24"/>
          <w:lang w:val="kk-KZ"/>
        </w:rPr>
        <w:t>7</w:t>
      </w:r>
      <w:r w:rsidRPr="00781C84">
        <w:rPr>
          <w:rFonts w:ascii="Times New Roman" w:hAnsi="Times New Roman" w:cs="Times New Roman"/>
          <w:sz w:val="24"/>
          <w:szCs w:val="24"/>
          <w:lang w:val="en-US"/>
        </w:rPr>
        <w:t>]</w:t>
      </w:r>
    </w:p>
    <w:p w14:paraId="7216B69C" w14:textId="77777777" w:rsidR="006F00CD" w:rsidRDefault="006F00CD" w:rsidP="00600C79">
      <w:pPr>
        <w:spacing w:after="0" w:line="240" w:lineRule="auto"/>
        <w:ind w:firstLine="720"/>
        <w:jc w:val="both"/>
        <w:rPr>
          <w:rFonts w:ascii="Times New Roman" w:hAnsi="Times New Roman" w:cs="Times New Roman"/>
          <w:sz w:val="28"/>
          <w:szCs w:val="28"/>
          <w:lang w:val="en-US"/>
        </w:rPr>
      </w:pPr>
    </w:p>
    <w:p w14:paraId="6E3DDBEB" w14:textId="18864521" w:rsidR="00600C79" w:rsidRPr="00244343" w:rsidRDefault="00600C79" w:rsidP="00600C79">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Figure 4</w:t>
      </w:r>
      <w:r w:rsidR="00742D77">
        <w:rPr>
          <w:rFonts w:ascii="Times New Roman" w:hAnsi="Times New Roman" w:cs="Times New Roman"/>
          <w:sz w:val="28"/>
          <w:szCs w:val="28"/>
          <w:lang w:val="en-US"/>
        </w:rPr>
        <w:t>3</w:t>
      </w:r>
      <w:r w:rsidRPr="00244343">
        <w:rPr>
          <w:rFonts w:ascii="Times New Roman" w:hAnsi="Times New Roman" w:cs="Times New Roman"/>
          <w:sz w:val="28"/>
          <w:szCs w:val="28"/>
          <w:lang w:val="en-US"/>
        </w:rPr>
        <w:t xml:space="preserve"> clearly demonstrates the degrees of feasibility and desirability over a time. Although it is arguable whether the goal will be desirable at the beginning of every task since desirability rises when the goal is close to achieving, the feasibility of the beginning of any task is also motivating since it is easy to complete.  </w:t>
      </w:r>
    </w:p>
    <w:p w14:paraId="562AAD52" w14:textId="77777777" w:rsidR="00600C79" w:rsidRPr="00244343" w:rsidRDefault="00600C79" w:rsidP="00600C79">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Coursera, as a leading learning platform, demonstrates the power of analytics in enhancing the learning experience. By providing universities with comprehensive analytics on learner engagement and performance, Coursera empowers these institutions to understand how students consume material, identify areas for improvement, and make data-driven decisions. This feedback circle is crucial for maintaining high educational standards and meeting student needs.</w:t>
      </w:r>
    </w:p>
    <w:p w14:paraId="3E4812CF" w14:textId="77777777" w:rsidR="00600C79" w:rsidRPr="00244343" w:rsidRDefault="00600C79" w:rsidP="00600C79">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Coursera's achievements in the online education sector provide an exemplary model for emerging eLearning platforms. Entrepreneurs and universities might extract significant lessons for initiating their online learning platforms by comprehending the essential elements and tactics propelling Coursera's expansion. According to their learning platform builder partner </w:t>
      </w:r>
      <w:proofErr w:type="spellStart"/>
      <w:r w:rsidRPr="00244343">
        <w:rPr>
          <w:rFonts w:ascii="Times New Roman" w:hAnsi="Times New Roman" w:cs="Times New Roman"/>
          <w:sz w:val="28"/>
          <w:szCs w:val="28"/>
          <w:lang w:val="en-US"/>
        </w:rPr>
        <w:t>InfoStride</w:t>
      </w:r>
      <w:proofErr w:type="spellEnd"/>
      <w:r w:rsidRPr="00244343">
        <w:rPr>
          <w:rFonts w:ascii="Times New Roman" w:hAnsi="Times New Roman" w:cs="Times New Roman"/>
          <w:sz w:val="28"/>
          <w:szCs w:val="28"/>
          <w:lang w:val="en-US"/>
        </w:rPr>
        <w:t xml:space="preserve">, numerous processes are necessary for success in a learning platform, including platform construction, data analytics, and AI integration. </w:t>
      </w:r>
    </w:p>
    <w:p w14:paraId="6E0657E1" w14:textId="77777777" w:rsidR="00600C79" w:rsidRPr="00244343" w:rsidRDefault="00600C79" w:rsidP="00600C79">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Investing in a user-friendly, scalable, and secure platform is a non-negotiable for success. The technology stack should support high-quality video streaming, interactive educational features, and easy navigation, ensuring a seamless learning experience for users. </w:t>
      </w:r>
    </w:p>
    <w:p w14:paraId="046633ED" w14:textId="75FE62DC" w:rsidR="00600C79" w:rsidRPr="00244343" w:rsidRDefault="00600C79" w:rsidP="00600C79">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Deploy analytical instruments to monitor learner engagement and performance. Utilizing AI for tailored learning experiences, such as suggesting courses based on user behavior, can markedly enhance user happiness. An improved user experience is seen in developing a seamless and intuitive interface. It encompasses intuitive navigation, distinct course advancement, interactive features, and prompt customer assistance. Coursera's partner integrated advanced analytics </w:t>
      </w:r>
      <w:r w:rsidRPr="00244343">
        <w:rPr>
          <w:rFonts w:ascii="Times New Roman" w:hAnsi="Times New Roman" w:cs="Times New Roman"/>
          <w:sz w:val="28"/>
          <w:szCs w:val="28"/>
          <w:lang w:val="en-US"/>
        </w:rPr>
        <w:lastRenderedPageBreak/>
        <w:t>and artificial intelligence capabilities to deliver insights into learner behavior and customize the educational experience. This data-centric methodology enhances user engagement and satisfaction. Learner behavior and individual user experience are critical elements in determining the usefulness of a learning platform [</w:t>
      </w:r>
      <w:r w:rsidR="005E2CA7">
        <w:rPr>
          <w:rFonts w:ascii="Times New Roman" w:hAnsi="Times New Roman" w:cs="Times New Roman"/>
          <w:sz w:val="28"/>
          <w:szCs w:val="28"/>
          <w:lang w:val="en-US"/>
        </w:rPr>
        <w:t>3</w:t>
      </w:r>
      <w:r w:rsidR="006F00CD">
        <w:rPr>
          <w:rFonts w:ascii="Times New Roman" w:hAnsi="Times New Roman" w:cs="Times New Roman"/>
          <w:sz w:val="28"/>
          <w:szCs w:val="28"/>
          <w:lang w:val="en-US"/>
        </w:rPr>
        <w:t>5</w:t>
      </w:r>
      <w:r w:rsidR="009C0DDF">
        <w:rPr>
          <w:rFonts w:ascii="Times New Roman" w:hAnsi="Times New Roman" w:cs="Times New Roman"/>
          <w:sz w:val="28"/>
          <w:szCs w:val="28"/>
          <w:lang w:val="kk-KZ"/>
        </w:rPr>
        <w:t>8</w:t>
      </w:r>
      <w:r w:rsidRPr="00244343">
        <w:rPr>
          <w:rFonts w:ascii="Times New Roman" w:hAnsi="Times New Roman" w:cs="Times New Roman"/>
          <w:sz w:val="28"/>
          <w:szCs w:val="28"/>
          <w:lang w:val="en-US"/>
        </w:rPr>
        <w:t>].</w:t>
      </w:r>
    </w:p>
    <w:p w14:paraId="5FE2AED6" w14:textId="58E7FF6A" w:rsidR="00600C79" w:rsidRPr="00244343" w:rsidRDefault="00600C79" w:rsidP="00600C79">
      <w:pPr>
        <w:spacing w:after="0" w:line="240" w:lineRule="auto"/>
        <w:ind w:firstLine="720"/>
        <w:contextualSpacing/>
        <w:jc w:val="both"/>
        <w:rPr>
          <w:rFonts w:ascii="Times New Roman" w:hAnsi="Times New Roman" w:cs="Times New Roman"/>
          <w:sz w:val="28"/>
          <w:szCs w:val="28"/>
          <w:shd w:val="clear" w:color="auto" w:fill="FFFFFF"/>
          <w:lang w:val="en-US"/>
        </w:rPr>
      </w:pPr>
      <w:r w:rsidRPr="00244343">
        <w:rPr>
          <w:rFonts w:ascii="Times New Roman" w:hAnsi="Times New Roman" w:cs="Times New Roman"/>
          <w:sz w:val="28"/>
          <w:szCs w:val="28"/>
          <w:shd w:val="clear" w:color="auto" w:fill="FFFFFF"/>
          <w:lang w:val="en-US"/>
        </w:rPr>
        <w:t>The goal-gradient effect dramatically impacts student motivation and learning results by increasing engagement as students near their objectives. Research has shown that being close to rewards increases effort and cognitive processing effectiveness, as shown in experiments where participants performed better when they were closer to a goal [</w:t>
      </w:r>
      <w:r w:rsidR="005E2CA7">
        <w:rPr>
          <w:rFonts w:ascii="Times New Roman" w:hAnsi="Times New Roman" w:cs="Times New Roman"/>
          <w:sz w:val="28"/>
          <w:szCs w:val="28"/>
          <w:shd w:val="clear" w:color="auto" w:fill="FFFFFF"/>
          <w:lang w:val="en-US"/>
        </w:rPr>
        <w:t>3</w:t>
      </w:r>
      <w:r w:rsidR="009C0DDF">
        <w:rPr>
          <w:rFonts w:ascii="Times New Roman" w:hAnsi="Times New Roman" w:cs="Times New Roman"/>
          <w:sz w:val="28"/>
          <w:szCs w:val="28"/>
          <w:shd w:val="clear" w:color="auto" w:fill="FFFFFF"/>
          <w:lang w:val="kk-KZ"/>
        </w:rPr>
        <w:t>59</w:t>
      </w:r>
      <w:r w:rsidRPr="00244343">
        <w:rPr>
          <w:rFonts w:ascii="Times New Roman" w:hAnsi="Times New Roman" w:cs="Times New Roman"/>
          <w:sz w:val="28"/>
          <w:szCs w:val="28"/>
          <w:shd w:val="clear" w:color="auto" w:fill="FFFFFF"/>
          <w:lang w:val="en-US"/>
        </w:rPr>
        <w:t>]. Furthermore, motivational environments are pivotal; pupils exhibiting greater autonomy demonstrated enhanced performance, whereas those subjected to pressure encountered a reduction in motivation and results [</w:t>
      </w:r>
      <w:r w:rsidR="005E2CA7">
        <w:rPr>
          <w:rFonts w:ascii="Times New Roman" w:hAnsi="Times New Roman" w:cs="Times New Roman"/>
          <w:sz w:val="28"/>
          <w:szCs w:val="28"/>
          <w:shd w:val="clear" w:color="auto" w:fill="FFFFFF"/>
          <w:lang w:val="en-US"/>
        </w:rPr>
        <w:t>36</w:t>
      </w:r>
      <w:r w:rsidR="009C0DDF">
        <w:rPr>
          <w:rFonts w:ascii="Times New Roman" w:hAnsi="Times New Roman" w:cs="Times New Roman"/>
          <w:sz w:val="28"/>
          <w:szCs w:val="28"/>
          <w:shd w:val="clear" w:color="auto" w:fill="FFFFFF"/>
          <w:lang w:val="kk-KZ"/>
        </w:rPr>
        <w:t>0</w:t>
      </w:r>
      <w:r w:rsidRPr="00244343">
        <w:rPr>
          <w:rFonts w:ascii="Times New Roman" w:hAnsi="Times New Roman" w:cs="Times New Roman"/>
          <w:sz w:val="28"/>
          <w:szCs w:val="28"/>
          <w:shd w:val="clear" w:color="auto" w:fill="FFFFFF"/>
          <w:lang w:val="en-US"/>
        </w:rPr>
        <w:t>]. Moreover, the interplay between anticipation and value influences motivation gradients, indicating that students do not uniformly react to goal proximity [</w:t>
      </w:r>
      <w:r w:rsidR="005E2CA7">
        <w:rPr>
          <w:rFonts w:ascii="Times New Roman" w:hAnsi="Times New Roman" w:cs="Times New Roman"/>
          <w:sz w:val="28"/>
          <w:szCs w:val="28"/>
          <w:shd w:val="clear" w:color="auto" w:fill="FFFFFF"/>
          <w:lang w:val="en-US"/>
        </w:rPr>
        <w:t>36</w:t>
      </w:r>
      <w:r w:rsidR="009C0DDF">
        <w:rPr>
          <w:rFonts w:ascii="Times New Roman" w:hAnsi="Times New Roman" w:cs="Times New Roman"/>
          <w:sz w:val="28"/>
          <w:szCs w:val="28"/>
          <w:shd w:val="clear" w:color="auto" w:fill="FFFFFF"/>
          <w:lang w:val="kk-KZ"/>
        </w:rPr>
        <w:t>1</w:t>
      </w:r>
      <w:r w:rsidRPr="00244343">
        <w:rPr>
          <w:rFonts w:ascii="Times New Roman" w:hAnsi="Times New Roman" w:cs="Times New Roman"/>
          <w:sz w:val="28"/>
          <w:szCs w:val="28"/>
          <w:shd w:val="clear" w:color="auto" w:fill="FFFFFF"/>
          <w:lang w:val="en-US"/>
        </w:rPr>
        <w:t>]. Ultimately, educators' instructional environment and goal orientation can significantly influence student motivation and academic achievement, highlighting the necessity of cultivating a supportive learning setting [</w:t>
      </w:r>
      <w:r w:rsidR="005E2CA7">
        <w:rPr>
          <w:rFonts w:ascii="Times New Roman" w:hAnsi="Times New Roman" w:cs="Times New Roman"/>
          <w:sz w:val="28"/>
          <w:szCs w:val="28"/>
          <w:shd w:val="clear" w:color="auto" w:fill="FFFFFF"/>
          <w:lang w:val="en-US"/>
        </w:rPr>
        <w:t>36</w:t>
      </w:r>
      <w:r w:rsidR="009C0DDF">
        <w:rPr>
          <w:rFonts w:ascii="Times New Roman" w:hAnsi="Times New Roman" w:cs="Times New Roman"/>
          <w:sz w:val="28"/>
          <w:szCs w:val="28"/>
          <w:shd w:val="clear" w:color="auto" w:fill="FFFFFF"/>
          <w:lang w:val="kk-KZ"/>
        </w:rPr>
        <w:t>2</w:t>
      </w:r>
      <w:r w:rsidR="005E2CA7">
        <w:rPr>
          <w:rFonts w:ascii="Times New Roman" w:hAnsi="Times New Roman" w:cs="Times New Roman"/>
          <w:sz w:val="28"/>
          <w:szCs w:val="28"/>
          <w:shd w:val="clear" w:color="auto" w:fill="FFFFFF"/>
          <w:lang w:val="en-US"/>
        </w:rPr>
        <w:t>-36</w:t>
      </w:r>
      <w:r w:rsidR="009C0DDF">
        <w:rPr>
          <w:rFonts w:ascii="Times New Roman" w:hAnsi="Times New Roman" w:cs="Times New Roman"/>
          <w:sz w:val="28"/>
          <w:szCs w:val="28"/>
          <w:shd w:val="clear" w:color="auto" w:fill="FFFFFF"/>
          <w:lang w:val="kk-KZ"/>
        </w:rPr>
        <w:t>3</w:t>
      </w:r>
      <w:r w:rsidRPr="00244343">
        <w:rPr>
          <w:rFonts w:ascii="Times New Roman" w:hAnsi="Times New Roman" w:cs="Times New Roman"/>
          <w:sz w:val="28"/>
          <w:szCs w:val="28"/>
          <w:shd w:val="clear" w:color="auto" w:fill="FFFFFF"/>
          <w:lang w:val="en-US"/>
        </w:rPr>
        <w:t>].</w:t>
      </w:r>
    </w:p>
    <w:p w14:paraId="165A3A3C"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shd w:val="clear" w:color="auto" w:fill="FFFFFF"/>
          <w:lang w:val="en-US"/>
        </w:rPr>
      </w:pPr>
      <w:r w:rsidRPr="00244343">
        <w:rPr>
          <w:rFonts w:ascii="Times New Roman" w:hAnsi="Times New Roman" w:cs="Times New Roman"/>
          <w:sz w:val="28"/>
          <w:szCs w:val="28"/>
          <w:shd w:val="clear" w:color="auto" w:fill="FFFFFF"/>
          <w:lang w:val="en-US"/>
        </w:rPr>
        <w:t>It is crucial to acknowledge that the goal-gradient effect may not be universally applicable, as variables such as autonomy and pedagogical approaches might result in diverse outcomes among distinct student demographics.</w:t>
      </w:r>
    </w:p>
    <w:p w14:paraId="1E78D841"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shd w:val="clear" w:color="auto" w:fill="FFFFFF"/>
          <w:lang w:val="en-US"/>
        </w:rPr>
      </w:pPr>
      <w:r w:rsidRPr="00244343">
        <w:rPr>
          <w:rFonts w:ascii="Times New Roman" w:hAnsi="Times New Roman" w:cs="Times New Roman"/>
          <w:sz w:val="28"/>
          <w:szCs w:val="28"/>
          <w:shd w:val="clear" w:color="auto" w:fill="FFFFFF"/>
          <w:lang w:val="en-US"/>
        </w:rPr>
        <w:t xml:space="preserve">The influence of the Goal-Gradient Effect on student academic performance is substantial. </w:t>
      </w:r>
    </w:p>
    <w:p w14:paraId="1D0D01E5"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shd w:val="clear" w:color="auto" w:fill="FFFFFF"/>
          <w:lang w:val="en-US"/>
        </w:rPr>
      </w:pPr>
      <w:r w:rsidRPr="00244343">
        <w:rPr>
          <w:rFonts w:ascii="Times New Roman" w:hAnsi="Times New Roman" w:cs="Times New Roman"/>
          <w:sz w:val="28"/>
          <w:szCs w:val="28"/>
          <w:shd w:val="clear" w:color="auto" w:fill="FFFFFF"/>
          <w:lang w:val="en-US"/>
        </w:rPr>
        <w:t>Heightened Motivation: As students near deadlines or milestones, they frequently encounter a rise in motivation. This elevated motivation can result in enhanced effort, concentration, and productivity.</w:t>
      </w:r>
    </w:p>
    <w:p w14:paraId="170E5E39"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shd w:val="clear" w:color="auto" w:fill="FFFFFF"/>
          <w:lang w:val="en-US"/>
        </w:rPr>
      </w:pPr>
      <w:r w:rsidRPr="00244343">
        <w:rPr>
          <w:rFonts w:ascii="Times New Roman" w:hAnsi="Times New Roman" w:cs="Times New Roman"/>
          <w:sz w:val="28"/>
          <w:szCs w:val="28"/>
          <w:shd w:val="clear" w:color="auto" w:fill="FFFFFF"/>
          <w:lang w:val="en-US"/>
        </w:rPr>
        <w:t>Minimized Procrastination: Proximity to a goal can assist pupils in surmounting procrastination and prioritizing their responsibilities. The apprehension of lagging or failing to meet a deadline can be a significant incentive.</w:t>
      </w:r>
    </w:p>
    <w:p w14:paraId="1D4174BF"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shd w:val="clear" w:color="auto" w:fill="FFFFFF"/>
          <w:lang w:val="en-US"/>
        </w:rPr>
      </w:pPr>
      <w:r w:rsidRPr="00244343">
        <w:rPr>
          <w:rFonts w:ascii="Times New Roman" w:hAnsi="Times New Roman" w:cs="Times New Roman"/>
          <w:sz w:val="28"/>
          <w:szCs w:val="28"/>
          <w:shd w:val="clear" w:color="auto" w:fill="FFFFFF"/>
          <w:lang w:val="en-US"/>
        </w:rPr>
        <w:t>Enhanced Time Management: When students recognize an impending deadline, they are more inclined to utilize their time efficiently and dedicate adequate resources to their academic responsibilities.</w:t>
      </w:r>
    </w:p>
    <w:p w14:paraId="7328742A"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shd w:val="clear" w:color="auto" w:fill="FFFFFF"/>
          <w:lang w:val="en-US"/>
        </w:rPr>
      </w:pPr>
      <w:r w:rsidRPr="00244343">
        <w:rPr>
          <w:rFonts w:ascii="Times New Roman" w:hAnsi="Times New Roman" w:cs="Times New Roman"/>
          <w:sz w:val="28"/>
          <w:szCs w:val="28"/>
          <w:shd w:val="clear" w:color="auto" w:fill="FFFFFF"/>
          <w:lang w:val="en-US"/>
        </w:rPr>
        <w:t>Augmented Persistence: The goal-gradient effect can assist pupils in enduring challenges and setbacks. Awareness of proximity to goal attainment can catalyze sustained motivation. Educators can cultivate a more compelling and efficacious learning environment for students by comprehending and utilizing (integrating into the learning platform) the goal-gradient effect. By establishing explicit objectives, offering consistent feedback, and acknowledging achievements, educators can assist students in maintaining attention and motivation and realizing their academic potential.</w:t>
      </w:r>
    </w:p>
    <w:p w14:paraId="71FD529C" w14:textId="601EDD26" w:rsidR="00600C79" w:rsidRPr="00244343" w:rsidRDefault="00600C79" w:rsidP="00600C79">
      <w:pPr>
        <w:spacing w:after="0" w:line="240" w:lineRule="auto"/>
        <w:ind w:firstLine="720"/>
        <w:contextualSpacing/>
        <w:jc w:val="both"/>
        <w:rPr>
          <w:rFonts w:ascii="Times New Roman" w:hAnsi="Times New Roman" w:cs="Times New Roman"/>
          <w:sz w:val="28"/>
          <w:szCs w:val="28"/>
          <w:shd w:val="clear" w:color="auto" w:fill="FFFFFF"/>
          <w:lang w:val="en-US"/>
        </w:rPr>
      </w:pPr>
      <w:r w:rsidRPr="00244343">
        <w:rPr>
          <w:rFonts w:ascii="Times New Roman" w:hAnsi="Times New Roman" w:cs="Times New Roman"/>
          <w:sz w:val="28"/>
          <w:szCs w:val="28"/>
          <w:shd w:val="clear" w:color="auto" w:fill="FFFFFF"/>
          <w:lang w:val="en-US"/>
        </w:rPr>
        <w:t xml:space="preserve">Integrating behavioral economics ideas into educational practices enables educators to cultivate more engaging, effective, and equitable learning environments. This multidisciplinary approach offers significant potential for enhancing student performance and cultivating a lasting passion for learning. Moreover, behavioral economics facilitates the development of school-assignment </w:t>
      </w:r>
      <w:r w:rsidRPr="00244343">
        <w:rPr>
          <w:rFonts w:ascii="Times New Roman" w:hAnsi="Times New Roman" w:cs="Times New Roman"/>
          <w:sz w:val="28"/>
          <w:szCs w:val="28"/>
          <w:shd w:val="clear" w:color="auto" w:fill="FFFFFF"/>
          <w:lang w:val="en-US"/>
        </w:rPr>
        <w:lastRenderedPageBreak/>
        <w:t>systems by addressing discrepancies from rational choice expectations [</w:t>
      </w:r>
      <w:r w:rsidR="005E2CA7">
        <w:rPr>
          <w:rFonts w:ascii="Times New Roman" w:hAnsi="Times New Roman" w:cs="Times New Roman"/>
          <w:sz w:val="28"/>
          <w:szCs w:val="28"/>
          <w:shd w:val="clear" w:color="auto" w:fill="FFFFFF"/>
          <w:lang w:val="en-US"/>
        </w:rPr>
        <w:t>36</w:t>
      </w:r>
      <w:r w:rsidR="009C0DDF">
        <w:rPr>
          <w:rFonts w:ascii="Times New Roman" w:hAnsi="Times New Roman" w:cs="Times New Roman"/>
          <w:sz w:val="28"/>
          <w:szCs w:val="28"/>
          <w:shd w:val="clear" w:color="auto" w:fill="FFFFFF"/>
          <w:lang w:val="kk-KZ"/>
        </w:rPr>
        <w:t>4</w:t>
      </w:r>
      <w:r w:rsidRPr="00244343">
        <w:rPr>
          <w:rFonts w:ascii="Times New Roman" w:hAnsi="Times New Roman" w:cs="Times New Roman"/>
          <w:sz w:val="28"/>
          <w:szCs w:val="28"/>
          <w:shd w:val="clear" w:color="auto" w:fill="FFFFFF"/>
          <w:lang w:val="en-US"/>
        </w:rPr>
        <w:t>]. It offers frameworks for comprehending how students choose educational institutions, emphasizing heuristics and biases in their decision-making [</w:t>
      </w:r>
      <w:r w:rsidR="005E2CA7">
        <w:rPr>
          <w:rFonts w:ascii="Times New Roman" w:hAnsi="Times New Roman" w:cs="Times New Roman"/>
          <w:sz w:val="28"/>
          <w:szCs w:val="28"/>
          <w:shd w:val="clear" w:color="auto" w:fill="FFFFFF"/>
          <w:lang w:val="en-US"/>
        </w:rPr>
        <w:t>36</w:t>
      </w:r>
      <w:r w:rsidR="009C0DDF">
        <w:rPr>
          <w:rFonts w:ascii="Times New Roman" w:hAnsi="Times New Roman" w:cs="Times New Roman"/>
          <w:sz w:val="28"/>
          <w:szCs w:val="28"/>
          <w:shd w:val="clear" w:color="auto" w:fill="FFFFFF"/>
          <w:lang w:val="kk-KZ"/>
        </w:rPr>
        <w:t>5</w:t>
      </w:r>
      <w:r w:rsidRPr="00244343">
        <w:rPr>
          <w:rFonts w:ascii="Times New Roman" w:hAnsi="Times New Roman" w:cs="Times New Roman"/>
          <w:sz w:val="28"/>
          <w:szCs w:val="28"/>
          <w:shd w:val="clear" w:color="auto" w:fill="FFFFFF"/>
          <w:lang w:val="en-US"/>
        </w:rPr>
        <w:t xml:space="preserve">]. </w:t>
      </w:r>
    </w:p>
    <w:p w14:paraId="1E57257B"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shd w:val="clear" w:color="auto" w:fill="FFFFFF"/>
          <w:lang w:val="en-US"/>
        </w:rPr>
        <w:t>The relationship between the goal gradient hypothesis and the locus of control demonstrates the impact of individuals' perceptions of control on their motivation and performance as they proceed toward their objectives. The locus of control, which describes how much people believe they can control the events in their lives, significantly impacts how they react to goal-setting and how difficult they perceive their goals to be. This interaction has the potential to either increase or decrease motivation as individuals approach their objectives.</w:t>
      </w:r>
    </w:p>
    <w:p w14:paraId="1045AE70" w14:textId="77777777" w:rsidR="00600C79" w:rsidRPr="00244343" w:rsidRDefault="00600C79" w:rsidP="00600C79">
      <w:pPr>
        <w:spacing w:after="0" w:line="240" w:lineRule="auto"/>
        <w:ind w:firstLine="720"/>
        <w:jc w:val="both"/>
        <w:rPr>
          <w:rFonts w:ascii="Times New Roman" w:hAnsi="Times New Roman" w:cs="Times New Roman"/>
          <w:sz w:val="28"/>
          <w:szCs w:val="28"/>
          <w:lang w:val="en-US"/>
        </w:rPr>
      </w:pPr>
      <w:bookmarkStart w:id="35" w:name="_Hlk190772416"/>
      <w:r w:rsidRPr="00244343">
        <w:rPr>
          <w:rFonts w:ascii="Times New Roman" w:hAnsi="Times New Roman" w:cs="Times New Roman"/>
          <w:sz w:val="28"/>
          <w:szCs w:val="28"/>
          <w:lang w:val="en-US"/>
        </w:rPr>
        <w:t>In conclusion, the goal-gradient effect fosters a motivational trajectory that improves students' engagement and performance in entrepreneurial and career development activities when self-efficacy and an internal locus of control are moderated. The synergy between these factors creates an upward motivational spiral, particularly relevant in academic and professional settings, where clear milestones and end goals drive student persistence and adaptability in complex tasks.</w:t>
      </w:r>
    </w:p>
    <w:p w14:paraId="738679BE" w14:textId="6CD927E2" w:rsidR="00C02FF7" w:rsidRDefault="00600C79" w:rsidP="00D87732">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These theoretical relationships highlight the importance of fostering self-efficacy and an internal locus of control in educational programs to maximize the goal-gradient effect and improve student entrepreneurship and employability outcomes. This subsection was dedicated to proving the need for integrating the goal-gradient effect into learning platforms and how well it matches and mediates all the factors that influence the students' entrepreneurial intention.</w:t>
      </w:r>
    </w:p>
    <w:p w14:paraId="61DC0987" w14:textId="77777777" w:rsidR="00D87732" w:rsidRPr="00244343" w:rsidRDefault="00D87732" w:rsidP="00D87732">
      <w:pPr>
        <w:spacing w:after="0" w:line="240" w:lineRule="auto"/>
        <w:ind w:firstLine="720"/>
        <w:jc w:val="both"/>
        <w:rPr>
          <w:rFonts w:ascii="Times New Roman" w:hAnsi="Times New Roman" w:cs="Times New Roman"/>
          <w:sz w:val="28"/>
          <w:szCs w:val="28"/>
          <w:lang w:val="en-US"/>
        </w:rPr>
      </w:pPr>
    </w:p>
    <w:bookmarkEnd w:id="35"/>
    <w:p w14:paraId="69CE2D35" w14:textId="02369473" w:rsidR="00600C79" w:rsidRDefault="00015E71" w:rsidP="006F00CD">
      <w:pPr>
        <w:spacing w:after="0" w:line="240" w:lineRule="auto"/>
        <w:contextualSpacing/>
        <w:jc w:val="center"/>
        <w:rPr>
          <w:rFonts w:ascii="Times New Roman" w:hAnsi="Times New Roman" w:cs="Times New Roman"/>
          <w:sz w:val="28"/>
          <w:szCs w:val="28"/>
          <w:lang w:val="en-US"/>
        </w:rPr>
      </w:pPr>
      <w:r w:rsidRPr="00015E71">
        <w:rPr>
          <w:rFonts w:ascii="Times New Roman" w:hAnsi="Times New Roman" w:cs="Times New Roman"/>
          <w:noProof/>
          <w:sz w:val="28"/>
          <w:szCs w:val="28"/>
          <w:lang w:val="en-US"/>
        </w:rPr>
        <w:drawing>
          <wp:inline distT="0" distB="0" distL="0" distR="0" wp14:anchorId="4DE1993D" wp14:editId="7084AC05">
            <wp:extent cx="5877285" cy="2624314"/>
            <wp:effectExtent l="0" t="0" r="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99563" cy="2678913"/>
                    </a:xfrm>
                    <a:prstGeom prst="rect">
                      <a:avLst/>
                    </a:prstGeom>
                  </pic:spPr>
                </pic:pic>
              </a:graphicData>
            </a:graphic>
          </wp:inline>
        </w:drawing>
      </w:r>
    </w:p>
    <w:p w14:paraId="25A92C7D" w14:textId="090BFFED" w:rsidR="00600C79" w:rsidRPr="00C02FF7" w:rsidRDefault="00600C79" w:rsidP="00690084">
      <w:pPr>
        <w:spacing w:after="0" w:line="240" w:lineRule="auto"/>
        <w:jc w:val="center"/>
        <w:rPr>
          <w:rFonts w:ascii="Times New Roman" w:hAnsi="Times New Roman" w:cs="Times New Roman"/>
          <w:sz w:val="28"/>
          <w:szCs w:val="28"/>
          <w:lang w:val="en-US"/>
        </w:rPr>
      </w:pPr>
      <w:r w:rsidRPr="00690084">
        <w:rPr>
          <w:rFonts w:ascii="Times New Roman" w:hAnsi="Times New Roman" w:cs="Times New Roman"/>
          <w:sz w:val="28"/>
          <w:szCs w:val="28"/>
          <w:lang w:val="en-US"/>
        </w:rPr>
        <w:t>Figure 4</w:t>
      </w:r>
      <w:r w:rsidR="00742D77" w:rsidRPr="00690084">
        <w:rPr>
          <w:rFonts w:ascii="Times New Roman" w:hAnsi="Times New Roman" w:cs="Times New Roman"/>
          <w:sz w:val="28"/>
          <w:szCs w:val="28"/>
          <w:lang w:val="en-US"/>
        </w:rPr>
        <w:t>4</w:t>
      </w:r>
      <w:r w:rsidRPr="00690084">
        <w:rPr>
          <w:rFonts w:ascii="Times New Roman" w:hAnsi="Times New Roman" w:cs="Times New Roman"/>
          <w:sz w:val="28"/>
          <w:szCs w:val="28"/>
          <w:lang w:val="en-US"/>
        </w:rPr>
        <w:t xml:space="preserve"> – </w:t>
      </w:r>
      <w:r w:rsidR="00C02FF7" w:rsidRPr="00C02FF7">
        <w:rPr>
          <w:rFonts w:ascii="Times New Roman" w:hAnsi="Times New Roman" w:cs="Times New Roman"/>
          <w:sz w:val="28"/>
          <w:szCs w:val="28"/>
          <w:lang w:val="en-US"/>
        </w:rPr>
        <w:t>Strategic approaches to innovation management in Kazakhstani universities</w:t>
      </w:r>
    </w:p>
    <w:p w14:paraId="661C6FE7" w14:textId="77777777" w:rsidR="00600C79" w:rsidRPr="00244343" w:rsidRDefault="00600C79" w:rsidP="00600C79">
      <w:pPr>
        <w:spacing w:after="0" w:line="240" w:lineRule="auto"/>
        <w:contextualSpacing/>
        <w:jc w:val="both"/>
        <w:rPr>
          <w:rFonts w:ascii="Times New Roman" w:hAnsi="Times New Roman" w:cs="Times New Roman"/>
          <w:sz w:val="28"/>
          <w:szCs w:val="28"/>
          <w:lang w:val="en-US"/>
        </w:rPr>
      </w:pPr>
    </w:p>
    <w:p w14:paraId="5681BBD7" w14:textId="77777777" w:rsidR="006F00CD" w:rsidRDefault="00600C79" w:rsidP="00485771">
      <w:pPr>
        <w:spacing w:after="0" w:line="240" w:lineRule="auto"/>
        <w:ind w:firstLine="720"/>
        <w:jc w:val="both"/>
        <w:rPr>
          <w:rFonts w:ascii="Times New Roman" w:hAnsi="Times New Roman" w:cs="Times New Roman"/>
          <w:sz w:val="24"/>
          <w:szCs w:val="24"/>
          <w:lang w:val="en-US"/>
        </w:rPr>
      </w:pPr>
      <w:r w:rsidRPr="00836FC0">
        <w:rPr>
          <w:rFonts w:ascii="Times New Roman" w:hAnsi="Times New Roman" w:cs="Times New Roman"/>
          <w:sz w:val="24"/>
          <w:szCs w:val="24"/>
          <w:lang w:val="en-US"/>
        </w:rPr>
        <w:t>Note – Compiled by author</w:t>
      </w:r>
    </w:p>
    <w:p w14:paraId="6BFDEF78" w14:textId="4A100AAF" w:rsidR="00600C79" w:rsidRPr="00836FC0" w:rsidRDefault="00600C79" w:rsidP="006F00CD">
      <w:pPr>
        <w:spacing w:after="0" w:line="240" w:lineRule="auto"/>
        <w:jc w:val="both"/>
        <w:rPr>
          <w:rFonts w:ascii="Times New Roman" w:hAnsi="Times New Roman" w:cs="Times New Roman"/>
          <w:sz w:val="24"/>
          <w:szCs w:val="24"/>
          <w:lang w:val="en-US"/>
        </w:rPr>
      </w:pPr>
      <w:r w:rsidRPr="00836FC0">
        <w:rPr>
          <w:rFonts w:ascii="Times New Roman" w:hAnsi="Times New Roman" w:cs="Times New Roman"/>
          <w:sz w:val="24"/>
          <w:szCs w:val="24"/>
          <w:lang w:val="en-US"/>
        </w:rPr>
        <w:t xml:space="preserve"> </w:t>
      </w:r>
    </w:p>
    <w:p w14:paraId="224EA79F" w14:textId="7E33E40A" w:rsidR="00600C79" w:rsidRPr="00244343" w:rsidRDefault="00600C79" w:rsidP="00600C79">
      <w:pPr>
        <w:spacing w:after="0" w:line="240" w:lineRule="auto"/>
        <w:ind w:firstLine="720"/>
        <w:jc w:val="both"/>
        <w:rPr>
          <w:rFonts w:ascii="Times New Roman" w:hAnsi="Times New Roman" w:cs="Times New Roman"/>
          <w:sz w:val="28"/>
          <w:szCs w:val="28"/>
          <w:lang w:val="en-US"/>
        </w:rPr>
      </w:pPr>
      <w:bookmarkStart w:id="36" w:name="_Hlk190772352"/>
      <w:r w:rsidRPr="00244343">
        <w:rPr>
          <w:rFonts w:ascii="Times New Roman" w:hAnsi="Times New Roman" w:cs="Times New Roman"/>
          <w:sz w:val="28"/>
          <w:szCs w:val="28"/>
          <w:lang w:val="en-US"/>
        </w:rPr>
        <w:t xml:space="preserve">The author's statement elaborates on enhancing student entrepreneurship through empirical analysis, effectively demonstrating the impact of the proposed recommendations. The practical suggestions for putting the Triple Helix model into practice in Kazakhstani universities' innovation management system stress the </w:t>
      </w:r>
      <w:r w:rsidRPr="00244343">
        <w:rPr>
          <w:rFonts w:ascii="Times New Roman" w:hAnsi="Times New Roman" w:cs="Times New Roman"/>
          <w:sz w:val="28"/>
          <w:szCs w:val="28"/>
          <w:lang w:val="en-US"/>
        </w:rPr>
        <w:lastRenderedPageBreak/>
        <w:t>importance of adding goal-gradient effect mechanisms to learning platforms, which are linked to better outcomes for student entrepreneurs. As illustrated in Figure 4</w:t>
      </w:r>
      <w:r w:rsidR="00742D77">
        <w:rPr>
          <w:rFonts w:ascii="Times New Roman" w:hAnsi="Times New Roman" w:cs="Times New Roman"/>
          <w:sz w:val="28"/>
          <w:szCs w:val="28"/>
          <w:lang w:val="en-US"/>
        </w:rPr>
        <w:t>4</w:t>
      </w:r>
      <w:r w:rsidRPr="00244343">
        <w:rPr>
          <w:rFonts w:ascii="Times New Roman" w:hAnsi="Times New Roman" w:cs="Times New Roman"/>
          <w:sz w:val="28"/>
          <w:szCs w:val="28"/>
          <w:lang w:val="en-US"/>
        </w:rPr>
        <w:t>, the model encompasses the three key stakeholders in university collaboration. For example, educational programs and platforms with goal-gradient effect indicators and the university's supportive environment are the main tools and parts that help student entrepreneurs achieve tangible and intangible results.</w:t>
      </w:r>
    </w:p>
    <w:p w14:paraId="65FE4DA7" w14:textId="77777777" w:rsidR="009C7619" w:rsidRDefault="00600C79" w:rsidP="00690084">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discipline blocks designated "Entrepreneurial Mindset" play a pivotal role in cultivating specific skills among students over four years. This gradual development has the potential to positively influence their attitudes while enhancing SE and self-discipline, which are integral components of a strong locus of control (LOC). These factors collectively contribute to the building of an entrepreneurial mindset. </w:t>
      </w:r>
    </w:p>
    <w:p w14:paraId="16D48112" w14:textId="6380F9DC" w:rsidR="00690084" w:rsidRDefault="00600C79" w:rsidP="00690084">
      <w:pPr>
        <w:spacing w:after="0" w:line="240" w:lineRule="auto"/>
        <w:ind w:firstLine="720"/>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Furthermore, the goal-gradient effect has been shown to enhance academic performance by motivating students to progress as they observe tangible results represented by incremental advancements on moving scale bars. When these psychological frameworks and motivational dynamics are integrated with initiatives such as UIC projects or a supporting start-up environment, they are likely to significantly contribute to student entrepreneurship </w:t>
      </w:r>
      <w:proofErr w:type="spellStart"/>
      <w:r w:rsidRPr="00244343">
        <w:rPr>
          <w:rFonts w:ascii="Times New Roman" w:hAnsi="Times New Roman" w:cs="Times New Roman"/>
          <w:sz w:val="28"/>
          <w:szCs w:val="28"/>
          <w:lang w:val="en-US"/>
        </w:rPr>
        <w:t>endeavours'</w:t>
      </w:r>
      <w:proofErr w:type="spellEnd"/>
      <w:r w:rsidRPr="00244343">
        <w:rPr>
          <w:rFonts w:ascii="Times New Roman" w:hAnsi="Times New Roman" w:cs="Times New Roman"/>
          <w:sz w:val="28"/>
          <w:szCs w:val="28"/>
          <w:lang w:val="en-US"/>
        </w:rPr>
        <w:t xml:space="preserve"> success and overall effectiveness.</w:t>
      </w:r>
    </w:p>
    <w:p w14:paraId="313C919B" w14:textId="77777777" w:rsidR="00690084" w:rsidRDefault="00600C79" w:rsidP="00690084">
      <w:pPr>
        <w:spacing w:after="0" w:line="240" w:lineRule="auto"/>
        <w:ind w:firstLine="720"/>
        <w:jc w:val="both"/>
        <w:rPr>
          <w:rFonts w:ascii="Times New Roman" w:hAnsi="Times New Roman" w:cs="Times New Roman"/>
          <w:sz w:val="28"/>
          <w:szCs w:val="28"/>
          <w:lang w:val="en-US"/>
        </w:rPr>
      </w:pPr>
      <w:r w:rsidRPr="005D4A08">
        <w:rPr>
          <w:rFonts w:ascii="Times New Roman" w:eastAsia="Times New Roman" w:hAnsi="Times New Roman" w:cs="Times New Roman"/>
          <w:color w:val="0E101A"/>
          <w:sz w:val="28"/>
          <w:szCs w:val="28"/>
          <w:lang w:val="en-US"/>
        </w:rPr>
        <w:t>The following recommendations are given to Implementing Motivational</w:t>
      </w:r>
      <w:r w:rsidR="00690084">
        <w:rPr>
          <w:rFonts w:ascii="Times New Roman" w:eastAsia="Times New Roman" w:hAnsi="Times New Roman" w:cs="Times New Roman"/>
          <w:color w:val="0E101A"/>
          <w:sz w:val="28"/>
          <w:szCs w:val="28"/>
          <w:lang w:val="en-US"/>
        </w:rPr>
        <w:t xml:space="preserve"> </w:t>
      </w:r>
      <w:r w:rsidRPr="005D4A08">
        <w:rPr>
          <w:rFonts w:ascii="Times New Roman" w:eastAsia="Times New Roman" w:hAnsi="Times New Roman" w:cs="Times New Roman"/>
          <w:color w:val="0E101A"/>
          <w:sz w:val="28"/>
          <w:szCs w:val="28"/>
          <w:lang w:val="en-US"/>
        </w:rPr>
        <w:t>Tools in Kazakhstani Universities:</w:t>
      </w:r>
    </w:p>
    <w:p w14:paraId="50B5649F" w14:textId="77777777" w:rsidR="00690084" w:rsidRDefault="00600C79" w:rsidP="00690084">
      <w:pPr>
        <w:spacing w:after="0" w:line="240" w:lineRule="auto"/>
        <w:ind w:firstLine="720"/>
        <w:jc w:val="both"/>
        <w:rPr>
          <w:rFonts w:ascii="Times New Roman" w:hAnsi="Times New Roman" w:cs="Times New Roman"/>
          <w:sz w:val="28"/>
          <w:szCs w:val="28"/>
          <w:lang w:val="en-US"/>
        </w:rPr>
      </w:pPr>
      <w:r w:rsidRPr="005D4A08">
        <w:rPr>
          <w:rFonts w:ascii="Times New Roman" w:eastAsia="Times New Roman" w:hAnsi="Times New Roman" w:cs="Times New Roman"/>
          <w:color w:val="0E101A"/>
          <w:sz w:val="28"/>
          <w:szCs w:val="28"/>
          <w:lang w:val="en-US"/>
        </w:rPr>
        <w:t>To successfully integrate these tools, Kazakhstani universities should:</w:t>
      </w:r>
    </w:p>
    <w:p w14:paraId="4A50C446" w14:textId="77777777" w:rsidR="00690084" w:rsidRDefault="00600C79" w:rsidP="00690084">
      <w:pPr>
        <w:spacing w:after="0" w:line="240" w:lineRule="auto"/>
        <w:ind w:firstLine="720"/>
        <w:jc w:val="both"/>
        <w:rPr>
          <w:rFonts w:ascii="Times New Roman" w:hAnsi="Times New Roman" w:cs="Times New Roman"/>
          <w:sz w:val="28"/>
          <w:szCs w:val="28"/>
          <w:lang w:val="en-US"/>
        </w:rPr>
      </w:pPr>
      <w:r w:rsidRPr="005D4A08">
        <w:rPr>
          <w:rFonts w:ascii="Times New Roman" w:eastAsia="Times New Roman" w:hAnsi="Times New Roman" w:cs="Times New Roman"/>
          <w:color w:val="0E101A"/>
          <w:sz w:val="28"/>
          <w:szCs w:val="28"/>
          <w:lang w:val="en-US"/>
        </w:rPr>
        <w:t>1) Upgrade Learning Platforms – Implement AI-powered and gamified LMS features within existing platforms such as Moodle, Canvas, or locally developed systems.</w:t>
      </w:r>
    </w:p>
    <w:p w14:paraId="4DAAF295" w14:textId="24F7304A" w:rsidR="00690084" w:rsidRDefault="00600C79" w:rsidP="00690084">
      <w:pPr>
        <w:spacing w:after="0" w:line="240" w:lineRule="auto"/>
        <w:ind w:firstLine="720"/>
        <w:jc w:val="both"/>
        <w:rPr>
          <w:rFonts w:ascii="Times New Roman" w:hAnsi="Times New Roman" w:cs="Times New Roman"/>
          <w:sz w:val="28"/>
          <w:szCs w:val="28"/>
          <w:lang w:val="en-US"/>
        </w:rPr>
      </w:pPr>
      <w:r w:rsidRPr="005D4A08">
        <w:rPr>
          <w:rFonts w:ascii="Times New Roman" w:eastAsia="Times New Roman" w:hAnsi="Times New Roman" w:cs="Times New Roman"/>
          <w:color w:val="0E101A"/>
          <w:sz w:val="28"/>
          <w:szCs w:val="28"/>
          <w:lang w:val="en-US"/>
        </w:rPr>
        <w:t>2)</w:t>
      </w:r>
      <w:r w:rsidR="00822365">
        <w:rPr>
          <w:rFonts w:ascii="Times New Roman" w:eastAsia="Times New Roman" w:hAnsi="Times New Roman" w:cs="Times New Roman"/>
          <w:color w:val="0E101A"/>
          <w:sz w:val="28"/>
          <w:szCs w:val="28"/>
          <w:lang w:val="en-US"/>
        </w:rPr>
        <w:t xml:space="preserve"> </w:t>
      </w:r>
      <w:r w:rsidRPr="005D4A08">
        <w:rPr>
          <w:rFonts w:ascii="Times New Roman" w:eastAsia="Times New Roman" w:hAnsi="Times New Roman" w:cs="Times New Roman"/>
          <w:color w:val="0E101A"/>
          <w:sz w:val="28"/>
          <w:szCs w:val="28"/>
          <w:lang w:val="en-US"/>
        </w:rPr>
        <w:t>Train Faculty and IT Staff</w:t>
      </w:r>
      <w:r w:rsidRPr="005D4A08">
        <w:rPr>
          <w:rFonts w:ascii="Times New Roman" w:eastAsia="Times New Roman" w:hAnsi="Times New Roman" w:cs="Times New Roman"/>
          <w:b/>
          <w:bCs/>
          <w:color w:val="0E101A"/>
          <w:sz w:val="28"/>
          <w:szCs w:val="28"/>
          <w:lang w:val="en-US"/>
        </w:rPr>
        <w:t xml:space="preserve"> </w:t>
      </w:r>
      <w:r w:rsidRPr="005D4A08">
        <w:rPr>
          <w:rFonts w:ascii="Times New Roman" w:eastAsia="Times New Roman" w:hAnsi="Times New Roman" w:cs="Times New Roman"/>
          <w:color w:val="0E101A"/>
          <w:sz w:val="28"/>
          <w:szCs w:val="28"/>
          <w:lang w:val="en-US"/>
        </w:rPr>
        <w:t>– Educators should receive training on how to utilize motivational tools and analytics to monitor student engagement.</w:t>
      </w:r>
    </w:p>
    <w:p w14:paraId="2BF618D4" w14:textId="3A04400E" w:rsidR="00690084" w:rsidRDefault="00600C79" w:rsidP="00690084">
      <w:pPr>
        <w:spacing w:after="0" w:line="240" w:lineRule="auto"/>
        <w:ind w:firstLine="720"/>
        <w:jc w:val="both"/>
        <w:rPr>
          <w:rFonts w:ascii="Times New Roman" w:hAnsi="Times New Roman" w:cs="Times New Roman"/>
          <w:sz w:val="28"/>
          <w:szCs w:val="28"/>
          <w:lang w:val="en-US"/>
        </w:rPr>
      </w:pPr>
      <w:r w:rsidRPr="005D4A08">
        <w:rPr>
          <w:rFonts w:ascii="Times New Roman" w:eastAsia="Times New Roman" w:hAnsi="Times New Roman" w:cs="Times New Roman"/>
          <w:color w:val="0E101A"/>
          <w:sz w:val="28"/>
          <w:szCs w:val="28"/>
          <w:lang w:val="en-US"/>
        </w:rPr>
        <w:t>3)</w:t>
      </w:r>
      <w:r w:rsidR="00822365">
        <w:rPr>
          <w:rFonts w:ascii="Times New Roman" w:eastAsia="Times New Roman" w:hAnsi="Times New Roman" w:cs="Times New Roman"/>
          <w:color w:val="0E101A"/>
          <w:sz w:val="28"/>
          <w:szCs w:val="28"/>
          <w:lang w:val="en-US"/>
        </w:rPr>
        <w:t xml:space="preserve"> </w:t>
      </w:r>
      <w:r w:rsidRPr="005D4A08">
        <w:rPr>
          <w:rFonts w:ascii="Times New Roman" w:eastAsia="Times New Roman" w:hAnsi="Times New Roman" w:cs="Times New Roman"/>
          <w:color w:val="0E101A"/>
          <w:sz w:val="28"/>
          <w:szCs w:val="28"/>
          <w:lang w:val="en-US"/>
        </w:rPr>
        <w:t>Encourage Industry Partnerships – Collaborate with tech companies to implement advanced engagement tools and AI-based learning analytics.</w:t>
      </w:r>
    </w:p>
    <w:p w14:paraId="6C762D9B" w14:textId="77777777" w:rsidR="00690084" w:rsidRDefault="00600C79" w:rsidP="00690084">
      <w:pPr>
        <w:spacing w:after="0" w:line="240" w:lineRule="auto"/>
        <w:ind w:firstLine="720"/>
        <w:jc w:val="both"/>
        <w:rPr>
          <w:rFonts w:ascii="Times New Roman" w:hAnsi="Times New Roman" w:cs="Times New Roman"/>
          <w:sz w:val="28"/>
          <w:szCs w:val="28"/>
          <w:lang w:val="en-US"/>
        </w:rPr>
      </w:pPr>
      <w:r w:rsidRPr="005D4A08">
        <w:rPr>
          <w:rFonts w:ascii="Times New Roman" w:eastAsia="Times New Roman" w:hAnsi="Times New Roman" w:cs="Times New Roman"/>
          <w:color w:val="0E101A"/>
          <w:sz w:val="28"/>
          <w:szCs w:val="28"/>
          <w:lang w:val="en-US"/>
        </w:rPr>
        <w:t>4) Culturally Adaptable Elements – Combine elements appealing to local students, including achievements with a Kazakhstan theme or joint projects with national organizations for real benefits.</w:t>
      </w:r>
    </w:p>
    <w:p w14:paraId="7E72F220" w14:textId="501A2344" w:rsidR="00600C79" w:rsidRPr="00690084" w:rsidRDefault="00600C79" w:rsidP="00690084">
      <w:pPr>
        <w:spacing w:after="0" w:line="240" w:lineRule="auto"/>
        <w:ind w:firstLine="720"/>
        <w:jc w:val="both"/>
        <w:rPr>
          <w:rFonts w:ascii="Times New Roman" w:hAnsi="Times New Roman" w:cs="Times New Roman"/>
          <w:sz w:val="28"/>
          <w:szCs w:val="28"/>
          <w:lang w:val="en-US"/>
        </w:rPr>
      </w:pPr>
      <w:r w:rsidRPr="005D4A08">
        <w:rPr>
          <w:rFonts w:ascii="Times New Roman" w:eastAsia="Times New Roman" w:hAnsi="Times New Roman" w:cs="Times New Roman"/>
          <w:color w:val="0E101A"/>
          <w:sz w:val="28"/>
          <w:szCs w:val="28"/>
          <w:lang w:val="en-US"/>
        </w:rPr>
        <w:t>5)</w:t>
      </w:r>
      <w:r w:rsidR="00822365">
        <w:rPr>
          <w:rFonts w:ascii="Times New Roman" w:eastAsia="Times New Roman" w:hAnsi="Times New Roman" w:cs="Times New Roman"/>
          <w:color w:val="0E101A"/>
          <w:sz w:val="28"/>
          <w:szCs w:val="28"/>
          <w:lang w:val="en-US"/>
        </w:rPr>
        <w:t xml:space="preserve"> </w:t>
      </w:r>
      <w:r w:rsidRPr="005D4A08">
        <w:rPr>
          <w:rFonts w:ascii="Times New Roman" w:eastAsia="Times New Roman" w:hAnsi="Times New Roman" w:cs="Times New Roman"/>
          <w:color w:val="0E101A"/>
          <w:sz w:val="28"/>
          <w:szCs w:val="28"/>
          <w:lang w:val="en-US"/>
        </w:rPr>
        <w:t xml:space="preserve">Using student comments and data analytics to assess and evaluate efficacy of motivating strategies. </w:t>
      </w:r>
    </w:p>
    <w:bookmarkEnd w:id="36"/>
    <w:p w14:paraId="1ABFB42E" w14:textId="77777777" w:rsidR="00600C79" w:rsidRPr="006D6AB1" w:rsidRDefault="00600C79" w:rsidP="00742D77">
      <w:pPr>
        <w:spacing w:after="0" w:line="240" w:lineRule="auto"/>
        <w:ind w:firstLine="720"/>
        <w:contextualSpacing/>
        <w:jc w:val="both"/>
        <w:rPr>
          <w:rFonts w:ascii="Times New Roman" w:eastAsia="Times New Roman" w:hAnsi="Times New Roman" w:cs="Times New Roman"/>
          <w:sz w:val="28"/>
          <w:szCs w:val="28"/>
          <w:lang w:val="en-US"/>
        </w:rPr>
      </w:pPr>
      <w:r w:rsidRPr="00C67AEC">
        <w:rPr>
          <w:rFonts w:ascii="Times New Roman" w:eastAsia="Times New Roman" w:hAnsi="Times New Roman" w:cs="Times New Roman"/>
          <w:sz w:val="28"/>
          <w:szCs w:val="28"/>
          <w:lang w:val="en-US"/>
        </w:rPr>
        <w:t xml:space="preserve">​Integrating the goal-gradient effect into educational platforms enhances student motivation and academic performance and cultivates essential entrepreneurial competencies. By structuring learning experiences that point out incremental progress and provide immediate feedback, students develop self—regulation, resilience, and proactive goal—setting skills— attributes essential for entrepreneurial success. This transforms the classroom into a dynamic incubator, </w:t>
      </w:r>
      <w:r w:rsidRPr="006D6AB1">
        <w:rPr>
          <w:rFonts w:ascii="Times New Roman" w:eastAsia="Times New Roman" w:hAnsi="Times New Roman" w:cs="Times New Roman"/>
          <w:sz w:val="28"/>
          <w:szCs w:val="28"/>
          <w:lang w:val="en-US"/>
        </w:rPr>
        <w:t>equipping students to navigate the hurdles of startup initiation and management.</w:t>
      </w:r>
    </w:p>
    <w:p w14:paraId="47701A9C" w14:textId="77777777" w:rsidR="00600C79" w:rsidRDefault="00600C79" w:rsidP="00742D77">
      <w:pPr>
        <w:spacing w:after="0" w:line="240" w:lineRule="auto"/>
        <w:ind w:firstLine="720"/>
        <w:contextualSpacing/>
        <w:jc w:val="both"/>
        <w:rPr>
          <w:rFonts w:ascii="Times New Roman" w:eastAsia="Times New Roman" w:hAnsi="Times New Roman" w:cs="Times New Roman"/>
          <w:color w:val="0E101A"/>
          <w:sz w:val="28"/>
          <w:szCs w:val="28"/>
          <w:lang w:val="en-US"/>
        </w:rPr>
      </w:pPr>
      <w:r w:rsidRPr="006D6AB1">
        <w:rPr>
          <w:rFonts w:ascii="Times New Roman" w:eastAsia="Times New Roman" w:hAnsi="Times New Roman" w:cs="Times New Roman"/>
          <w:color w:val="0E101A"/>
          <w:sz w:val="28"/>
          <w:szCs w:val="28"/>
          <w:lang w:val="en-US"/>
        </w:rPr>
        <w:t xml:space="preserve">Including the goal-gradient effect in educational systems and courses will significantly increase student involvement in entrepreneurial activities. This psychological phenomenon shows that people increase their efforts when they feel </w:t>
      </w:r>
      <w:r w:rsidRPr="006D6AB1">
        <w:rPr>
          <w:rFonts w:ascii="Times New Roman" w:eastAsia="Times New Roman" w:hAnsi="Times New Roman" w:cs="Times New Roman"/>
          <w:color w:val="0E101A"/>
          <w:sz w:val="28"/>
          <w:szCs w:val="28"/>
          <w:lang w:val="en-US"/>
        </w:rPr>
        <w:lastRenderedPageBreak/>
        <w:t xml:space="preserve">as though they are close to a target.   Institutions may inspire students to keep growing their businesses by organizing entrepreneurial support systems to show little achievements and quick benefits. </w:t>
      </w:r>
    </w:p>
    <w:p w14:paraId="32B99A9B" w14:textId="43F33B66" w:rsidR="00600C79" w:rsidRDefault="00600C79" w:rsidP="00742D77">
      <w:pPr>
        <w:spacing w:after="0" w:line="240" w:lineRule="auto"/>
        <w:ind w:firstLine="720"/>
        <w:contextualSpacing/>
        <w:jc w:val="both"/>
        <w:rPr>
          <w:rFonts w:ascii="Times New Roman" w:eastAsia="Times New Roman" w:hAnsi="Times New Roman" w:cs="Times New Roman"/>
          <w:color w:val="0E101A"/>
          <w:sz w:val="28"/>
          <w:szCs w:val="28"/>
          <w:lang w:val="en-US"/>
        </w:rPr>
      </w:pPr>
      <w:r w:rsidRPr="00850733">
        <w:rPr>
          <w:rFonts w:ascii="Times New Roman" w:eastAsia="Times New Roman" w:hAnsi="Times New Roman" w:cs="Times New Roman"/>
          <w:color w:val="0E101A"/>
          <w:sz w:val="28"/>
          <w:szCs w:val="28"/>
          <w:lang w:val="en-US"/>
        </w:rPr>
        <w:t xml:space="preserve">Extending the theoretical framework of the goal-gradient effect—that is, that people intensify their efforts as they get closer to a target—the following suggestions have been made to improve support for student entrepreneurs.  These recommendations seek to organize entrepreneurial support systems that underline little achievements and offer proximal rewards, using the goal-gradient effect to maintain student motivation and dedication to entrepreneurial activities.  </w:t>
      </w:r>
      <w:r w:rsidRPr="00690084">
        <w:rPr>
          <w:rFonts w:ascii="Times New Roman" w:eastAsia="Times New Roman" w:hAnsi="Times New Roman" w:cs="Times New Roman"/>
          <w:color w:val="0E101A"/>
          <w:sz w:val="28"/>
          <w:szCs w:val="28"/>
          <w:lang w:val="en-US"/>
        </w:rPr>
        <w:t xml:space="preserve">Table </w:t>
      </w:r>
      <w:r w:rsidR="00690084" w:rsidRPr="00690084">
        <w:rPr>
          <w:rFonts w:ascii="Times New Roman" w:eastAsia="Times New Roman" w:hAnsi="Times New Roman" w:cs="Times New Roman"/>
          <w:color w:val="0E101A"/>
          <w:sz w:val="28"/>
          <w:szCs w:val="28"/>
          <w:lang w:val="en-US"/>
        </w:rPr>
        <w:t>20</w:t>
      </w:r>
      <w:r w:rsidRPr="00690084">
        <w:rPr>
          <w:rFonts w:ascii="Times New Roman" w:eastAsia="Times New Roman" w:hAnsi="Times New Roman" w:cs="Times New Roman"/>
          <w:color w:val="0E101A"/>
          <w:sz w:val="28"/>
          <w:szCs w:val="28"/>
          <w:lang w:val="en-US"/>
        </w:rPr>
        <w:t xml:space="preserve"> offers</w:t>
      </w:r>
      <w:r w:rsidRPr="00850733">
        <w:rPr>
          <w:rFonts w:ascii="Times New Roman" w:eastAsia="Times New Roman" w:hAnsi="Times New Roman" w:cs="Times New Roman"/>
          <w:color w:val="0E101A"/>
          <w:sz w:val="28"/>
          <w:szCs w:val="28"/>
          <w:lang w:val="en-US"/>
        </w:rPr>
        <w:t xml:space="preserve"> specific suggestions to support student-led companies' growth and success.</w:t>
      </w:r>
    </w:p>
    <w:p w14:paraId="1CF2B11C" w14:textId="77777777" w:rsidR="00822365" w:rsidRPr="006D6AB1" w:rsidRDefault="00822365" w:rsidP="00690084">
      <w:pPr>
        <w:spacing w:after="0" w:line="240" w:lineRule="auto"/>
        <w:contextualSpacing/>
        <w:jc w:val="both"/>
        <w:rPr>
          <w:rFonts w:ascii="Times New Roman" w:eastAsia="Times New Roman" w:hAnsi="Times New Roman" w:cs="Times New Roman"/>
          <w:color w:val="0E101A"/>
          <w:sz w:val="28"/>
          <w:szCs w:val="28"/>
          <w:lang w:val="en-US"/>
        </w:rPr>
      </w:pPr>
    </w:p>
    <w:p w14:paraId="156CEE2C" w14:textId="0140D592" w:rsidR="00600C79" w:rsidRDefault="00600C79" w:rsidP="00690084">
      <w:pPr>
        <w:spacing w:after="0" w:line="240" w:lineRule="auto"/>
        <w:ind w:firstLine="720"/>
        <w:contextualSpacing/>
        <w:jc w:val="both"/>
        <w:rPr>
          <w:rFonts w:ascii="Times New Roman" w:eastAsia="Times New Roman" w:hAnsi="Times New Roman" w:cs="Times New Roman"/>
          <w:color w:val="0E101A"/>
          <w:sz w:val="28"/>
          <w:szCs w:val="28"/>
          <w:lang w:val="en-US"/>
        </w:rPr>
      </w:pPr>
      <w:r w:rsidRPr="00690084">
        <w:rPr>
          <w:rFonts w:ascii="Times New Roman" w:eastAsia="Times New Roman" w:hAnsi="Times New Roman" w:cs="Times New Roman"/>
          <w:color w:val="0E101A"/>
          <w:sz w:val="28"/>
          <w:szCs w:val="28"/>
          <w:lang w:val="en-US"/>
        </w:rPr>
        <w:t xml:space="preserve">Table </w:t>
      </w:r>
      <w:r w:rsidR="00690084">
        <w:rPr>
          <w:rFonts w:ascii="Times New Roman" w:eastAsia="Times New Roman" w:hAnsi="Times New Roman" w:cs="Times New Roman"/>
          <w:color w:val="0E101A"/>
          <w:sz w:val="28"/>
          <w:szCs w:val="28"/>
          <w:lang w:val="en-US"/>
        </w:rPr>
        <w:t>2</w:t>
      </w:r>
      <w:r w:rsidR="0060031D">
        <w:rPr>
          <w:rFonts w:ascii="Times New Roman" w:eastAsia="Times New Roman" w:hAnsi="Times New Roman" w:cs="Times New Roman"/>
          <w:color w:val="0E101A"/>
          <w:sz w:val="28"/>
          <w:szCs w:val="28"/>
          <w:lang w:val="en-US"/>
        </w:rPr>
        <w:t>2</w:t>
      </w:r>
      <w:r w:rsidR="00742D77" w:rsidRPr="00690084">
        <w:rPr>
          <w:rFonts w:ascii="Times New Roman" w:eastAsia="Times New Roman" w:hAnsi="Times New Roman" w:cs="Times New Roman"/>
          <w:color w:val="0E101A"/>
          <w:sz w:val="28"/>
          <w:szCs w:val="28"/>
          <w:lang w:val="en-US"/>
        </w:rPr>
        <w:t xml:space="preserve"> </w:t>
      </w:r>
      <w:r w:rsidR="00822365">
        <w:rPr>
          <w:rFonts w:ascii="Times New Roman" w:eastAsia="Times New Roman" w:hAnsi="Times New Roman" w:cs="Times New Roman"/>
          <w:color w:val="0E101A"/>
          <w:sz w:val="28"/>
          <w:szCs w:val="28"/>
          <w:lang w:val="en-US"/>
        </w:rPr>
        <w:t xml:space="preserve">– </w:t>
      </w:r>
      <w:r w:rsidR="00742D77" w:rsidRPr="00690084">
        <w:rPr>
          <w:rFonts w:ascii="Times New Roman" w:eastAsia="Times New Roman" w:hAnsi="Times New Roman" w:cs="Times New Roman"/>
          <w:color w:val="0E101A"/>
          <w:sz w:val="28"/>
          <w:szCs w:val="28"/>
          <w:lang w:val="en-US"/>
        </w:rPr>
        <w:t>Students start-up development recommendations</w:t>
      </w:r>
    </w:p>
    <w:p w14:paraId="41996160" w14:textId="77777777" w:rsidR="00690084" w:rsidRPr="00690084" w:rsidRDefault="00690084" w:rsidP="00690084">
      <w:pPr>
        <w:spacing w:after="0" w:line="240" w:lineRule="auto"/>
        <w:ind w:firstLine="720"/>
        <w:contextualSpacing/>
        <w:jc w:val="both"/>
        <w:rPr>
          <w:rFonts w:ascii="Times New Roman" w:eastAsia="Times New Roman" w:hAnsi="Times New Roman" w:cs="Times New Roman"/>
          <w:color w:val="0E101A"/>
          <w:sz w:val="28"/>
          <w:szCs w:val="28"/>
          <w:lang w:val="en-US"/>
        </w:rPr>
      </w:pPr>
    </w:p>
    <w:tbl>
      <w:tblPr>
        <w:tblStyle w:val="-15"/>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976"/>
        <w:gridCol w:w="3119"/>
      </w:tblGrid>
      <w:tr w:rsidR="00600C79" w:rsidRPr="00690084" w14:paraId="1A8267A5" w14:textId="77777777" w:rsidTr="0085387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tcBorders>
            <w:hideMark/>
          </w:tcPr>
          <w:p w14:paraId="0EF9DADD" w14:textId="77777777" w:rsidR="00600C79" w:rsidRPr="0060031D" w:rsidRDefault="00600C79" w:rsidP="00690084">
            <w:pPr>
              <w:pStyle w:val="af"/>
              <w:rPr>
                <w:rFonts w:ascii="Times New Roman" w:hAnsi="Times New Roman" w:cs="Times New Roman"/>
                <w:b w:val="0"/>
                <w:bCs w:val="0"/>
                <w:sz w:val="28"/>
                <w:szCs w:val="28"/>
                <w:lang w:val="en-US"/>
              </w:rPr>
            </w:pPr>
            <w:r w:rsidRPr="0060031D">
              <w:rPr>
                <w:rFonts w:ascii="Times New Roman" w:hAnsi="Times New Roman" w:cs="Times New Roman"/>
                <w:b w:val="0"/>
                <w:bCs w:val="0"/>
                <w:sz w:val="28"/>
                <w:szCs w:val="28"/>
                <w:lang w:val="en-US"/>
              </w:rPr>
              <w:t>Recommendation</w:t>
            </w:r>
          </w:p>
        </w:tc>
        <w:tc>
          <w:tcPr>
            <w:tcW w:w="2976" w:type="dxa"/>
            <w:tcBorders>
              <w:bottom w:val="none" w:sz="0" w:space="0" w:color="auto"/>
            </w:tcBorders>
            <w:hideMark/>
          </w:tcPr>
          <w:p w14:paraId="224E11B3" w14:textId="77777777" w:rsidR="00600C79" w:rsidRPr="0060031D" w:rsidRDefault="00600C79" w:rsidP="00690084">
            <w:pPr>
              <w:pStyle w:val="af"/>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en-US"/>
              </w:rPr>
            </w:pPr>
            <w:r w:rsidRPr="0060031D">
              <w:rPr>
                <w:rFonts w:ascii="Times New Roman" w:hAnsi="Times New Roman" w:cs="Times New Roman"/>
                <w:b w:val="0"/>
                <w:bCs w:val="0"/>
                <w:sz w:val="28"/>
                <w:szCs w:val="28"/>
                <w:lang w:val="en-US"/>
              </w:rPr>
              <w:t>Description</w:t>
            </w:r>
          </w:p>
        </w:tc>
        <w:tc>
          <w:tcPr>
            <w:tcW w:w="3119" w:type="dxa"/>
            <w:tcBorders>
              <w:bottom w:val="none" w:sz="0" w:space="0" w:color="auto"/>
            </w:tcBorders>
            <w:hideMark/>
          </w:tcPr>
          <w:p w14:paraId="2809C975" w14:textId="77777777" w:rsidR="00600C79" w:rsidRPr="0060031D" w:rsidRDefault="00600C79" w:rsidP="00690084">
            <w:pPr>
              <w:pStyle w:val="af"/>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en-US"/>
              </w:rPr>
            </w:pPr>
            <w:r w:rsidRPr="0060031D">
              <w:rPr>
                <w:rFonts w:ascii="Times New Roman" w:hAnsi="Times New Roman" w:cs="Times New Roman"/>
                <w:b w:val="0"/>
                <w:bCs w:val="0"/>
                <w:sz w:val="28"/>
                <w:szCs w:val="28"/>
                <w:lang w:val="en-US"/>
              </w:rPr>
              <w:t>Supporting Research</w:t>
            </w:r>
          </w:p>
        </w:tc>
      </w:tr>
      <w:tr w:rsidR="00600C79" w:rsidRPr="000E0481" w14:paraId="2DE27305" w14:textId="77777777" w:rsidTr="0085387D">
        <w:trPr>
          <w:trHeight w:val="2107"/>
        </w:trPr>
        <w:tc>
          <w:tcPr>
            <w:cnfStyle w:val="001000000000" w:firstRow="0" w:lastRow="0" w:firstColumn="1" w:lastColumn="0" w:oddVBand="0" w:evenVBand="0" w:oddHBand="0" w:evenHBand="0" w:firstRowFirstColumn="0" w:firstRowLastColumn="0" w:lastRowFirstColumn="0" w:lastRowLastColumn="0"/>
            <w:tcW w:w="2689" w:type="dxa"/>
            <w:hideMark/>
          </w:tcPr>
          <w:p w14:paraId="17CEEC20" w14:textId="77777777" w:rsidR="00600C79" w:rsidRPr="0060031D" w:rsidRDefault="00600C79" w:rsidP="00690084">
            <w:pPr>
              <w:pStyle w:val="af"/>
              <w:rPr>
                <w:rFonts w:ascii="Times New Roman" w:hAnsi="Times New Roman" w:cs="Times New Roman"/>
                <w:b w:val="0"/>
                <w:bCs w:val="0"/>
                <w:sz w:val="28"/>
                <w:szCs w:val="28"/>
                <w:lang w:val="en-US"/>
              </w:rPr>
            </w:pPr>
            <w:r w:rsidRPr="0060031D">
              <w:rPr>
                <w:rFonts w:ascii="Times New Roman" w:hAnsi="Times New Roman" w:cs="Times New Roman"/>
                <w:b w:val="0"/>
                <w:bCs w:val="0"/>
                <w:sz w:val="28"/>
                <w:szCs w:val="28"/>
                <w:lang w:val="en-US"/>
              </w:rPr>
              <w:t>Establish Incubators and Accelerators</w:t>
            </w:r>
          </w:p>
        </w:tc>
        <w:tc>
          <w:tcPr>
            <w:tcW w:w="2976" w:type="dxa"/>
            <w:hideMark/>
          </w:tcPr>
          <w:p w14:paraId="78455087" w14:textId="77777777" w:rsidR="00600C79" w:rsidRPr="0060031D" w:rsidRDefault="00600C79" w:rsidP="00690084">
            <w:pPr>
              <w:pStyle w:val="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60031D">
              <w:rPr>
                <w:rFonts w:ascii="Times New Roman" w:hAnsi="Times New Roman" w:cs="Times New Roman"/>
                <w:sz w:val="28"/>
                <w:szCs w:val="28"/>
                <w:lang w:val="en-US"/>
              </w:rPr>
              <w:t>Create dedicated spaces where student entrepreneurs can develop their ideas, access resources, receive mentorship, and collaborate with peers.</w:t>
            </w:r>
          </w:p>
        </w:tc>
        <w:tc>
          <w:tcPr>
            <w:tcW w:w="3119" w:type="dxa"/>
            <w:hideMark/>
          </w:tcPr>
          <w:p w14:paraId="162F4122" w14:textId="77777777" w:rsidR="00600C79" w:rsidRPr="0060031D" w:rsidRDefault="00600C79" w:rsidP="00690084">
            <w:pPr>
              <w:pStyle w:val="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60031D">
              <w:rPr>
                <w:rFonts w:ascii="Times New Roman" w:hAnsi="Times New Roman" w:cs="Times New Roman"/>
                <w:sz w:val="28"/>
                <w:szCs w:val="28"/>
                <w:lang w:val="en-US"/>
              </w:rPr>
              <w:t xml:space="preserve">University-affiliated incubators and accelerators provide critical support structures that enhance the success rates of student startups </w:t>
            </w:r>
          </w:p>
        </w:tc>
      </w:tr>
      <w:tr w:rsidR="00600C79" w:rsidRPr="000E0481" w14:paraId="184B99F6" w14:textId="77777777" w:rsidTr="0085387D">
        <w:trPr>
          <w:trHeight w:val="1696"/>
        </w:trPr>
        <w:tc>
          <w:tcPr>
            <w:cnfStyle w:val="001000000000" w:firstRow="0" w:lastRow="0" w:firstColumn="1" w:lastColumn="0" w:oddVBand="0" w:evenVBand="0" w:oddHBand="0" w:evenHBand="0" w:firstRowFirstColumn="0" w:firstRowLastColumn="0" w:lastRowFirstColumn="0" w:lastRowLastColumn="0"/>
            <w:tcW w:w="2689" w:type="dxa"/>
            <w:hideMark/>
          </w:tcPr>
          <w:p w14:paraId="63634D19" w14:textId="77777777" w:rsidR="00600C79" w:rsidRPr="0060031D" w:rsidRDefault="00600C79" w:rsidP="00690084">
            <w:pPr>
              <w:pStyle w:val="af"/>
              <w:rPr>
                <w:rFonts w:ascii="Times New Roman" w:hAnsi="Times New Roman" w:cs="Times New Roman"/>
                <w:b w:val="0"/>
                <w:bCs w:val="0"/>
                <w:sz w:val="28"/>
                <w:szCs w:val="28"/>
                <w:lang w:val="en-US"/>
              </w:rPr>
            </w:pPr>
            <w:r w:rsidRPr="0060031D">
              <w:rPr>
                <w:rFonts w:ascii="Times New Roman" w:hAnsi="Times New Roman" w:cs="Times New Roman"/>
                <w:b w:val="0"/>
                <w:bCs w:val="0"/>
                <w:sz w:val="28"/>
                <w:szCs w:val="28"/>
                <w:lang w:val="en-US"/>
              </w:rPr>
              <w:t>Offer Targeted Educational Programs</w:t>
            </w:r>
          </w:p>
        </w:tc>
        <w:tc>
          <w:tcPr>
            <w:tcW w:w="2976" w:type="dxa"/>
            <w:hideMark/>
          </w:tcPr>
          <w:p w14:paraId="7391A074" w14:textId="77777777" w:rsidR="00600C79" w:rsidRPr="0060031D" w:rsidRDefault="00600C79" w:rsidP="00690084">
            <w:pPr>
              <w:pStyle w:val="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60031D">
              <w:rPr>
                <w:rFonts w:ascii="Times New Roman" w:hAnsi="Times New Roman" w:cs="Times New Roman"/>
                <w:sz w:val="28"/>
                <w:szCs w:val="28"/>
                <w:lang w:val="en-US"/>
              </w:rPr>
              <w:t>Integrate entrepreneurship-focused curricula to help students acquire essential skills for launching and managing startups.</w:t>
            </w:r>
          </w:p>
        </w:tc>
        <w:tc>
          <w:tcPr>
            <w:tcW w:w="3119" w:type="dxa"/>
            <w:hideMark/>
          </w:tcPr>
          <w:p w14:paraId="34C58351" w14:textId="77777777" w:rsidR="00600C79" w:rsidRPr="0060031D" w:rsidRDefault="00600C79" w:rsidP="00690084">
            <w:pPr>
              <w:pStyle w:val="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60031D">
              <w:rPr>
                <w:rFonts w:ascii="Times New Roman" w:hAnsi="Times New Roman" w:cs="Times New Roman"/>
                <w:sz w:val="28"/>
                <w:szCs w:val="28"/>
                <w:lang w:val="en-US"/>
              </w:rPr>
              <w:t xml:space="preserve">Entrepreneurship education positively influences students' entrepreneurial intentions and competencies </w:t>
            </w:r>
          </w:p>
        </w:tc>
      </w:tr>
      <w:tr w:rsidR="00600C79" w:rsidRPr="000E0481" w14:paraId="60EFA641" w14:textId="77777777" w:rsidTr="0085387D">
        <w:trPr>
          <w:trHeight w:val="2086"/>
        </w:trPr>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auto"/>
            </w:tcBorders>
            <w:hideMark/>
          </w:tcPr>
          <w:p w14:paraId="275E3C8C" w14:textId="77777777" w:rsidR="00600C79" w:rsidRPr="0060031D" w:rsidRDefault="00600C79" w:rsidP="00690084">
            <w:pPr>
              <w:pStyle w:val="af"/>
              <w:rPr>
                <w:rFonts w:ascii="Times New Roman" w:hAnsi="Times New Roman" w:cs="Times New Roman"/>
                <w:b w:val="0"/>
                <w:bCs w:val="0"/>
                <w:sz w:val="28"/>
                <w:szCs w:val="28"/>
                <w:lang w:val="en-US"/>
              </w:rPr>
            </w:pPr>
            <w:r w:rsidRPr="0060031D">
              <w:rPr>
                <w:rFonts w:ascii="Times New Roman" w:hAnsi="Times New Roman" w:cs="Times New Roman"/>
                <w:b w:val="0"/>
                <w:bCs w:val="0"/>
                <w:sz w:val="28"/>
                <w:szCs w:val="28"/>
                <w:lang w:val="en-US"/>
              </w:rPr>
              <w:t>Provide Access to Funding</w:t>
            </w:r>
          </w:p>
        </w:tc>
        <w:tc>
          <w:tcPr>
            <w:tcW w:w="2976" w:type="dxa"/>
            <w:tcBorders>
              <w:bottom w:val="single" w:sz="4" w:space="0" w:color="auto"/>
            </w:tcBorders>
            <w:hideMark/>
          </w:tcPr>
          <w:p w14:paraId="654599F4" w14:textId="77777777" w:rsidR="00600C79" w:rsidRPr="0060031D" w:rsidRDefault="00600C79" w:rsidP="00690084">
            <w:pPr>
              <w:pStyle w:val="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60031D">
              <w:rPr>
                <w:rFonts w:ascii="Times New Roman" w:hAnsi="Times New Roman" w:cs="Times New Roman"/>
                <w:sz w:val="28"/>
                <w:szCs w:val="28"/>
                <w:lang w:val="en-US"/>
              </w:rPr>
              <w:t>Establish seed funds or facilitate connections with venture capitalists to provide financial support for early-stage startups.</w:t>
            </w:r>
          </w:p>
        </w:tc>
        <w:tc>
          <w:tcPr>
            <w:tcW w:w="3119" w:type="dxa"/>
            <w:tcBorders>
              <w:bottom w:val="single" w:sz="4" w:space="0" w:color="auto"/>
            </w:tcBorders>
            <w:hideMark/>
          </w:tcPr>
          <w:p w14:paraId="3A301057" w14:textId="77777777" w:rsidR="00600C79" w:rsidRPr="0060031D" w:rsidRDefault="00600C79" w:rsidP="00690084">
            <w:pPr>
              <w:pStyle w:val="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60031D">
              <w:rPr>
                <w:rFonts w:ascii="Times New Roman" w:hAnsi="Times New Roman" w:cs="Times New Roman"/>
                <w:sz w:val="28"/>
                <w:szCs w:val="28"/>
                <w:lang w:val="en-US"/>
              </w:rPr>
              <w:t>Access to financial resources is critical for the success of student startups, and university support in this area can enhance entrepreneurial outcomes.</w:t>
            </w:r>
          </w:p>
        </w:tc>
      </w:tr>
      <w:tr w:rsidR="00600C79" w:rsidRPr="000E0481" w14:paraId="7DE49BD2" w14:textId="77777777" w:rsidTr="0085387D">
        <w:trPr>
          <w:trHeight w:val="1896"/>
        </w:trPr>
        <w:tc>
          <w:tcPr>
            <w:cnfStyle w:val="001000000000" w:firstRow="0" w:lastRow="0" w:firstColumn="1" w:lastColumn="0" w:oddVBand="0" w:evenVBand="0" w:oddHBand="0" w:evenHBand="0" w:firstRowFirstColumn="0" w:firstRowLastColumn="0" w:lastRowFirstColumn="0" w:lastRowLastColumn="0"/>
            <w:tcW w:w="2689" w:type="dxa"/>
            <w:tcBorders>
              <w:bottom w:val="nil"/>
            </w:tcBorders>
            <w:hideMark/>
          </w:tcPr>
          <w:p w14:paraId="64CA04D8" w14:textId="77777777" w:rsidR="00600C79" w:rsidRPr="0060031D" w:rsidRDefault="00600C79" w:rsidP="00690084">
            <w:pPr>
              <w:pStyle w:val="af"/>
              <w:rPr>
                <w:rFonts w:ascii="Times New Roman" w:hAnsi="Times New Roman" w:cs="Times New Roman"/>
                <w:b w:val="0"/>
                <w:bCs w:val="0"/>
                <w:sz w:val="28"/>
                <w:szCs w:val="28"/>
                <w:lang w:val="en-US"/>
              </w:rPr>
            </w:pPr>
            <w:r w:rsidRPr="0060031D">
              <w:rPr>
                <w:rFonts w:ascii="Times New Roman" w:hAnsi="Times New Roman" w:cs="Times New Roman"/>
                <w:b w:val="0"/>
                <w:bCs w:val="0"/>
                <w:sz w:val="28"/>
                <w:szCs w:val="28"/>
                <w:lang w:val="en-US"/>
              </w:rPr>
              <w:t>Foster a Supportive Community</w:t>
            </w:r>
          </w:p>
        </w:tc>
        <w:tc>
          <w:tcPr>
            <w:tcW w:w="2976" w:type="dxa"/>
            <w:tcBorders>
              <w:bottom w:val="nil"/>
            </w:tcBorders>
            <w:hideMark/>
          </w:tcPr>
          <w:p w14:paraId="4E28DF27" w14:textId="3AC5886C" w:rsidR="0060031D" w:rsidRDefault="00600C79" w:rsidP="00690084">
            <w:pPr>
              <w:pStyle w:val="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60031D">
              <w:rPr>
                <w:rFonts w:ascii="Times New Roman" w:hAnsi="Times New Roman" w:cs="Times New Roman"/>
                <w:sz w:val="28"/>
                <w:szCs w:val="28"/>
                <w:lang w:val="en-US"/>
              </w:rPr>
              <w:t>Build networks of peers, mentors, and industry professionals to encourage collaboration and knowledge sharing among student entrepreneurs.</w:t>
            </w:r>
          </w:p>
          <w:p w14:paraId="3528CEA0" w14:textId="0299E8AB" w:rsidR="0060031D" w:rsidRPr="0060031D" w:rsidRDefault="0060031D" w:rsidP="00690084">
            <w:pPr>
              <w:pStyle w:val="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
        </w:tc>
        <w:tc>
          <w:tcPr>
            <w:tcW w:w="3119" w:type="dxa"/>
            <w:tcBorders>
              <w:bottom w:val="nil"/>
            </w:tcBorders>
            <w:hideMark/>
          </w:tcPr>
          <w:p w14:paraId="798BA923" w14:textId="77777777" w:rsidR="00600C79" w:rsidRPr="0060031D" w:rsidRDefault="00600C79" w:rsidP="00690084">
            <w:pPr>
              <w:pStyle w:val="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60031D">
              <w:rPr>
                <w:rFonts w:ascii="Times New Roman" w:hAnsi="Times New Roman" w:cs="Times New Roman"/>
                <w:sz w:val="28"/>
                <w:szCs w:val="28"/>
                <w:lang w:val="en-US"/>
              </w:rPr>
              <w:t>Supportive university environments and networks have been linked to increased entrepreneurial intentions among students.</w:t>
            </w:r>
          </w:p>
        </w:tc>
      </w:tr>
      <w:tr w:rsidR="0060031D" w:rsidRPr="00B4623F" w14:paraId="3A7C7814" w14:textId="77777777" w:rsidTr="0085387D">
        <w:trPr>
          <w:trHeight w:val="95"/>
        </w:trPr>
        <w:tc>
          <w:tcPr>
            <w:cnfStyle w:val="001000000000" w:firstRow="0" w:lastRow="0" w:firstColumn="1" w:lastColumn="0" w:oddVBand="0" w:evenVBand="0" w:oddHBand="0" w:evenHBand="0" w:firstRowFirstColumn="0" w:firstRowLastColumn="0" w:lastRowFirstColumn="0" w:lastRowLastColumn="0"/>
            <w:tcW w:w="8784" w:type="dxa"/>
            <w:gridSpan w:val="3"/>
            <w:tcBorders>
              <w:top w:val="nil"/>
              <w:left w:val="nil"/>
              <w:bottom w:val="nil"/>
              <w:right w:val="nil"/>
            </w:tcBorders>
          </w:tcPr>
          <w:p w14:paraId="353A3BDC" w14:textId="77777777" w:rsidR="00207667" w:rsidRDefault="00207667" w:rsidP="00690084">
            <w:pPr>
              <w:pStyle w:val="af"/>
              <w:rPr>
                <w:rFonts w:ascii="Times New Roman" w:hAnsi="Times New Roman" w:cs="Times New Roman"/>
                <w:sz w:val="28"/>
                <w:szCs w:val="28"/>
                <w:lang w:val="en-US"/>
              </w:rPr>
            </w:pPr>
          </w:p>
          <w:p w14:paraId="34F22392" w14:textId="77777777" w:rsidR="005904CF" w:rsidRDefault="005904CF" w:rsidP="00690084">
            <w:pPr>
              <w:pStyle w:val="af"/>
              <w:rPr>
                <w:rFonts w:ascii="Times New Roman" w:hAnsi="Times New Roman" w:cs="Times New Roman"/>
                <w:sz w:val="28"/>
                <w:szCs w:val="28"/>
                <w:lang w:val="en-US"/>
              </w:rPr>
            </w:pPr>
            <w:r w:rsidRPr="005904CF">
              <w:rPr>
                <w:rFonts w:ascii="Times New Roman" w:hAnsi="Times New Roman" w:cs="Times New Roman"/>
                <w:b w:val="0"/>
                <w:bCs w:val="0"/>
                <w:sz w:val="28"/>
                <w:szCs w:val="28"/>
                <w:lang w:val="en-US"/>
              </w:rPr>
              <w:lastRenderedPageBreak/>
              <w:t>Continuation of the table 22</w:t>
            </w:r>
          </w:p>
          <w:p w14:paraId="4D93CF17" w14:textId="1956E093" w:rsidR="00207667" w:rsidRPr="00E41F87" w:rsidRDefault="00207667" w:rsidP="00690084">
            <w:pPr>
              <w:pStyle w:val="af"/>
              <w:rPr>
                <w:rFonts w:ascii="Times New Roman" w:hAnsi="Times New Roman" w:cs="Times New Roman"/>
                <w:b w:val="0"/>
                <w:bCs w:val="0"/>
                <w:sz w:val="20"/>
                <w:szCs w:val="20"/>
                <w:lang w:val="en-US"/>
              </w:rPr>
            </w:pPr>
          </w:p>
        </w:tc>
      </w:tr>
      <w:tr w:rsidR="00207667" w:rsidRPr="000E0481" w14:paraId="53C95FE7" w14:textId="77777777" w:rsidTr="0085387D">
        <w:trPr>
          <w:trHeight w:val="26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tcBorders>
          </w:tcPr>
          <w:p w14:paraId="11242E05" w14:textId="5FD2321E" w:rsidR="00207667" w:rsidRPr="0060031D" w:rsidRDefault="00207667" w:rsidP="00690084">
            <w:pPr>
              <w:pStyle w:val="af"/>
              <w:rPr>
                <w:rFonts w:ascii="Times New Roman" w:hAnsi="Times New Roman" w:cs="Times New Roman"/>
                <w:b w:val="0"/>
                <w:bCs w:val="0"/>
                <w:sz w:val="28"/>
                <w:szCs w:val="28"/>
                <w:lang w:val="en-US"/>
              </w:rPr>
            </w:pPr>
            <w:r w:rsidRPr="0060031D">
              <w:rPr>
                <w:rFonts w:ascii="Times New Roman" w:hAnsi="Times New Roman" w:cs="Times New Roman"/>
                <w:b w:val="0"/>
                <w:bCs w:val="0"/>
                <w:sz w:val="28"/>
                <w:szCs w:val="28"/>
                <w:lang w:val="en-US"/>
              </w:rPr>
              <w:lastRenderedPageBreak/>
              <w:t>Implement Flexible Intellectual Property Policies</w:t>
            </w:r>
          </w:p>
        </w:tc>
        <w:tc>
          <w:tcPr>
            <w:tcW w:w="2976" w:type="dxa"/>
            <w:tcBorders>
              <w:top w:val="single" w:sz="4" w:space="0" w:color="auto"/>
            </w:tcBorders>
          </w:tcPr>
          <w:p w14:paraId="34062A91" w14:textId="0F0DDA9F" w:rsidR="00207667" w:rsidRPr="0060031D" w:rsidRDefault="00207667" w:rsidP="00690084">
            <w:pPr>
              <w:pStyle w:val="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60031D">
              <w:rPr>
                <w:rFonts w:ascii="Times New Roman" w:hAnsi="Times New Roman" w:cs="Times New Roman"/>
                <w:sz w:val="28"/>
                <w:szCs w:val="28"/>
                <w:lang w:val="en-US"/>
              </w:rPr>
              <w:t>Develop clear and supportive intellectual property policies that facilitate collaboration between academics and entrepreneurial students, enabling the commercialization of research and innovation.</w:t>
            </w:r>
          </w:p>
        </w:tc>
        <w:tc>
          <w:tcPr>
            <w:tcW w:w="3119" w:type="dxa"/>
            <w:tcBorders>
              <w:top w:val="single" w:sz="4" w:space="0" w:color="auto"/>
            </w:tcBorders>
          </w:tcPr>
          <w:p w14:paraId="6B9BD1B8" w14:textId="0C714C60" w:rsidR="00207667" w:rsidRPr="0060031D" w:rsidRDefault="00207667" w:rsidP="00690084">
            <w:pPr>
              <w:pStyle w:val="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60031D">
              <w:rPr>
                <w:rFonts w:ascii="Times New Roman" w:hAnsi="Times New Roman" w:cs="Times New Roman"/>
                <w:sz w:val="28"/>
                <w:szCs w:val="28"/>
                <w:lang w:val="en-US"/>
              </w:rPr>
              <w:t>Flexible IP policies can encourage innovation and entrepreneurship among students by reducing barriers to commercialization.</w:t>
            </w:r>
          </w:p>
        </w:tc>
      </w:tr>
      <w:tr w:rsidR="00600C79" w:rsidRPr="000E0481" w14:paraId="75CA9E20" w14:textId="77777777" w:rsidTr="0085387D">
        <w:trPr>
          <w:trHeight w:val="1423"/>
        </w:trPr>
        <w:tc>
          <w:tcPr>
            <w:cnfStyle w:val="001000000000" w:firstRow="0" w:lastRow="0" w:firstColumn="1" w:lastColumn="0" w:oddVBand="0" w:evenVBand="0" w:oddHBand="0" w:evenHBand="0" w:firstRowFirstColumn="0" w:firstRowLastColumn="0" w:lastRowFirstColumn="0" w:lastRowLastColumn="0"/>
            <w:tcW w:w="2689" w:type="dxa"/>
            <w:hideMark/>
          </w:tcPr>
          <w:p w14:paraId="65EB373D" w14:textId="77777777" w:rsidR="00600C79" w:rsidRPr="0060031D" w:rsidRDefault="00600C79" w:rsidP="00690084">
            <w:pPr>
              <w:pStyle w:val="af"/>
              <w:rPr>
                <w:rFonts w:ascii="Times New Roman" w:hAnsi="Times New Roman" w:cs="Times New Roman"/>
                <w:b w:val="0"/>
                <w:bCs w:val="0"/>
                <w:sz w:val="28"/>
                <w:szCs w:val="28"/>
                <w:lang w:val="en-US"/>
              </w:rPr>
            </w:pPr>
            <w:r w:rsidRPr="0060031D">
              <w:rPr>
                <w:rFonts w:ascii="Times New Roman" w:hAnsi="Times New Roman" w:cs="Times New Roman"/>
                <w:b w:val="0"/>
                <w:bCs w:val="0"/>
                <w:sz w:val="28"/>
                <w:szCs w:val="28"/>
                <w:lang w:val="en-US"/>
              </w:rPr>
              <w:t>Encourage Diversity and Inclusion</w:t>
            </w:r>
          </w:p>
        </w:tc>
        <w:tc>
          <w:tcPr>
            <w:tcW w:w="2976" w:type="dxa"/>
            <w:hideMark/>
          </w:tcPr>
          <w:p w14:paraId="0BB303CB" w14:textId="77777777" w:rsidR="00600C79" w:rsidRPr="0060031D" w:rsidRDefault="00600C79" w:rsidP="00690084">
            <w:pPr>
              <w:pStyle w:val="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60031D">
              <w:rPr>
                <w:rFonts w:ascii="Times New Roman" w:hAnsi="Times New Roman" w:cs="Times New Roman"/>
                <w:sz w:val="28"/>
                <w:szCs w:val="28"/>
                <w:lang w:val="en-US"/>
              </w:rPr>
              <w:t>Offer tailored programs that support underrepresented groups in entrepreneurship, addressing disparities in startup funding and support.</w:t>
            </w:r>
          </w:p>
        </w:tc>
        <w:tc>
          <w:tcPr>
            <w:tcW w:w="3119" w:type="dxa"/>
            <w:hideMark/>
          </w:tcPr>
          <w:p w14:paraId="6DA5340C" w14:textId="77777777" w:rsidR="00600C79" w:rsidRPr="0060031D" w:rsidRDefault="00600C79" w:rsidP="00690084">
            <w:pPr>
              <w:pStyle w:val="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60031D">
              <w:rPr>
                <w:rFonts w:ascii="Times New Roman" w:hAnsi="Times New Roman" w:cs="Times New Roman"/>
                <w:sz w:val="28"/>
                <w:szCs w:val="28"/>
                <w:lang w:val="en-US"/>
              </w:rPr>
              <w:t>Targeted support structures for underrepresented groups can enhance diversity in entrepreneurship and lead to more inclusive entrepreneurial ecosystems.</w:t>
            </w:r>
          </w:p>
        </w:tc>
      </w:tr>
      <w:tr w:rsidR="00690084" w:rsidRPr="000E0481" w14:paraId="159A3C74" w14:textId="77777777" w:rsidTr="0085387D">
        <w:trPr>
          <w:trHeight w:val="85"/>
        </w:trPr>
        <w:tc>
          <w:tcPr>
            <w:cnfStyle w:val="001000000000" w:firstRow="0" w:lastRow="0" w:firstColumn="1" w:lastColumn="0" w:oddVBand="0" w:evenVBand="0" w:oddHBand="0" w:evenHBand="0" w:firstRowFirstColumn="0" w:firstRowLastColumn="0" w:lastRowFirstColumn="0" w:lastRowLastColumn="0"/>
            <w:tcW w:w="8784" w:type="dxa"/>
            <w:gridSpan w:val="3"/>
          </w:tcPr>
          <w:p w14:paraId="7BCA292A" w14:textId="7ECF0EE9" w:rsidR="00690084" w:rsidRPr="00485771" w:rsidRDefault="00485771" w:rsidP="00485771">
            <w:pPr>
              <w:jc w:val="both"/>
              <w:rPr>
                <w:rFonts w:ascii="Times New Roman" w:hAnsi="Times New Roman" w:cs="Times New Roman"/>
                <w:sz w:val="28"/>
                <w:szCs w:val="28"/>
                <w:lang w:val="en-US"/>
              </w:rPr>
            </w:pPr>
            <w:r w:rsidRPr="00485771">
              <w:rPr>
                <w:rFonts w:ascii="Times New Roman" w:hAnsi="Times New Roman" w:cs="Times New Roman"/>
                <w:b w:val="0"/>
                <w:bCs w:val="0"/>
                <w:sz w:val="28"/>
                <w:szCs w:val="28"/>
                <w:lang w:val="en-US"/>
              </w:rPr>
              <w:t xml:space="preserve">        </w:t>
            </w:r>
            <w:r w:rsidR="00690084" w:rsidRPr="00D20214">
              <w:rPr>
                <w:rFonts w:ascii="Times New Roman" w:hAnsi="Times New Roman" w:cs="Times New Roman"/>
                <w:b w:val="0"/>
                <w:bCs w:val="0"/>
                <w:sz w:val="24"/>
                <w:szCs w:val="24"/>
                <w:lang w:val="en-US"/>
              </w:rPr>
              <w:t>Note: Compiled by the author based on the sources [36</w:t>
            </w:r>
            <w:r w:rsidR="009C0DDF">
              <w:rPr>
                <w:rFonts w:ascii="Times New Roman" w:hAnsi="Times New Roman" w:cs="Times New Roman"/>
                <w:b w:val="0"/>
                <w:bCs w:val="0"/>
                <w:sz w:val="24"/>
                <w:szCs w:val="24"/>
                <w:lang w:val="kk-KZ"/>
              </w:rPr>
              <w:t>6</w:t>
            </w:r>
            <w:r w:rsidR="00690084" w:rsidRPr="00D20214">
              <w:rPr>
                <w:rFonts w:ascii="Times New Roman" w:hAnsi="Times New Roman" w:cs="Times New Roman"/>
                <w:b w:val="0"/>
                <w:bCs w:val="0"/>
                <w:sz w:val="24"/>
                <w:szCs w:val="24"/>
                <w:lang w:val="en-US"/>
              </w:rPr>
              <w:t>-37</w:t>
            </w:r>
            <w:r w:rsidR="009C0DDF">
              <w:rPr>
                <w:rFonts w:ascii="Times New Roman" w:hAnsi="Times New Roman" w:cs="Times New Roman"/>
                <w:b w:val="0"/>
                <w:bCs w:val="0"/>
                <w:sz w:val="24"/>
                <w:szCs w:val="24"/>
                <w:lang w:val="kk-KZ"/>
              </w:rPr>
              <w:t>2</w:t>
            </w:r>
            <w:r w:rsidR="00690084" w:rsidRPr="00D20214">
              <w:rPr>
                <w:rFonts w:ascii="Times New Roman" w:hAnsi="Times New Roman" w:cs="Times New Roman"/>
                <w:b w:val="0"/>
                <w:bCs w:val="0"/>
                <w:sz w:val="24"/>
                <w:szCs w:val="24"/>
                <w:lang w:val="en-US"/>
              </w:rPr>
              <w:t>]</w:t>
            </w:r>
          </w:p>
        </w:tc>
      </w:tr>
    </w:tbl>
    <w:p w14:paraId="6D230668" w14:textId="77777777" w:rsidR="00422C11" w:rsidRDefault="00422C11" w:rsidP="00690084">
      <w:pPr>
        <w:spacing w:after="0" w:line="240" w:lineRule="auto"/>
        <w:ind w:firstLine="720"/>
        <w:contextualSpacing/>
        <w:jc w:val="both"/>
        <w:rPr>
          <w:rFonts w:ascii="Times New Roman" w:hAnsi="Times New Roman" w:cs="Times New Roman"/>
          <w:sz w:val="28"/>
          <w:szCs w:val="28"/>
          <w:lang w:val="en-US"/>
        </w:rPr>
      </w:pPr>
    </w:p>
    <w:p w14:paraId="6396BCD2" w14:textId="1F99DF94" w:rsidR="00690084" w:rsidRPr="00422C11" w:rsidRDefault="00600C79" w:rsidP="00690084">
      <w:pPr>
        <w:spacing w:after="0" w:line="240" w:lineRule="auto"/>
        <w:ind w:firstLine="720"/>
        <w:contextualSpacing/>
        <w:jc w:val="both"/>
        <w:rPr>
          <w:rFonts w:ascii="Times New Roman" w:hAnsi="Times New Roman" w:cs="Times New Roman"/>
          <w:sz w:val="28"/>
          <w:szCs w:val="28"/>
          <w:lang w:val="en-US"/>
        </w:rPr>
      </w:pPr>
      <w:r w:rsidRPr="00850733">
        <w:rPr>
          <w:rFonts w:ascii="Times New Roman" w:hAnsi="Times New Roman" w:cs="Times New Roman"/>
          <w:sz w:val="28"/>
          <w:szCs w:val="28"/>
          <w:lang w:val="en-US"/>
        </w:rPr>
        <w:t xml:space="preserve">Including the goal-gradient effect in university entrepreneurial support programs helps to raise student involvement and success in startup projects. This psychological </w:t>
      </w:r>
      <w:r w:rsidRPr="00422C11">
        <w:rPr>
          <w:rFonts w:ascii="Times New Roman" w:hAnsi="Times New Roman" w:cs="Times New Roman"/>
          <w:sz w:val="28"/>
          <w:szCs w:val="28"/>
          <w:lang w:val="en-US"/>
        </w:rPr>
        <w:t>phenomenon shows that people get more intense when they think they are almost reaching their target. By structuring support mechanisms to highlight incremental progress and provide immediate rewards, universities can effectively motivate students throughout the entrepreneurial process.</w:t>
      </w:r>
    </w:p>
    <w:p w14:paraId="06B7665F" w14:textId="652550B9" w:rsidR="00600C79" w:rsidRPr="00422C11" w:rsidRDefault="00600C79" w:rsidP="00690084">
      <w:pPr>
        <w:spacing w:after="0" w:line="240" w:lineRule="auto"/>
        <w:ind w:firstLine="720"/>
        <w:contextualSpacing/>
        <w:jc w:val="both"/>
        <w:rPr>
          <w:rFonts w:ascii="Times New Roman" w:hAnsi="Times New Roman" w:cs="Times New Roman"/>
          <w:sz w:val="28"/>
          <w:szCs w:val="28"/>
          <w:lang w:val="en-US"/>
        </w:rPr>
      </w:pPr>
      <w:r w:rsidRPr="00422C11">
        <w:rPr>
          <w:rFonts w:ascii="Times New Roman" w:eastAsia="Times New Roman" w:hAnsi="Times New Roman" w:cs="Times New Roman"/>
          <w:i/>
          <w:iCs/>
          <w:sz w:val="28"/>
          <w:szCs w:val="28"/>
          <w:lang w:val="en-US"/>
        </w:rPr>
        <w:t>Application of the Goal-Gradient Effect in Student Entrepreneurship:</w:t>
      </w:r>
    </w:p>
    <w:p w14:paraId="44DF0974" w14:textId="77777777" w:rsidR="00600C79" w:rsidRPr="00422C11" w:rsidRDefault="00600C79" w:rsidP="00D20214">
      <w:pPr>
        <w:numPr>
          <w:ilvl w:val="0"/>
          <w:numId w:val="14"/>
        </w:numPr>
        <w:spacing w:after="0" w:line="240" w:lineRule="auto"/>
        <w:ind w:left="0" w:firstLine="709"/>
        <w:jc w:val="both"/>
        <w:rPr>
          <w:rFonts w:ascii="Times New Roman" w:eastAsia="Times New Roman" w:hAnsi="Times New Roman" w:cs="Times New Roman"/>
          <w:sz w:val="28"/>
          <w:szCs w:val="28"/>
          <w:lang w:val="en-US"/>
        </w:rPr>
      </w:pPr>
      <w:r w:rsidRPr="00422C11">
        <w:rPr>
          <w:rFonts w:ascii="Times New Roman" w:eastAsia="Times New Roman" w:hAnsi="Times New Roman" w:cs="Times New Roman"/>
          <w:sz w:val="28"/>
          <w:szCs w:val="28"/>
          <w:lang w:val="en-US"/>
        </w:rPr>
        <w:t>Visual Progress Indicators: These help students advance more clearly toward starting their businesses. By offering obvious proof of improvement, this visibility can increase their motivation.</w:t>
      </w:r>
    </w:p>
    <w:p w14:paraId="3B7A70CC" w14:textId="77777777" w:rsidR="00600C79" w:rsidRPr="00422C11" w:rsidRDefault="00600C79" w:rsidP="00D20214">
      <w:pPr>
        <w:numPr>
          <w:ilvl w:val="0"/>
          <w:numId w:val="14"/>
        </w:numPr>
        <w:spacing w:after="0" w:line="240" w:lineRule="auto"/>
        <w:ind w:left="0" w:firstLine="709"/>
        <w:jc w:val="both"/>
        <w:rPr>
          <w:rFonts w:ascii="Times New Roman" w:eastAsia="Times New Roman" w:hAnsi="Times New Roman" w:cs="Times New Roman"/>
          <w:sz w:val="28"/>
          <w:szCs w:val="28"/>
          <w:lang w:val="en-US"/>
        </w:rPr>
      </w:pPr>
      <w:r w:rsidRPr="00422C11">
        <w:rPr>
          <w:rFonts w:ascii="Times New Roman" w:eastAsia="Times New Roman" w:hAnsi="Times New Roman" w:cs="Times New Roman"/>
          <w:sz w:val="28"/>
          <w:szCs w:val="28"/>
          <w:lang w:val="en-US"/>
        </w:rPr>
        <w:t>Structured Milestones</w:t>
      </w:r>
      <w:r w:rsidRPr="00422C11">
        <w:rPr>
          <w:rFonts w:ascii="Times New Roman" w:eastAsia="Times New Roman" w:hAnsi="Times New Roman" w:cs="Times New Roman"/>
          <w:b/>
          <w:bCs/>
          <w:sz w:val="28"/>
          <w:szCs w:val="28"/>
          <w:lang w:val="en-US"/>
        </w:rPr>
        <w:t>:</w:t>
      </w:r>
      <w:r w:rsidRPr="00422C11">
        <w:rPr>
          <w:rFonts w:ascii="Times New Roman" w:eastAsia="Times New Roman" w:hAnsi="Times New Roman" w:cs="Times New Roman"/>
          <w:sz w:val="28"/>
          <w:szCs w:val="28"/>
          <w:lang w:val="en-US"/>
        </w:rPr>
        <w:t>  Dividing the entrepreneurial path into smaller, doable sub-goals—such as finishing a business model canvas, building a prototype, or getting first capital—helps students stay motivated. Reaching these sub-goals motivates ongoing work by offering instant benefits and a sense of success.</w:t>
      </w:r>
    </w:p>
    <w:p w14:paraId="65E70D5A" w14:textId="77777777" w:rsidR="00690084" w:rsidRPr="00422C11" w:rsidRDefault="00600C79" w:rsidP="00D20214">
      <w:pPr>
        <w:numPr>
          <w:ilvl w:val="0"/>
          <w:numId w:val="14"/>
        </w:numPr>
        <w:spacing w:after="0" w:line="240" w:lineRule="auto"/>
        <w:ind w:left="0" w:firstLine="709"/>
        <w:jc w:val="both"/>
        <w:rPr>
          <w:rFonts w:ascii="Times New Roman" w:eastAsia="Times New Roman" w:hAnsi="Times New Roman" w:cs="Times New Roman"/>
          <w:sz w:val="28"/>
          <w:szCs w:val="28"/>
          <w:lang w:val="en-US"/>
        </w:rPr>
      </w:pPr>
      <w:r w:rsidRPr="00422C11">
        <w:rPr>
          <w:rFonts w:ascii="Times New Roman" w:eastAsia="Times New Roman" w:hAnsi="Times New Roman" w:cs="Times New Roman"/>
          <w:sz w:val="28"/>
          <w:szCs w:val="28"/>
          <w:lang w:val="en-US"/>
        </w:rPr>
        <w:t>Immediate Incentives: Offering immediate, albeit smaller, rewards for early-stage accomplishments (e.g., seed funding competitions, mentorship opportunities) can leverage the goal-gradient effect by providing proximal incentives that sustain motivation throughout the longer entrepreneurial process.​</w:t>
      </w:r>
    </w:p>
    <w:p w14:paraId="1606B10B" w14:textId="77777777" w:rsidR="00690084" w:rsidRPr="00422C11" w:rsidRDefault="00600C79" w:rsidP="00690084">
      <w:pPr>
        <w:spacing w:after="0" w:line="240" w:lineRule="auto"/>
        <w:ind w:firstLine="720"/>
        <w:contextualSpacing/>
        <w:jc w:val="both"/>
        <w:rPr>
          <w:rFonts w:ascii="Times New Roman" w:eastAsia="Times New Roman" w:hAnsi="Times New Roman" w:cs="Times New Roman"/>
          <w:sz w:val="24"/>
          <w:szCs w:val="24"/>
          <w:lang w:val="en-US"/>
        </w:rPr>
      </w:pPr>
      <w:r w:rsidRPr="00422C11">
        <w:rPr>
          <w:rFonts w:ascii="Times New Roman" w:eastAsia="Times New Roman" w:hAnsi="Times New Roman" w:cs="Times New Roman"/>
          <w:sz w:val="28"/>
          <w:szCs w:val="28"/>
          <w:lang w:val="en-US"/>
        </w:rPr>
        <w:t>By embedding these strategies into their entrepreneurial ecosystems, universities can create environments that foster student startup initiation and support their sustained development and eventual success</w:t>
      </w:r>
      <w:r w:rsidRPr="00422C11">
        <w:rPr>
          <w:rFonts w:ascii="Times New Roman" w:eastAsia="Times New Roman" w:hAnsi="Times New Roman" w:cs="Times New Roman"/>
          <w:sz w:val="24"/>
          <w:szCs w:val="24"/>
          <w:lang w:val="en-US"/>
        </w:rPr>
        <w:t>.</w:t>
      </w:r>
    </w:p>
    <w:p w14:paraId="2A0E2BC4" w14:textId="77777777" w:rsidR="00690084" w:rsidRPr="00422C11" w:rsidRDefault="00600C79" w:rsidP="00690084">
      <w:pPr>
        <w:spacing w:after="0" w:line="240" w:lineRule="auto"/>
        <w:ind w:firstLine="720"/>
        <w:contextualSpacing/>
        <w:jc w:val="both"/>
        <w:rPr>
          <w:rFonts w:ascii="Times New Roman" w:eastAsia="Times New Roman" w:hAnsi="Times New Roman" w:cs="Times New Roman"/>
          <w:sz w:val="28"/>
          <w:szCs w:val="28"/>
          <w:lang w:val="en-US"/>
        </w:rPr>
      </w:pPr>
      <w:r w:rsidRPr="00422C11">
        <w:rPr>
          <w:rFonts w:ascii="Times New Roman" w:eastAsia="Times New Roman" w:hAnsi="Times New Roman" w:cs="Times New Roman"/>
          <w:sz w:val="28"/>
          <w:szCs w:val="28"/>
          <w:lang w:val="en-US"/>
        </w:rPr>
        <w:t xml:space="preserve">Emphasizing cooperation among governments, businesses, and universities, the Triple Helix model can significantly improve student entrepreneurship and innovative management in university strategies. Universities can inspire students to </w:t>
      </w:r>
      <w:r w:rsidRPr="00422C11">
        <w:rPr>
          <w:rFonts w:ascii="Times New Roman" w:eastAsia="Times New Roman" w:hAnsi="Times New Roman" w:cs="Times New Roman"/>
          <w:sz w:val="28"/>
          <w:szCs w:val="28"/>
          <w:lang w:val="en-US"/>
        </w:rPr>
        <w:lastRenderedPageBreak/>
        <w:t>participate in entrepreneurial activities by including the goal-gradient effect inside instructional environments, strengthening the innovation ecosystem. ​</w:t>
      </w:r>
    </w:p>
    <w:p w14:paraId="2B1FBFE6" w14:textId="77777777" w:rsidR="00690084" w:rsidRPr="00422C11" w:rsidRDefault="00600C79" w:rsidP="00690084">
      <w:pPr>
        <w:spacing w:after="0" w:line="240" w:lineRule="auto"/>
        <w:ind w:firstLine="720"/>
        <w:contextualSpacing/>
        <w:jc w:val="both"/>
        <w:rPr>
          <w:rFonts w:ascii="Times New Roman" w:eastAsia="Times New Roman" w:hAnsi="Times New Roman" w:cs="Times New Roman"/>
          <w:sz w:val="28"/>
          <w:szCs w:val="28"/>
          <w:lang w:val="en-US"/>
        </w:rPr>
      </w:pPr>
      <w:r w:rsidRPr="00422C11">
        <w:rPr>
          <w:rFonts w:ascii="Times New Roman" w:eastAsia="Times New Roman" w:hAnsi="Times New Roman" w:cs="Times New Roman"/>
          <w:i/>
          <w:iCs/>
          <w:sz w:val="28"/>
          <w:szCs w:val="28"/>
          <w:lang w:val="en-US"/>
        </w:rPr>
        <w:t>Triple Helix Model and University-Industry Collaboration</w:t>
      </w:r>
    </w:p>
    <w:p w14:paraId="38C153CA" w14:textId="77777777" w:rsidR="00690084" w:rsidRPr="00422C11" w:rsidRDefault="00600C79" w:rsidP="00690084">
      <w:pPr>
        <w:spacing w:after="0" w:line="240" w:lineRule="auto"/>
        <w:ind w:firstLine="720"/>
        <w:contextualSpacing/>
        <w:jc w:val="both"/>
        <w:rPr>
          <w:rFonts w:ascii="Times New Roman" w:eastAsia="Times New Roman" w:hAnsi="Times New Roman" w:cs="Times New Roman"/>
          <w:sz w:val="28"/>
          <w:szCs w:val="28"/>
          <w:lang w:val="en-US"/>
        </w:rPr>
      </w:pPr>
      <w:r w:rsidRPr="00422C11">
        <w:rPr>
          <w:rFonts w:ascii="Times New Roman" w:eastAsia="Times New Roman" w:hAnsi="Times New Roman" w:cs="Times New Roman"/>
          <w:sz w:val="28"/>
          <w:szCs w:val="28"/>
          <w:lang w:val="en-US"/>
        </w:rPr>
        <w:t>The THM posits that the interplay between academia, industry, and government fosters innovation and economic development. Under this paradigm, universities actively participate in economic development through KT and industry-government cooperation, therefore augmenting their centers of instruction and research. Joint projects might establish hybrid entities like science parks and technology transfer offices, which help commercialize research and advance innovative technologies. ​</w:t>
      </w:r>
    </w:p>
    <w:p w14:paraId="7723CE86" w14:textId="77777777" w:rsidR="00690084" w:rsidRPr="00422C11" w:rsidRDefault="00600C79" w:rsidP="00690084">
      <w:pPr>
        <w:spacing w:after="0" w:line="240" w:lineRule="auto"/>
        <w:ind w:firstLine="720"/>
        <w:contextualSpacing/>
        <w:jc w:val="both"/>
        <w:rPr>
          <w:rFonts w:ascii="Times New Roman" w:eastAsia="Times New Roman" w:hAnsi="Times New Roman" w:cs="Times New Roman"/>
          <w:sz w:val="28"/>
          <w:szCs w:val="28"/>
          <w:lang w:val="en-US"/>
        </w:rPr>
      </w:pPr>
      <w:r w:rsidRPr="00422C11">
        <w:rPr>
          <w:rFonts w:ascii="Times New Roman" w:eastAsia="Times New Roman" w:hAnsi="Times New Roman" w:cs="Times New Roman"/>
          <w:i/>
          <w:iCs/>
          <w:sz w:val="28"/>
          <w:szCs w:val="28"/>
          <w:lang w:val="en-US"/>
        </w:rPr>
        <w:t>Student Entrepreneurship within the Triple Helix Framework</w:t>
      </w:r>
    </w:p>
    <w:p w14:paraId="5256B97F" w14:textId="15DDC038" w:rsidR="00600C79" w:rsidRPr="00422C11" w:rsidRDefault="00600C79" w:rsidP="00690084">
      <w:pPr>
        <w:spacing w:after="0" w:line="240" w:lineRule="auto"/>
        <w:ind w:firstLine="720"/>
        <w:contextualSpacing/>
        <w:jc w:val="both"/>
        <w:rPr>
          <w:rFonts w:ascii="Times New Roman" w:eastAsia="Times New Roman" w:hAnsi="Times New Roman" w:cs="Times New Roman"/>
          <w:sz w:val="28"/>
          <w:szCs w:val="28"/>
          <w:lang w:val="en-US"/>
        </w:rPr>
      </w:pPr>
      <w:r w:rsidRPr="00422C11">
        <w:rPr>
          <w:rFonts w:ascii="Times New Roman" w:eastAsia="Times New Roman" w:hAnsi="Times New Roman" w:cs="Times New Roman"/>
          <w:sz w:val="28"/>
          <w:szCs w:val="28"/>
          <w:lang w:val="en-US"/>
        </w:rPr>
        <w:t xml:space="preserve">Universities are important in fostering student entrepreneurship under the Triple Helix framework since they offer tools, mentoring, and opportunities for cooperation with business partners. Programs for entrepreneurial education that fit government policies and industry objectives can provide students with the tools they need to start profitable businesses. This connection guarantees that businesses run by students are positioned to support innovation and economic development. </w:t>
      </w:r>
    </w:p>
    <w:p w14:paraId="4BA1694D" w14:textId="77777777" w:rsidR="00690084" w:rsidRPr="00422C11" w:rsidRDefault="00600C79" w:rsidP="00690084">
      <w:pPr>
        <w:spacing w:after="0" w:line="240" w:lineRule="auto"/>
        <w:ind w:firstLine="720"/>
        <w:contextualSpacing/>
        <w:jc w:val="both"/>
        <w:rPr>
          <w:rFonts w:ascii="Times New Roman" w:eastAsia="Times New Roman" w:hAnsi="Times New Roman" w:cs="Times New Roman"/>
          <w:sz w:val="28"/>
          <w:szCs w:val="28"/>
          <w:lang w:val="en-US"/>
        </w:rPr>
      </w:pPr>
      <w:r w:rsidRPr="00422C11">
        <w:rPr>
          <w:rFonts w:ascii="Times New Roman" w:eastAsia="Times New Roman" w:hAnsi="Times New Roman" w:cs="Times New Roman"/>
          <w:i/>
          <w:iCs/>
          <w:sz w:val="28"/>
          <w:szCs w:val="28"/>
          <w:lang w:val="en-US"/>
        </w:rPr>
        <w:t>Integrating the Goal-Gradient Effect into Learning Platforms</w:t>
      </w:r>
    </w:p>
    <w:p w14:paraId="3A0FE4C0" w14:textId="77777777" w:rsidR="00690084" w:rsidRPr="00422C11" w:rsidRDefault="00600C79" w:rsidP="00690084">
      <w:pPr>
        <w:spacing w:after="0" w:line="240" w:lineRule="auto"/>
        <w:ind w:firstLine="720"/>
        <w:contextualSpacing/>
        <w:jc w:val="both"/>
        <w:rPr>
          <w:rFonts w:ascii="Times New Roman" w:eastAsia="Times New Roman" w:hAnsi="Times New Roman" w:cs="Times New Roman"/>
          <w:sz w:val="28"/>
          <w:szCs w:val="28"/>
          <w:lang w:val="en-US"/>
        </w:rPr>
      </w:pPr>
      <w:r w:rsidRPr="00422C11">
        <w:rPr>
          <w:rFonts w:ascii="Times New Roman" w:eastAsia="Times New Roman" w:hAnsi="Times New Roman" w:cs="Times New Roman"/>
          <w:sz w:val="28"/>
          <w:szCs w:val="28"/>
          <w:lang w:val="en-US"/>
        </w:rPr>
        <w:t>The goal-gradient effect suggests that individuals increase their efforts as they perceive themselves approaching a goal. Incorporating this psychological concept into digital learning systems helps universities improve student involvement and drive. Clear progress indicators, organized benchmarks, and instant incentives, for instance, will help students make the entrepreneurial path more real and fulfilling. This strategy motivates the completion of entrepreneurial initiatives and helps one be persistent. ​​</w:t>
      </w:r>
    </w:p>
    <w:p w14:paraId="2CDC98A4" w14:textId="77777777" w:rsidR="00690084" w:rsidRPr="00422C11" w:rsidRDefault="00600C79" w:rsidP="00690084">
      <w:pPr>
        <w:spacing w:after="0" w:line="240" w:lineRule="auto"/>
        <w:ind w:firstLine="720"/>
        <w:contextualSpacing/>
        <w:jc w:val="both"/>
        <w:rPr>
          <w:rFonts w:ascii="Times New Roman" w:eastAsia="Times New Roman" w:hAnsi="Times New Roman" w:cs="Times New Roman"/>
          <w:sz w:val="28"/>
          <w:szCs w:val="28"/>
          <w:lang w:val="en-US"/>
        </w:rPr>
      </w:pPr>
      <w:r w:rsidRPr="00422C11">
        <w:rPr>
          <w:rFonts w:ascii="Times New Roman" w:eastAsia="Times New Roman" w:hAnsi="Times New Roman" w:cs="Times New Roman"/>
          <w:i/>
          <w:iCs/>
          <w:sz w:val="28"/>
          <w:szCs w:val="28"/>
          <w:lang w:val="en-US"/>
        </w:rPr>
        <w:t>Innovation Management in Universities</w:t>
      </w:r>
    </w:p>
    <w:p w14:paraId="5BE6B3EC" w14:textId="77777777" w:rsidR="00690084" w:rsidRPr="00422C11" w:rsidRDefault="00600C79" w:rsidP="00690084">
      <w:pPr>
        <w:spacing w:after="0" w:line="240" w:lineRule="auto"/>
        <w:ind w:firstLine="720"/>
        <w:contextualSpacing/>
        <w:jc w:val="both"/>
        <w:rPr>
          <w:rFonts w:ascii="Times New Roman" w:eastAsia="Times New Roman" w:hAnsi="Times New Roman" w:cs="Times New Roman"/>
          <w:sz w:val="28"/>
          <w:szCs w:val="28"/>
          <w:lang w:val="en-US"/>
        </w:rPr>
      </w:pPr>
      <w:r w:rsidRPr="00422C11">
        <w:rPr>
          <w:rFonts w:ascii="Times New Roman" w:eastAsia="Times New Roman" w:hAnsi="Times New Roman" w:cs="Times New Roman"/>
          <w:sz w:val="28"/>
          <w:szCs w:val="28"/>
          <w:lang w:val="en-US"/>
        </w:rPr>
        <w:t>Effective innovation management in universities involves establishing surroundings that help produce and apply fresh ideas. By using the TH approach, universities may build solid alliances with industry and government, enabling knowledge and technology transfer.  </w:t>
      </w:r>
    </w:p>
    <w:p w14:paraId="585F9FB3" w14:textId="77777777" w:rsidR="00690084" w:rsidRPr="00422C11" w:rsidRDefault="00600C79" w:rsidP="00690084">
      <w:pPr>
        <w:spacing w:after="0" w:line="240" w:lineRule="auto"/>
        <w:ind w:firstLine="720"/>
        <w:contextualSpacing/>
        <w:jc w:val="both"/>
        <w:rPr>
          <w:rFonts w:ascii="Times New Roman" w:eastAsia="Times New Roman" w:hAnsi="Times New Roman" w:cs="Times New Roman"/>
          <w:sz w:val="28"/>
          <w:szCs w:val="28"/>
          <w:lang w:val="en-US"/>
        </w:rPr>
      </w:pPr>
      <w:r w:rsidRPr="00422C11">
        <w:rPr>
          <w:rFonts w:ascii="Times New Roman" w:eastAsia="Times New Roman" w:hAnsi="Times New Roman" w:cs="Times New Roman"/>
          <w:sz w:val="28"/>
          <w:szCs w:val="28"/>
          <w:lang w:val="en-US"/>
        </w:rPr>
        <w:t xml:space="preserve">Universities act as incubators for student-led businesses by supporting an entrepreneurial culture. Curricular and extracurricular activities that give students the tools, information, and skills to start and run entrepreneurial projects help them do this. Working with business partners gives students access to mentoring, hands-on experience with market realities, and funding sources. Government initiatives and regulations generate advantageous legal conditions and subsidies or incentives for businesses, supporting these </w:t>
      </w:r>
      <w:proofErr w:type="spellStart"/>
      <w:r w:rsidRPr="00422C11">
        <w:rPr>
          <w:rFonts w:ascii="Times New Roman" w:eastAsia="Times New Roman" w:hAnsi="Times New Roman" w:cs="Times New Roman"/>
          <w:sz w:val="28"/>
          <w:szCs w:val="28"/>
          <w:lang w:val="en-US"/>
        </w:rPr>
        <w:t>endeavours</w:t>
      </w:r>
      <w:proofErr w:type="spellEnd"/>
      <w:r w:rsidRPr="00422C11">
        <w:rPr>
          <w:rFonts w:ascii="Times New Roman" w:eastAsia="Times New Roman" w:hAnsi="Times New Roman" w:cs="Times New Roman"/>
          <w:sz w:val="28"/>
          <w:szCs w:val="28"/>
          <w:lang w:val="en-US"/>
        </w:rPr>
        <w:t xml:space="preserve"> even more. This kind of teamwork guarantees that student entrepreneurs are ready to negotiate the complexity of the corporate environment and significantly help boost the economy. </w:t>
      </w:r>
    </w:p>
    <w:p w14:paraId="12BD24F7" w14:textId="7E3FA294" w:rsidR="00600C79" w:rsidRPr="00422C11" w:rsidRDefault="00600C79" w:rsidP="00F4408F">
      <w:pPr>
        <w:spacing w:after="0" w:line="240" w:lineRule="auto"/>
        <w:ind w:firstLine="720"/>
        <w:contextualSpacing/>
        <w:jc w:val="both"/>
        <w:rPr>
          <w:rFonts w:ascii="Times New Roman" w:eastAsia="Times New Roman" w:hAnsi="Times New Roman" w:cs="Times New Roman"/>
          <w:sz w:val="28"/>
          <w:szCs w:val="28"/>
          <w:lang w:val="en-US"/>
        </w:rPr>
      </w:pPr>
      <w:r w:rsidRPr="00422C11">
        <w:rPr>
          <w:rFonts w:ascii="Times New Roman" w:eastAsia="Times New Roman" w:hAnsi="Times New Roman" w:cs="Times New Roman"/>
          <w:sz w:val="28"/>
          <w:szCs w:val="28"/>
          <w:lang w:val="en-US"/>
        </w:rPr>
        <w:t xml:space="preserve">Including the goal-gradient impact into teaching strategies improves this atmosphere even more by inspiring students to engage in entrepreneurship and creative projects. An all-encompassing strategy guarantees that colleges stay on the cutting edge of technology an economics. Finally, combining the THM with the goal-gradient effect in university environments generates a synergistic framework </w:t>
      </w:r>
      <w:r w:rsidRPr="00422C11">
        <w:rPr>
          <w:rFonts w:ascii="Times New Roman" w:eastAsia="Times New Roman" w:hAnsi="Times New Roman" w:cs="Times New Roman"/>
          <w:sz w:val="28"/>
          <w:szCs w:val="28"/>
          <w:lang w:val="en-US"/>
        </w:rPr>
        <w:lastRenderedPageBreak/>
        <w:t xml:space="preserve">that advances efficient innovation management and student entrepreneurship. Diversities may create a vibrant ecosystem fit for innovation and economic development by encouraging cooperation among academics, businesses, and government and using psychological ideas to raise student motivation. </w:t>
      </w:r>
    </w:p>
    <w:p w14:paraId="6A4D00C6" w14:textId="77777777" w:rsidR="00F4408F" w:rsidRPr="00F4408F" w:rsidRDefault="00F4408F" w:rsidP="00F4408F">
      <w:pPr>
        <w:spacing w:after="0" w:line="240" w:lineRule="auto"/>
        <w:ind w:firstLine="720"/>
        <w:contextualSpacing/>
        <w:jc w:val="both"/>
        <w:rPr>
          <w:rFonts w:ascii="Times New Roman" w:eastAsia="Times New Roman" w:hAnsi="Times New Roman" w:cs="Times New Roman"/>
          <w:color w:val="0E101A"/>
          <w:sz w:val="28"/>
          <w:szCs w:val="28"/>
          <w:lang w:val="en-US"/>
        </w:rPr>
      </w:pPr>
    </w:p>
    <w:p w14:paraId="7B77B5CF" w14:textId="296824F3" w:rsidR="00690084" w:rsidRDefault="00600C79" w:rsidP="00F4408F">
      <w:pPr>
        <w:spacing w:after="0" w:line="240" w:lineRule="auto"/>
        <w:ind w:firstLine="720"/>
        <w:contextualSpacing/>
        <w:jc w:val="both"/>
        <w:rPr>
          <w:rFonts w:ascii="Times New Roman" w:eastAsia="Times New Roman" w:hAnsi="Times New Roman" w:cs="Times New Roman"/>
          <w:b/>
          <w:bCs/>
          <w:color w:val="0E101A"/>
          <w:sz w:val="28"/>
          <w:szCs w:val="28"/>
          <w:lang w:val="en-US"/>
        </w:rPr>
      </w:pPr>
      <w:r w:rsidRPr="00690084">
        <w:rPr>
          <w:rFonts w:ascii="Times New Roman" w:eastAsia="Times New Roman" w:hAnsi="Times New Roman" w:cs="Times New Roman"/>
          <w:b/>
          <w:bCs/>
          <w:color w:val="0E101A"/>
          <w:sz w:val="28"/>
          <w:szCs w:val="28"/>
          <w:lang w:val="en-US"/>
        </w:rPr>
        <w:t>3.3 Government Policies Supporting Academic Innovation and Graduate Career Development</w:t>
      </w:r>
    </w:p>
    <w:p w14:paraId="7AF879DE" w14:textId="77777777" w:rsidR="00F4408F" w:rsidRPr="00F4408F" w:rsidRDefault="00F4408F" w:rsidP="00F4408F">
      <w:pPr>
        <w:spacing w:after="0" w:line="240" w:lineRule="auto"/>
        <w:ind w:firstLine="720"/>
        <w:contextualSpacing/>
        <w:jc w:val="both"/>
        <w:rPr>
          <w:rStyle w:val="a6"/>
          <w:rFonts w:ascii="Times New Roman" w:eastAsia="Times New Roman" w:hAnsi="Times New Roman" w:cs="Times New Roman"/>
          <w:color w:val="0E101A"/>
          <w:sz w:val="28"/>
          <w:szCs w:val="28"/>
          <w:lang w:val="en-US"/>
        </w:rPr>
      </w:pPr>
    </w:p>
    <w:p w14:paraId="12E5079F" w14:textId="29173C79" w:rsidR="00600C79" w:rsidRPr="00690084" w:rsidRDefault="00600C79" w:rsidP="00690084">
      <w:pPr>
        <w:pStyle w:val="a4"/>
        <w:spacing w:before="0" w:beforeAutospacing="0" w:after="0" w:afterAutospacing="0"/>
        <w:ind w:firstLine="720"/>
        <w:contextualSpacing/>
        <w:jc w:val="both"/>
        <w:rPr>
          <w:color w:val="0E101A"/>
          <w:sz w:val="28"/>
          <w:szCs w:val="28"/>
          <w:lang w:val="en-US"/>
        </w:rPr>
      </w:pPr>
      <w:r w:rsidRPr="00690084">
        <w:rPr>
          <w:color w:val="0E101A"/>
          <w:sz w:val="28"/>
          <w:szCs w:val="28"/>
          <w:lang w:val="en-US"/>
        </w:rPr>
        <w:t>Government's Role, Triple Helix, Strategic Funding, Institutional Readiness, Regional Disparities</w:t>
      </w:r>
    </w:p>
    <w:p w14:paraId="77620772" w14:textId="77777777" w:rsidR="00600C79" w:rsidRPr="00623CE6" w:rsidRDefault="00600C79" w:rsidP="00600C79">
      <w:pPr>
        <w:pStyle w:val="a4"/>
        <w:spacing w:before="0" w:beforeAutospacing="0" w:after="0" w:afterAutospacing="0"/>
        <w:ind w:firstLine="720"/>
        <w:contextualSpacing/>
        <w:jc w:val="both"/>
        <w:rPr>
          <w:color w:val="0E101A"/>
          <w:sz w:val="28"/>
          <w:szCs w:val="28"/>
          <w:lang w:val="en-US"/>
        </w:rPr>
      </w:pPr>
      <w:r w:rsidRPr="00623CE6">
        <w:rPr>
          <w:color w:val="0E101A"/>
          <w:sz w:val="28"/>
          <w:szCs w:val="28"/>
          <w:lang w:val="en-US"/>
        </w:rPr>
        <w:t>The empirical findings discussed in Chapter 2 emphasized several critical policy gaps hindering graduate employment and institutional innovation within Kazakhstan’s higher education system. These included the regional unevenness in innovation activity, the limited coordination between government funding and labor market demands, and the underutilization of university capacities for entrepreneurship and R&amp;D. While those observations were drawn from the national context, the patterns reflect broader global challenges. In this regard, the following subsection extends the conversation by reviewing cross-national policy practices, focusing on how governments internationally design and implement strategies to enable universities to contribute to innovation ecosystems and improve graduate career trajectories.</w:t>
      </w:r>
    </w:p>
    <w:p w14:paraId="06C49275" w14:textId="615BA3CC" w:rsidR="00600C79" w:rsidRPr="00742D77" w:rsidRDefault="00600C79" w:rsidP="00600C79">
      <w:pPr>
        <w:pStyle w:val="a4"/>
        <w:spacing w:before="0" w:beforeAutospacing="0" w:after="0" w:afterAutospacing="0"/>
        <w:ind w:firstLine="720"/>
        <w:contextualSpacing/>
        <w:jc w:val="both"/>
        <w:rPr>
          <w:color w:val="0E101A"/>
          <w:sz w:val="28"/>
          <w:szCs w:val="28"/>
          <w:lang w:val="en-US"/>
        </w:rPr>
      </w:pPr>
      <w:r w:rsidRPr="0032235E">
        <w:rPr>
          <w:rStyle w:val="a3"/>
          <w:rFonts w:eastAsia="Calibri"/>
          <w:color w:val="0E101A"/>
          <w:sz w:val="28"/>
          <w:szCs w:val="28"/>
          <w:lang w:val="en-US"/>
        </w:rPr>
        <w:t>Government’s Role in Academic Innovation</w:t>
      </w:r>
    </w:p>
    <w:p w14:paraId="3E3357AA" w14:textId="4D45C2D6" w:rsidR="00600C79" w:rsidRPr="00623CE6" w:rsidRDefault="00600C79" w:rsidP="00600C79">
      <w:pPr>
        <w:pStyle w:val="a4"/>
        <w:spacing w:before="0" w:beforeAutospacing="0" w:after="0" w:afterAutospacing="0"/>
        <w:ind w:firstLine="720"/>
        <w:contextualSpacing/>
        <w:jc w:val="both"/>
        <w:rPr>
          <w:color w:val="0E101A"/>
          <w:sz w:val="28"/>
          <w:szCs w:val="28"/>
          <w:lang w:val="en-US"/>
        </w:rPr>
      </w:pPr>
      <w:r w:rsidRPr="00623CE6">
        <w:rPr>
          <w:color w:val="0E101A"/>
          <w:sz w:val="28"/>
          <w:szCs w:val="28"/>
          <w:lang w:val="en-US"/>
        </w:rPr>
        <w:t>Governments play a vital role in fostering academic innovation, mainly through public R&amp;D investment</w:t>
      </w:r>
      <w:r w:rsidRPr="00CE0E6E">
        <w:rPr>
          <w:color w:val="0E101A"/>
          <w:sz w:val="28"/>
          <w:szCs w:val="28"/>
          <w:lang w:val="en-US"/>
        </w:rPr>
        <w:t>. Arrow</w:t>
      </w:r>
      <w:r w:rsidR="00CE0E6E">
        <w:rPr>
          <w:color w:val="0E101A"/>
          <w:sz w:val="28"/>
          <w:szCs w:val="28"/>
          <w:lang w:val="en-US"/>
        </w:rPr>
        <w:t xml:space="preserve"> </w:t>
      </w:r>
      <w:r w:rsidRPr="00623CE6">
        <w:rPr>
          <w:color w:val="0E101A"/>
          <w:sz w:val="28"/>
          <w:szCs w:val="28"/>
          <w:lang w:val="en-US"/>
        </w:rPr>
        <w:t>famously argued that innovation has public good characteristics that lead to underinvestment by the private sector</w:t>
      </w:r>
      <w:r w:rsidR="00CE0E6E">
        <w:rPr>
          <w:color w:val="0E101A"/>
          <w:sz w:val="28"/>
          <w:szCs w:val="28"/>
          <w:lang w:val="en-US"/>
        </w:rPr>
        <w:t xml:space="preserve"> [37</w:t>
      </w:r>
      <w:r w:rsidR="009C0DDF">
        <w:rPr>
          <w:color w:val="0E101A"/>
          <w:sz w:val="28"/>
          <w:szCs w:val="28"/>
          <w:lang w:val="kk-KZ"/>
        </w:rPr>
        <w:t>3</w:t>
      </w:r>
      <w:r w:rsidR="00CE0E6E">
        <w:rPr>
          <w:color w:val="0E101A"/>
          <w:sz w:val="28"/>
          <w:szCs w:val="28"/>
          <w:lang w:val="en-US"/>
        </w:rPr>
        <w:t>]</w:t>
      </w:r>
      <w:r w:rsidRPr="00623CE6">
        <w:rPr>
          <w:color w:val="0E101A"/>
          <w:sz w:val="28"/>
          <w:szCs w:val="28"/>
          <w:lang w:val="en-US"/>
        </w:rPr>
        <w:t xml:space="preserve">. Therefore, public subsidies serve as a corrective instrument to support long-term, foundational research </w:t>
      </w:r>
      <w:r w:rsidR="00CE0E6E">
        <w:rPr>
          <w:color w:val="0E101A"/>
          <w:sz w:val="28"/>
          <w:szCs w:val="28"/>
          <w:lang w:val="en-US"/>
        </w:rPr>
        <w:t>[37</w:t>
      </w:r>
      <w:r w:rsidR="009C0DDF">
        <w:rPr>
          <w:color w:val="0E101A"/>
          <w:sz w:val="28"/>
          <w:szCs w:val="28"/>
          <w:lang w:val="kk-KZ"/>
        </w:rPr>
        <w:t>4</w:t>
      </w:r>
      <w:r w:rsidR="00CE0E6E">
        <w:rPr>
          <w:color w:val="0E101A"/>
          <w:sz w:val="28"/>
          <w:szCs w:val="28"/>
          <w:lang w:val="en-US"/>
        </w:rPr>
        <w:t xml:space="preserve">, </w:t>
      </w:r>
      <w:r w:rsidRPr="00CE0E6E">
        <w:rPr>
          <w:color w:val="0E101A"/>
          <w:sz w:val="28"/>
          <w:szCs w:val="28"/>
          <w:lang w:val="en-US"/>
        </w:rPr>
        <w:t>p. 355</w:t>
      </w:r>
      <w:r w:rsidR="00CE0E6E">
        <w:rPr>
          <w:color w:val="0E101A"/>
          <w:sz w:val="28"/>
          <w:szCs w:val="28"/>
          <w:lang w:val="en-US"/>
        </w:rPr>
        <w:t>]</w:t>
      </w:r>
      <w:r w:rsidRPr="00CE0E6E">
        <w:rPr>
          <w:color w:val="0E101A"/>
          <w:sz w:val="28"/>
          <w:szCs w:val="28"/>
          <w:lang w:val="en-US"/>
        </w:rPr>
        <w:t>.</w:t>
      </w:r>
      <w:r w:rsidRPr="00623CE6">
        <w:rPr>
          <w:color w:val="0E101A"/>
          <w:sz w:val="28"/>
          <w:szCs w:val="28"/>
          <w:lang w:val="en-US"/>
        </w:rPr>
        <w:t xml:space="preserve"> Over time, this role has evolved from direct research provision to strategic facilitation of networks between universities and businesses.</w:t>
      </w:r>
    </w:p>
    <w:p w14:paraId="52B6E155" w14:textId="7C66B72D" w:rsidR="00600C79" w:rsidRPr="00623CE6" w:rsidRDefault="00600C79" w:rsidP="00600C79">
      <w:pPr>
        <w:pStyle w:val="a4"/>
        <w:spacing w:before="0" w:beforeAutospacing="0" w:after="0" w:afterAutospacing="0"/>
        <w:ind w:firstLine="720"/>
        <w:contextualSpacing/>
        <w:jc w:val="both"/>
        <w:rPr>
          <w:color w:val="0E101A"/>
          <w:sz w:val="28"/>
          <w:szCs w:val="28"/>
          <w:lang w:val="en-US"/>
        </w:rPr>
      </w:pPr>
      <w:r w:rsidRPr="00623CE6">
        <w:rPr>
          <w:color w:val="0E101A"/>
          <w:sz w:val="28"/>
          <w:szCs w:val="28"/>
          <w:lang w:val="en-US"/>
        </w:rPr>
        <w:t xml:space="preserve">In many countries, government-funded research agencies set national innovation agendas by funding university-industry partnerships, promoting spin-offs, and incentivizing collaborative R&amp;D. In this context, public policy supports not just research outcomes but also the infrastructure and </w:t>
      </w:r>
      <w:r w:rsidRPr="00623CE6">
        <w:rPr>
          <w:rStyle w:val="a6"/>
          <w:color w:val="0E101A"/>
          <w:sz w:val="28"/>
          <w:szCs w:val="28"/>
          <w:lang w:val="en-US"/>
        </w:rPr>
        <w:t>human capital</w:t>
      </w:r>
      <w:r w:rsidRPr="00623CE6">
        <w:rPr>
          <w:color w:val="0E101A"/>
          <w:sz w:val="28"/>
          <w:szCs w:val="28"/>
          <w:lang w:val="en-US"/>
        </w:rPr>
        <w:t xml:space="preserve"> that underpins them</w:t>
      </w:r>
      <w:r w:rsidR="007B272F">
        <w:rPr>
          <w:color w:val="0E101A"/>
          <w:sz w:val="28"/>
          <w:szCs w:val="28"/>
          <w:lang w:val="en-US"/>
        </w:rPr>
        <w:t xml:space="preserve"> [28, p. 111]. </w:t>
      </w:r>
      <w:r w:rsidRPr="00623CE6">
        <w:rPr>
          <w:color w:val="0E101A"/>
          <w:sz w:val="28"/>
          <w:szCs w:val="28"/>
          <w:lang w:val="en-US"/>
        </w:rPr>
        <w:t>For example, doctoral education, research mobility, and academic entrepreneurship programs funded by governments significantly influence how graduates engage with labor markets.</w:t>
      </w:r>
    </w:p>
    <w:p w14:paraId="1814A15C" w14:textId="10A347CD" w:rsidR="00600C79" w:rsidRPr="00623CE6" w:rsidRDefault="00600C79" w:rsidP="00CE0E6E">
      <w:pPr>
        <w:spacing w:after="0" w:line="240" w:lineRule="auto"/>
        <w:ind w:firstLine="720"/>
        <w:contextualSpacing/>
        <w:jc w:val="both"/>
        <w:rPr>
          <w:rFonts w:ascii="Times New Roman" w:hAnsi="Times New Roman" w:cs="Times New Roman"/>
          <w:sz w:val="28"/>
          <w:szCs w:val="28"/>
          <w:lang w:val="en-US"/>
        </w:rPr>
      </w:pPr>
      <w:r w:rsidRPr="00623CE6">
        <w:rPr>
          <w:rFonts w:ascii="Times New Roman" w:hAnsi="Times New Roman" w:cs="Times New Roman"/>
          <w:sz w:val="28"/>
          <w:szCs w:val="28"/>
          <w:lang w:val="en-US"/>
        </w:rPr>
        <w:t xml:space="preserve">The </w:t>
      </w:r>
      <w:r w:rsidRPr="00742D77">
        <w:rPr>
          <w:rStyle w:val="a6"/>
          <w:rFonts w:ascii="Times New Roman" w:hAnsi="Times New Roman" w:cs="Times New Roman"/>
          <w:b w:val="0"/>
          <w:bCs w:val="0"/>
          <w:color w:val="0E101A"/>
          <w:sz w:val="28"/>
          <w:szCs w:val="28"/>
          <w:lang w:val="en-US"/>
        </w:rPr>
        <w:t>THM</w:t>
      </w:r>
      <w:r w:rsidRPr="00742D77">
        <w:rPr>
          <w:rFonts w:ascii="Times New Roman" w:hAnsi="Times New Roman" w:cs="Times New Roman"/>
          <w:b/>
          <w:bCs/>
          <w:sz w:val="28"/>
          <w:szCs w:val="28"/>
          <w:lang w:val="en-US"/>
        </w:rPr>
        <w:t xml:space="preserve"> </w:t>
      </w:r>
      <w:r w:rsidRPr="00623CE6">
        <w:rPr>
          <w:rFonts w:ascii="Times New Roman" w:hAnsi="Times New Roman" w:cs="Times New Roman"/>
          <w:sz w:val="28"/>
          <w:szCs w:val="28"/>
          <w:lang w:val="en-US"/>
        </w:rPr>
        <w:t xml:space="preserve">helps conceptualize this dynamic interplay. It positions the state as a system-builder and convener, rather than just a sponsor, by fostering institutional overlap between academia and </w:t>
      </w:r>
      <w:r w:rsidRPr="007B272F">
        <w:rPr>
          <w:rFonts w:ascii="Times New Roman" w:hAnsi="Times New Roman" w:cs="Times New Roman"/>
          <w:sz w:val="28"/>
          <w:szCs w:val="28"/>
          <w:lang w:val="en-US"/>
        </w:rPr>
        <w:t xml:space="preserve">industry </w:t>
      </w:r>
      <w:r w:rsidR="007B272F">
        <w:rPr>
          <w:rFonts w:ascii="Times New Roman" w:hAnsi="Times New Roman" w:cs="Times New Roman"/>
          <w:sz w:val="28"/>
          <w:szCs w:val="28"/>
          <w:lang w:val="en-US"/>
        </w:rPr>
        <w:t>[28</w:t>
      </w:r>
      <w:r w:rsidRPr="007B272F">
        <w:rPr>
          <w:rFonts w:ascii="Times New Roman" w:hAnsi="Times New Roman" w:cs="Times New Roman"/>
          <w:sz w:val="28"/>
          <w:szCs w:val="28"/>
          <w:lang w:val="en-US"/>
        </w:rPr>
        <w:t>, pp. 112–113</w:t>
      </w:r>
      <w:r w:rsidR="007B272F">
        <w:rPr>
          <w:rFonts w:ascii="Times New Roman" w:hAnsi="Times New Roman" w:cs="Times New Roman"/>
          <w:sz w:val="28"/>
          <w:szCs w:val="28"/>
          <w:lang w:val="en-US"/>
        </w:rPr>
        <w:t>]</w:t>
      </w:r>
      <w:r w:rsidRPr="007B272F">
        <w:rPr>
          <w:rFonts w:ascii="Times New Roman" w:hAnsi="Times New Roman" w:cs="Times New Roman"/>
          <w:sz w:val="28"/>
          <w:szCs w:val="28"/>
          <w:lang w:val="en-US"/>
        </w:rPr>
        <w:t>.</w:t>
      </w:r>
      <w:r w:rsidRPr="00623CE6">
        <w:rPr>
          <w:rFonts w:ascii="Times New Roman" w:hAnsi="Times New Roman" w:cs="Times New Roman"/>
          <w:sz w:val="28"/>
          <w:szCs w:val="28"/>
          <w:lang w:val="en-US"/>
        </w:rPr>
        <w:t xml:space="preserve"> Evidence shows that this collaborative orientation leads to more substantial innovation outcomes and creates more pathways for graduates to engage in knowledge-intensive work </w:t>
      </w:r>
      <w:r w:rsidR="00CE0E6E">
        <w:rPr>
          <w:rFonts w:ascii="Times New Roman" w:hAnsi="Times New Roman" w:cs="Times New Roman"/>
          <w:sz w:val="28"/>
          <w:szCs w:val="28"/>
          <w:lang w:val="en-US"/>
        </w:rPr>
        <w:t>[37</w:t>
      </w:r>
      <w:r w:rsidR="009C0DDF">
        <w:rPr>
          <w:rFonts w:ascii="Times New Roman" w:hAnsi="Times New Roman" w:cs="Times New Roman"/>
          <w:sz w:val="28"/>
          <w:szCs w:val="28"/>
          <w:lang w:val="kk-KZ"/>
        </w:rPr>
        <w:t>5</w:t>
      </w:r>
      <w:r w:rsidRPr="00CE0E6E">
        <w:rPr>
          <w:rFonts w:ascii="Times New Roman" w:hAnsi="Times New Roman" w:cs="Times New Roman"/>
          <w:sz w:val="28"/>
          <w:szCs w:val="28"/>
          <w:lang w:val="en-US"/>
        </w:rPr>
        <w:t>, p. 105</w:t>
      </w:r>
      <w:r w:rsidR="00CE0E6E" w:rsidRPr="00CE0E6E">
        <w:rPr>
          <w:rFonts w:ascii="Times New Roman" w:hAnsi="Times New Roman" w:cs="Times New Roman"/>
          <w:sz w:val="28"/>
          <w:szCs w:val="28"/>
          <w:lang w:val="en-US"/>
        </w:rPr>
        <w:t>]</w:t>
      </w:r>
      <w:r w:rsidRPr="00CE0E6E">
        <w:rPr>
          <w:rFonts w:ascii="Times New Roman" w:hAnsi="Times New Roman" w:cs="Times New Roman"/>
          <w:sz w:val="28"/>
          <w:szCs w:val="28"/>
          <w:lang w:val="en-US"/>
        </w:rPr>
        <w:t>.</w:t>
      </w:r>
    </w:p>
    <w:p w14:paraId="6A7EF8B2" w14:textId="77777777" w:rsidR="00600C79" w:rsidRPr="00AB3DAD" w:rsidRDefault="00600C79" w:rsidP="00742D77">
      <w:pPr>
        <w:spacing w:after="0" w:line="240" w:lineRule="auto"/>
        <w:ind w:firstLine="720"/>
        <w:contextualSpacing/>
        <w:jc w:val="both"/>
        <w:rPr>
          <w:rStyle w:val="a6"/>
          <w:rFonts w:ascii="Times New Roman" w:hAnsi="Times New Roman" w:cs="Times New Roman"/>
          <w:b w:val="0"/>
          <w:bCs w:val="0"/>
          <w:i/>
          <w:iCs/>
          <w:sz w:val="28"/>
          <w:szCs w:val="28"/>
          <w:lang w:val="en-US"/>
        </w:rPr>
      </w:pPr>
      <w:r w:rsidRPr="00AB3DAD">
        <w:rPr>
          <w:rStyle w:val="a6"/>
          <w:rFonts w:ascii="Times New Roman" w:hAnsi="Times New Roman" w:cs="Times New Roman"/>
          <w:b w:val="0"/>
          <w:bCs w:val="0"/>
          <w:sz w:val="28"/>
          <w:szCs w:val="28"/>
          <w:lang w:val="en-US"/>
        </w:rPr>
        <w:t xml:space="preserve"> </w:t>
      </w:r>
      <w:r w:rsidRPr="00AB3DAD">
        <w:rPr>
          <w:rStyle w:val="a6"/>
          <w:rFonts w:ascii="Times New Roman" w:hAnsi="Times New Roman" w:cs="Times New Roman"/>
          <w:b w:val="0"/>
          <w:bCs w:val="0"/>
          <w:i/>
          <w:iCs/>
          <w:sz w:val="28"/>
          <w:szCs w:val="28"/>
          <w:lang w:val="en-US"/>
        </w:rPr>
        <w:t>The Triple Helix as a Policy Framework</w:t>
      </w:r>
    </w:p>
    <w:p w14:paraId="11DFD0E5" w14:textId="77777777" w:rsidR="00690084" w:rsidRDefault="00600C79" w:rsidP="00690084">
      <w:pPr>
        <w:spacing w:after="0" w:line="240" w:lineRule="auto"/>
        <w:ind w:firstLine="720"/>
        <w:contextualSpacing/>
        <w:jc w:val="both"/>
        <w:rPr>
          <w:rFonts w:ascii="Times New Roman" w:hAnsi="Times New Roman" w:cs="Times New Roman"/>
          <w:sz w:val="28"/>
          <w:szCs w:val="28"/>
          <w:lang w:val="en-US"/>
        </w:rPr>
      </w:pPr>
      <w:r w:rsidRPr="00623CE6">
        <w:rPr>
          <w:rFonts w:ascii="Times New Roman" w:hAnsi="Times New Roman" w:cs="Times New Roman"/>
          <w:sz w:val="28"/>
          <w:szCs w:val="28"/>
          <w:lang w:val="en-US"/>
        </w:rPr>
        <w:t>The THM—university, industry, and government working in synergy—offers a valuable framework for understanding innovation ecosystems.</w:t>
      </w:r>
    </w:p>
    <w:p w14:paraId="5C0FF5C5" w14:textId="77777777" w:rsidR="00690084" w:rsidRDefault="00600C79" w:rsidP="00690084">
      <w:pPr>
        <w:spacing w:after="0" w:line="240" w:lineRule="auto"/>
        <w:ind w:firstLine="720"/>
        <w:contextualSpacing/>
        <w:jc w:val="both"/>
        <w:rPr>
          <w:rFonts w:ascii="Times New Roman" w:hAnsi="Times New Roman" w:cs="Times New Roman"/>
          <w:sz w:val="28"/>
          <w:szCs w:val="28"/>
          <w:lang w:val="en-US"/>
        </w:rPr>
      </w:pPr>
      <w:r w:rsidRPr="00B16655">
        <w:rPr>
          <w:rFonts w:ascii="Times New Roman" w:hAnsi="Times New Roman" w:cs="Times New Roman"/>
          <w:sz w:val="28"/>
          <w:szCs w:val="28"/>
          <w:lang w:val="en-US"/>
        </w:rPr>
        <w:lastRenderedPageBreak/>
        <w:t xml:space="preserve">In high-performing systems, these three sectors engage through hybrid institutions, including university incubators, technology parks, and public-private research </w:t>
      </w:r>
      <w:proofErr w:type="spellStart"/>
      <w:r w:rsidRPr="00B16655">
        <w:rPr>
          <w:rFonts w:ascii="Times New Roman" w:hAnsi="Times New Roman" w:cs="Times New Roman"/>
          <w:sz w:val="28"/>
          <w:szCs w:val="28"/>
          <w:lang w:val="en-US"/>
        </w:rPr>
        <w:t>centres</w:t>
      </w:r>
      <w:proofErr w:type="spellEnd"/>
      <w:r w:rsidRPr="00B16655">
        <w:rPr>
          <w:rFonts w:ascii="Times New Roman" w:hAnsi="Times New Roman" w:cs="Times New Roman"/>
          <w:sz w:val="28"/>
          <w:szCs w:val="28"/>
          <w:lang w:val="en-US"/>
        </w:rPr>
        <w:t xml:space="preserve">. These platforms boost the student involvement, entrepreneurial activities, and career readiness </w:t>
      </w:r>
      <w:r w:rsidR="007B272F">
        <w:rPr>
          <w:rFonts w:ascii="Times New Roman" w:hAnsi="Times New Roman" w:cs="Times New Roman"/>
          <w:sz w:val="28"/>
          <w:szCs w:val="28"/>
          <w:lang w:val="en-US"/>
        </w:rPr>
        <w:t>[</w:t>
      </w:r>
      <w:r w:rsidR="007B272F" w:rsidRPr="007B272F">
        <w:rPr>
          <w:rFonts w:ascii="Times New Roman" w:hAnsi="Times New Roman" w:cs="Times New Roman"/>
          <w:sz w:val="28"/>
          <w:szCs w:val="28"/>
          <w:lang w:val="en-US"/>
        </w:rPr>
        <w:t>28</w:t>
      </w:r>
      <w:r w:rsidRPr="007B272F">
        <w:rPr>
          <w:rFonts w:ascii="Times New Roman" w:hAnsi="Times New Roman" w:cs="Times New Roman"/>
          <w:sz w:val="28"/>
          <w:szCs w:val="28"/>
          <w:lang w:val="en-US"/>
        </w:rPr>
        <w:t>, pp. 113–115</w:t>
      </w:r>
      <w:r w:rsidR="007B272F" w:rsidRPr="007B272F">
        <w:rPr>
          <w:rFonts w:ascii="Times New Roman" w:hAnsi="Times New Roman" w:cs="Times New Roman"/>
          <w:sz w:val="28"/>
          <w:szCs w:val="28"/>
          <w:lang w:val="en-US"/>
        </w:rPr>
        <w:t>]</w:t>
      </w:r>
      <w:r w:rsidRPr="007B272F">
        <w:rPr>
          <w:rFonts w:ascii="Times New Roman" w:hAnsi="Times New Roman" w:cs="Times New Roman"/>
          <w:sz w:val="28"/>
          <w:szCs w:val="28"/>
          <w:lang w:val="en-US"/>
        </w:rPr>
        <w:t>.</w:t>
      </w:r>
    </w:p>
    <w:p w14:paraId="72E9F182" w14:textId="037EF709" w:rsidR="00690084" w:rsidRDefault="00600C79" w:rsidP="00690084">
      <w:pPr>
        <w:spacing w:after="0" w:line="240" w:lineRule="auto"/>
        <w:ind w:firstLine="720"/>
        <w:contextualSpacing/>
        <w:jc w:val="both"/>
        <w:rPr>
          <w:rFonts w:ascii="Times New Roman" w:hAnsi="Times New Roman" w:cs="Times New Roman"/>
          <w:sz w:val="28"/>
          <w:szCs w:val="28"/>
          <w:lang w:val="en-US"/>
        </w:rPr>
      </w:pPr>
      <w:r w:rsidRPr="00B16655">
        <w:rPr>
          <w:rFonts w:ascii="Times New Roman" w:hAnsi="Times New Roman" w:cs="Times New Roman"/>
          <w:sz w:val="28"/>
          <w:szCs w:val="28"/>
          <w:lang w:val="en-US"/>
        </w:rPr>
        <w:t>The government often initiates and sustains these intersections by allocating grants that require industry-university collaboration. The European Commission’s innovation programs, for instance, show that SMEs engaged in collaborative university research reports increased product innovation and growth</w:t>
      </w:r>
      <w:r w:rsidR="00CE0E6E">
        <w:rPr>
          <w:rFonts w:ascii="Times New Roman" w:hAnsi="Times New Roman" w:cs="Times New Roman"/>
          <w:sz w:val="28"/>
          <w:szCs w:val="28"/>
          <w:lang w:val="en-US"/>
        </w:rPr>
        <w:t xml:space="preserve"> [37</w:t>
      </w:r>
      <w:r w:rsidR="009C0DDF">
        <w:rPr>
          <w:rFonts w:ascii="Times New Roman" w:hAnsi="Times New Roman" w:cs="Times New Roman"/>
          <w:sz w:val="28"/>
          <w:szCs w:val="28"/>
          <w:lang w:val="kk-KZ"/>
        </w:rPr>
        <w:t>6</w:t>
      </w:r>
      <w:r w:rsidR="00CE0E6E">
        <w:rPr>
          <w:rFonts w:ascii="Times New Roman" w:hAnsi="Times New Roman" w:cs="Times New Roman"/>
          <w:sz w:val="28"/>
          <w:szCs w:val="28"/>
          <w:lang w:val="en-US"/>
        </w:rPr>
        <w:t xml:space="preserve">]. </w:t>
      </w:r>
      <w:r w:rsidRPr="00B16655">
        <w:rPr>
          <w:rFonts w:ascii="Times New Roman" w:hAnsi="Times New Roman" w:cs="Times New Roman"/>
          <w:sz w:val="28"/>
          <w:szCs w:val="28"/>
          <w:lang w:val="en-US"/>
        </w:rPr>
        <w:t>Similarly, Kazakhstan’s Astana Hub provides infrastructure for student-led startups, which are developed with government support and aligned with national economic priorities (Chapter 2).</w:t>
      </w:r>
    </w:p>
    <w:p w14:paraId="089E42C7" w14:textId="77777777" w:rsidR="00690084" w:rsidRDefault="00600C79" w:rsidP="00690084">
      <w:pPr>
        <w:spacing w:after="0" w:line="240" w:lineRule="auto"/>
        <w:ind w:firstLine="720"/>
        <w:contextualSpacing/>
        <w:jc w:val="both"/>
        <w:rPr>
          <w:rFonts w:ascii="Times New Roman" w:hAnsi="Times New Roman" w:cs="Times New Roman"/>
          <w:b/>
          <w:bCs/>
          <w:sz w:val="28"/>
          <w:szCs w:val="28"/>
          <w:lang w:val="en-US"/>
        </w:rPr>
      </w:pPr>
      <w:r w:rsidRPr="00B16655">
        <w:rPr>
          <w:rFonts w:ascii="Times New Roman" w:hAnsi="Times New Roman" w:cs="Times New Roman"/>
          <w:sz w:val="28"/>
          <w:szCs w:val="28"/>
          <w:lang w:val="en-US"/>
        </w:rPr>
        <w:t xml:space="preserve">Beyond funding, the model calls for flexibility in role evolution. Universities become entrepreneurial, industries contribute to training, and governments coordinate innovation agendas across sectors </w:t>
      </w:r>
      <w:r w:rsidR="007B272F">
        <w:rPr>
          <w:rFonts w:ascii="Times New Roman" w:hAnsi="Times New Roman" w:cs="Times New Roman"/>
          <w:sz w:val="28"/>
          <w:szCs w:val="28"/>
          <w:lang w:val="en-US"/>
        </w:rPr>
        <w:t>[</w:t>
      </w:r>
      <w:r w:rsidR="007B272F" w:rsidRPr="007B272F">
        <w:rPr>
          <w:rFonts w:ascii="Times New Roman" w:hAnsi="Times New Roman" w:cs="Times New Roman"/>
          <w:sz w:val="28"/>
          <w:szCs w:val="28"/>
          <w:lang w:val="en-US"/>
        </w:rPr>
        <w:t>28</w:t>
      </w:r>
      <w:r w:rsidRPr="007B272F">
        <w:rPr>
          <w:rFonts w:ascii="Times New Roman" w:hAnsi="Times New Roman" w:cs="Times New Roman"/>
          <w:sz w:val="28"/>
          <w:szCs w:val="28"/>
          <w:lang w:val="en-US"/>
        </w:rPr>
        <w:t>, p. 116</w:t>
      </w:r>
      <w:r w:rsidR="007B272F">
        <w:rPr>
          <w:rFonts w:ascii="Times New Roman" w:hAnsi="Times New Roman" w:cs="Times New Roman"/>
          <w:sz w:val="28"/>
          <w:szCs w:val="28"/>
          <w:lang w:val="en-US"/>
        </w:rPr>
        <w:t>]</w:t>
      </w:r>
      <w:r w:rsidRPr="007B272F">
        <w:rPr>
          <w:rFonts w:ascii="Times New Roman" w:hAnsi="Times New Roman" w:cs="Times New Roman"/>
          <w:sz w:val="28"/>
          <w:szCs w:val="28"/>
          <w:lang w:val="en-US"/>
        </w:rPr>
        <w:t>.</w:t>
      </w:r>
      <w:r w:rsidRPr="00B16655">
        <w:rPr>
          <w:rFonts w:ascii="Times New Roman" w:hAnsi="Times New Roman" w:cs="Times New Roman"/>
          <w:sz w:val="28"/>
          <w:szCs w:val="28"/>
          <w:lang w:val="en-US"/>
        </w:rPr>
        <w:t xml:space="preserve"> These institutional overlaps—such as professors engaging in applied industry R&amp;D or firms contributing to curriculum design—can significantly influence graduate outcomes</w:t>
      </w:r>
      <w:r w:rsidRPr="00B16655">
        <w:rPr>
          <w:rFonts w:ascii="Times New Roman" w:hAnsi="Times New Roman" w:cs="Times New Roman"/>
          <w:b/>
          <w:bCs/>
          <w:sz w:val="28"/>
          <w:szCs w:val="28"/>
          <w:lang w:val="en-US"/>
        </w:rPr>
        <w:t>.</w:t>
      </w:r>
    </w:p>
    <w:p w14:paraId="4062EEBE" w14:textId="77777777" w:rsidR="00690084" w:rsidRPr="00AB3DAD" w:rsidRDefault="00600C79" w:rsidP="00690084">
      <w:pPr>
        <w:spacing w:after="0" w:line="240" w:lineRule="auto"/>
        <w:ind w:firstLine="720"/>
        <w:contextualSpacing/>
        <w:jc w:val="both"/>
        <w:rPr>
          <w:rStyle w:val="a6"/>
          <w:rFonts w:ascii="Times New Roman" w:hAnsi="Times New Roman" w:cs="Times New Roman"/>
          <w:b w:val="0"/>
          <w:bCs w:val="0"/>
          <w:i/>
          <w:iCs/>
          <w:sz w:val="28"/>
          <w:szCs w:val="28"/>
          <w:lang w:val="en-US"/>
        </w:rPr>
      </w:pPr>
      <w:r w:rsidRPr="00AB3DAD">
        <w:rPr>
          <w:rStyle w:val="a6"/>
          <w:rFonts w:ascii="Times New Roman" w:hAnsi="Times New Roman" w:cs="Times New Roman"/>
          <w:b w:val="0"/>
          <w:bCs w:val="0"/>
          <w:i/>
          <w:iCs/>
          <w:sz w:val="28"/>
          <w:szCs w:val="28"/>
          <w:lang w:val="en-US"/>
        </w:rPr>
        <w:t xml:space="preserve">Strategic Public Funding for </w:t>
      </w:r>
      <w:proofErr w:type="spellStart"/>
      <w:r w:rsidRPr="00AB3DAD">
        <w:rPr>
          <w:rStyle w:val="a6"/>
          <w:rFonts w:ascii="Times New Roman" w:hAnsi="Times New Roman" w:cs="Times New Roman"/>
          <w:b w:val="0"/>
          <w:bCs w:val="0"/>
          <w:i/>
          <w:iCs/>
          <w:sz w:val="28"/>
          <w:szCs w:val="28"/>
          <w:lang w:val="en-US"/>
        </w:rPr>
        <w:t>Innov</w:t>
      </w:r>
      <w:proofErr w:type="spellEnd"/>
    </w:p>
    <w:p w14:paraId="28764D63" w14:textId="48FFBD18" w:rsidR="00600C79" w:rsidRPr="00690084" w:rsidRDefault="00600C79" w:rsidP="00690084">
      <w:pPr>
        <w:spacing w:after="0" w:line="240" w:lineRule="auto"/>
        <w:ind w:firstLine="720"/>
        <w:contextualSpacing/>
        <w:jc w:val="both"/>
        <w:rPr>
          <w:rFonts w:ascii="Times New Roman" w:hAnsi="Times New Roman" w:cs="Times New Roman"/>
          <w:sz w:val="28"/>
          <w:szCs w:val="28"/>
          <w:lang w:val="en-US"/>
        </w:rPr>
      </w:pPr>
      <w:r w:rsidRPr="00690084">
        <w:rPr>
          <w:rFonts w:ascii="Times New Roman" w:hAnsi="Times New Roman" w:cs="Times New Roman"/>
          <w:sz w:val="28"/>
          <w:szCs w:val="28"/>
          <w:lang w:val="en-US"/>
        </w:rPr>
        <w:t>Governments have increasingly shifted toward competitive, project-based research funding to promote excellence, accountability, and impact. In Europe, many countries now allocate most public research funds through grant competitions rather than direct institutional subsidies</w:t>
      </w:r>
      <w:r w:rsidR="00CE0E6E" w:rsidRPr="00690084">
        <w:rPr>
          <w:rFonts w:ascii="Times New Roman" w:hAnsi="Times New Roman" w:cs="Times New Roman"/>
          <w:sz w:val="28"/>
          <w:szCs w:val="28"/>
          <w:lang w:val="en-US"/>
        </w:rPr>
        <w:t xml:space="preserve"> [37</w:t>
      </w:r>
      <w:r w:rsidR="009C0DDF">
        <w:rPr>
          <w:rFonts w:ascii="Times New Roman" w:hAnsi="Times New Roman" w:cs="Times New Roman"/>
          <w:sz w:val="28"/>
          <w:szCs w:val="28"/>
          <w:lang w:val="kk-KZ"/>
        </w:rPr>
        <w:t>7</w:t>
      </w:r>
      <w:r w:rsidR="00CE0E6E" w:rsidRPr="00690084">
        <w:rPr>
          <w:rFonts w:ascii="Times New Roman" w:hAnsi="Times New Roman" w:cs="Times New Roman"/>
          <w:sz w:val="28"/>
          <w:szCs w:val="28"/>
          <w:lang w:val="en-US"/>
        </w:rPr>
        <w:t>, pp. 533-534].</w:t>
      </w:r>
      <w:r w:rsidRPr="00690084">
        <w:rPr>
          <w:rFonts w:ascii="Times New Roman" w:hAnsi="Times New Roman" w:cs="Times New Roman"/>
          <w:sz w:val="28"/>
          <w:szCs w:val="28"/>
          <w:lang w:val="en-US"/>
        </w:rPr>
        <w:t xml:space="preserve"> While such mechanisms aim to reward merit and performance, empirical studies reveal nuanced outcomes.</w:t>
      </w:r>
    </w:p>
    <w:p w14:paraId="5D839851" w14:textId="73700D94" w:rsidR="00600C79" w:rsidRPr="00422C11" w:rsidRDefault="00600C79" w:rsidP="00690084">
      <w:pPr>
        <w:spacing w:after="0" w:line="240" w:lineRule="auto"/>
        <w:ind w:firstLine="720"/>
        <w:contextualSpacing/>
        <w:jc w:val="both"/>
        <w:rPr>
          <w:rFonts w:ascii="Times New Roman" w:hAnsi="Times New Roman" w:cs="Times New Roman"/>
          <w:sz w:val="28"/>
          <w:szCs w:val="28"/>
          <w:lang w:val="en-US"/>
        </w:rPr>
      </w:pPr>
      <w:proofErr w:type="spellStart"/>
      <w:r w:rsidRPr="00690084">
        <w:rPr>
          <w:rFonts w:ascii="Times New Roman" w:hAnsi="Times New Roman" w:cs="Times New Roman"/>
          <w:sz w:val="28"/>
          <w:szCs w:val="28"/>
          <w:lang w:val="en-US"/>
        </w:rPr>
        <w:t>Zacharewicz</w:t>
      </w:r>
      <w:proofErr w:type="spellEnd"/>
      <w:r w:rsidRPr="00690084">
        <w:rPr>
          <w:rFonts w:ascii="Times New Roman" w:hAnsi="Times New Roman" w:cs="Times New Roman"/>
          <w:sz w:val="28"/>
          <w:szCs w:val="28"/>
          <w:lang w:val="en-US"/>
        </w:rPr>
        <w:t xml:space="preserve"> et al.</w:t>
      </w:r>
      <w:r w:rsidR="00CE0E6E" w:rsidRPr="00690084">
        <w:rPr>
          <w:rFonts w:ascii="Times New Roman" w:hAnsi="Times New Roman" w:cs="Times New Roman"/>
          <w:sz w:val="28"/>
          <w:szCs w:val="28"/>
          <w:lang w:val="en-US"/>
        </w:rPr>
        <w:t xml:space="preserve"> </w:t>
      </w:r>
      <w:r w:rsidRPr="00690084">
        <w:rPr>
          <w:rFonts w:ascii="Times New Roman" w:hAnsi="Times New Roman" w:cs="Times New Roman"/>
          <w:sz w:val="28"/>
          <w:szCs w:val="28"/>
          <w:lang w:val="en-US"/>
        </w:rPr>
        <w:t xml:space="preserve">found that greater reliance on competitive funding at national and institutional levels did </w:t>
      </w:r>
      <w:r w:rsidRPr="00422C11">
        <w:rPr>
          <w:rFonts w:ascii="Times New Roman" w:hAnsi="Times New Roman" w:cs="Times New Roman"/>
          <w:sz w:val="28"/>
          <w:szCs w:val="28"/>
          <w:lang w:val="en-US"/>
        </w:rPr>
        <w:t>not significantly improve</w:t>
      </w:r>
      <w:r w:rsidRPr="00690084">
        <w:rPr>
          <w:rFonts w:ascii="Times New Roman" w:hAnsi="Times New Roman" w:cs="Times New Roman"/>
          <w:sz w:val="28"/>
          <w:szCs w:val="28"/>
          <w:lang w:val="en-US"/>
        </w:rPr>
        <w:t xml:space="preserve"> the production of highly cited publications </w:t>
      </w:r>
      <w:r w:rsidRPr="00422C11">
        <w:rPr>
          <w:rFonts w:ascii="Times New Roman" w:hAnsi="Times New Roman" w:cs="Times New Roman"/>
          <w:sz w:val="28"/>
          <w:szCs w:val="28"/>
          <w:lang w:val="en-US"/>
        </w:rPr>
        <w:t xml:space="preserve">or the overall volume of research outputs </w:t>
      </w:r>
      <w:r w:rsidR="00CE0E6E" w:rsidRPr="00422C11">
        <w:rPr>
          <w:rFonts w:ascii="Times New Roman" w:hAnsi="Times New Roman" w:cs="Times New Roman"/>
          <w:sz w:val="28"/>
          <w:szCs w:val="28"/>
          <w:lang w:val="en-US"/>
        </w:rPr>
        <w:t>[37</w:t>
      </w:r>
      <w:r w:rsidR="009C0DDF">
        <w:rPr>
          <w:rFonts w:ascii="Times New Roman" w:hAnsi="Times New Roman" w:cs="Times New Roman"/>
          <w:sz w:val="28"/>
          <w:szCs w:val="28"/>
          <w:lang w:val="kk-KZ"/>
        </w:rPr>
        <w:t>7</w:t>
      </w:r>
      <w:r w:rsidR="00CE0E6E" w:rsidRPr="00422C11">
        <w:rPr>
          <w:rFonts w:ascii="Times New Roman" w:hAnsi="Times New Roman" w:cs="Times New Roman"/>
          <w:sz w:val="28"/>
          <w:szCs w:val="28"/>
          <w:lang w:val="en-US"/>
        </w:rPr>
        <w:t xml:space="preserve">, </w:t>
      </w:r>
      <w:r w:rsidRPr="00422C11">
        <w:rPr>
          <w:rFonts w:ascii="Times New Roman" w:hAnsi="Times New Roman" w:cs="Times New Roman"/>
          <w:sz w:val="28"/>
          <w:szCs w:val="28"/>
          <w:lang w:val="en-US"/>
        </w:rPr>
        <w:t>p. 537</w:t>
      </w:r>
      <w:r w:rsidR="00CE0E6E" w:rsidRPr="00422C11">
        <w:rPr>
          <w:rFonts w:ascii="Times New Roman" w:hAnsi="Times New Roman" w:cs="Times New Roman"/>
          <w:sz w:val="28"/>
          <w:szCs w:val="28"/>
          <w:lang w:val="en-US"/>
        </w:rPr>
        <w:t>]</w:t>
      </w:r>
      <w:r w:rsidRPr="00422C11">
        <w:rPr>
          <w:rFonts w:ascii="Times New Roman" w:hAnsi="Times New Roman" w:cs="Times New Roman"/>
          <w:sz w:val="28"/>
          <w:szCs w:val="28"/>
          <w:lang w:val="en-US"/>
        </w:rPr>
        <w:t>. Instead, too much focus on short-term, output-driven initiatives could underline long-term, exploratory research and lower institutional stability</w:t>
      </w:r>
      <w:r w:rsidR="00CE0E6E" w:rsidRPr="00422C11">
        <w:rPr>
          <w:rFonts w:ascii="Times New Roman" w:hAnsi="Times New Roman" w:cs="Times New Roman"/>
          <w:sz w:val="28"/>
          <w:szCs w:val="28"/>
          <w:lang w:val="en-US"/>
        </w:rPr>
        <w:t xml:space="preserve"> [37</w:t>
      </w:r>
      <w:r w:rsidR="009C0DDF">
        <w:rPr>
          <w:rFonts w:ascii="Times New Roman" w:hAnsi="Times New Roman" w:cs="Times New Roman"/>
          <w:sz w:val="28"/>
          <w:szCs w:val="28"/>
          <w:lang w:val="kk-KZ"/>
        </w:rPr>
        <w:t>7</w:t>
      </w:r>
      <w:r w:rsidR="00CE0E6E" w:rsidRPr="00422C11">
        <w:rPr>
          <w:rFonts w:ascii="Times New Roman" w:hAnsi="Times New Roman" w:cs="Times New Roman"/>
          <w:sz w:val="28"/>
          <w:szCs w:val="28"/>
          <w:lang w:val="en-US"/>
        </w:rPr>
        <w:t xml:space="preserve">, </w:t>
      </w:r>
      <w:r w:rsidRPr="00422C11">
        <w:rPr>
          <w:rFonts w:ascii="Times New Roman" w:hAnsi="Times New Roman" w:cs="Times New Roman"/>
          <w:sz w:val="28"/>
          <w:szCs w:val="28"/>
          <w:lang w:val="en-US"/>
        </w:rPr>
        <w:t>p. 538</w:t>
      </w:r>
      <w:r w:rsidR="00CE0E6E" w:rsidRPr="00422C11">
        <w:rPr>
          <w:rFonts w:ascii="Times New Roman" w:hAnsi="Times New Roman" w:cs="Times New Roman"/>
          <w:sz w:val="28"/>
          <w:szCs w:val="28"/>
          <w:lang w:val="en-US"/>
        </w:rPr>
        <w:t>]</w:t>
      </w:r>
      <w:r w:rsidRPr="00422C11">
        <w:rPr>
          <w:rFonts w:ascii="Times New Roman" w:hAnsi="Times New Roman" w:cs="Times New Roman"/>
          <w:sz w:val="28"/>
          <w:szCs w:val="28"/>
          <w:lang w:val="en-US"/>
        </w:rPr>
        <w:t>. Early-career researchers and graduate students—who rely on consistent funding sources for their development—may be significantly affected.</w:t>
      </w:r>
    </w:p>
    <w:p w14:paraId="1C7754F6" w14:textId="3BBC91FD" w:rsidR="00600C79" w:rsidRPr="00422C11" w:rsidRDefault="00600C79" w:rsidP="00600C79">
      <w:pPr>
        <w:pStyle w:val="a4"/>
        <w:spacing w:before="0" w:beforeAutospacing="0" w:after="0" w:afterAutospacing="0"/>
        <w:ind w:firstLine="720"/>
        <w:contextualSpacing/>
        <w:jc w:val="both"/>
        <w:rPr>
          <w:sz w:val="28"/>
          <w:szCs w:val="28"/>
          <w:lang w:val="en-US"/>
        </w:rPr>
      </w:pPr>
      <w:r w:rsidRPr="00422C11">
        <w:rPr>
          <w:sz w:val="28"/>
          <w:szCs w:val="28"/>
          <w:lang w:val="en-US"/>
        </w:rPr>
        <w:t>While less dynamic, institutional-based funding helps colleges invest in human resources, infrastructure, and capacity-building. Especially where the first findings may not be instantaneous</w:t>
      </w:r>
      <w:r w:rsidR="00CE0E6E" w:rsidRPr="00422C11">
        <w:rPr>
          <w:sz w:val="28"/>
          <w:szCs w:val="28"/>
          <w:lang w:val="en-US"/>
        </w:rPr>
        <w:t xml:space="preserve"> [37</w:t>
      </w:r>
      <w:r w:rsidR="009C0DDF">
        <w:rPr>
          <w:sz w:val="28"/>
          <w:szCs w:val="28"/>
          <w:lang w:val="kk-KZ"/>
        </w:rPr>
        <w:t>5</w:t>
      </w:r>
      <w:r w:rsidR="00CE0E6E" w:rsidRPr="00422C11">
        <w:rPr>
          <w:sz w:val="28"/>
          <w:szCs w:val="28"/>
          <w:lang w:val="en-US"/>
        </w:rPr>
        <w:t>,</w:t>
      </w:r>
      <w:r w:rsidRPr="00422C11">
        <w:rPr>
          <w:sz w:val="28"/>
          <w:szCs w:val="28"/>
          <w:lang w:val="en-US"/>
        </w:rPr>
        <w:t xml:space="preserve"> p. 105</w:t>
      </w:r>
      <w:r w:rsidR="00CE0E6E" w:rsidRPr="00422C11">
        <w:rPr>
          <w:sz w:val="28"/>
          <w:szCs w:val="28"/>
          <w:lang w:val="en-US"/>
        </w:rPr>
        <w:t>]</w:t>
      </w:r>
      <w:r w:rsidRPr="00422C11">
        <w:rPr>
          <w:sz w:val="28"/>
          <w:szCs w:val="28"/>
          <w:lang w:val="en-US"/>
        </w:rPr>
        <w:t>, it fosters risk-taking and consistent industrial engagement. The optimal po icy approach may involve a balanced mix of competitive and institutional funding that ensures innovation and stability.</w:t>
      </w:r>
    </w:p>
    <w:p w14:paraId="29032CAC" w14:textId="2685A0B2" w:rsidR="00600C79" w:rsidRPr="00422C11" w:rsidRDefault="00600C79" w:rsidP="00600C79">
      <w:pPr>
        <w:pStyle w:val="a4"/>
        <w:spacing w:before="0" w:beforeAutospacing="0" w:after="0" w:afterAutospacing="0"/>
        <w:ind w:firstLine="720"/>
        <w:contextualSpacing/>
        <w:jc w:val="both"/>
        <w:rPr>
          <w:sz w:val="28"/>
          <w:szCs w:val="28"/>
          <w:lang w:val="en-US"/>
        </w:rPr>
      </w:pPr>
      <w:r w:rsidRPr="00422C11">
        <w:rPr>
          <w:sz w:val="28"/>
          <w:szCs w:val="28"/>
          <w:lang w:val="en-US"/>
        </w:rPr>
        <w:t xml:space="preserve">Public R&amp;D funding can also crowd in private investment—a phenomenon known as </w:t>
      </w:r>
      <w:r w:rsidRPr="00422C11">
        <w:rPr>
          <w:rStyle w:val="a6"/>
          <w:b w:val="0"/>
          <w:bCs w:val="0"/>
          <w:sz w:val="28"/>
          <w:szCs w:val="28"/>
          <w:lang w:val="en-US"/>
        </w:rPr>
        <w:t>additionality</w:t>
      </w:r>
      <w:r w:rsidRPr="00422C11">
        <w:rPr>
          <w:sz w:val="28"/>
          <w:szCs w:val="28"/>
          <w:lang w:val="en-US"/>
        </w:rPr>
        <w:t xml:space="preserve">. For example, Bloch and </w:t>
      </w:r>
      <w:proofErr w:type="spellStart"/>
      <w:r w:rsidRPr="00422C11">
        <w:rPr>
          <w:sz w:val="28"/>
          <w:szCs w:val="28"/>
          <w:lang w:val="en-US"/>
        </w:rPr>
        <w:t>Graversen</w:t>
      </w:r>
      <w:proofErr w:type="spellEnd"/>
      <w:r w:rsidR="00CE0E6E" w:rsidRPr="00422C11">
        <w:rPr>
          <w:sz w:val="28"/>
          <w:szCs w:val="28"/>
          <w:lang w:val="en-US"/>
        </w:rPr>
        <w:t xml:space="preserve"> </w:t>
      </w:r>
      <w:r w:rsidRPr="00422C11">
        <w:rPr>
          <w:sz w:val="28"/>
          <w:szCs w:val="28"/>
          <w:lang w:val="en-US"/>
        </w:rPr>
        <w:t xml:space="preserve">found that government grants stimulated Danish firms to increase their R&amp;D spending, demonstrating complementarity rather than crowding out </w:t>
      </w:r>
      <w:r w:rsidR="00CE0E6E" w:rsidRPr="00422C11">
        <w:rPr>
          <w:sz w:val="28"/>
          <w:szCs w:val="28"/>
          <w:lang w:val="en-US"/>
        </w:rPr>
        <w:t>[3</w:t>
      </w:r>
      <w:r w:rsidR="00422C11">
        <w:rPr>
          <w:sz w:val="28"/>
          <w:szCs w:val="28"/>
          <w:lang w:val="en-US"/>
        </w:rPr>
        <w:t>7</w:t>
      </w:r>
      <w:r w:rsidR="009C0DDF">
        <w:rPr>
          <w:sz w:val="28"/>
          <w:szCs w:val="28"/>
          <w:lang w:val="kk-KZ"/>
        </w:rPr>
        <w:t>8</w:t>
      </w:r>
      <w:r w:rsidR="00CE0E6E" w:rsidRPr="00422C11">
        <w:rPr>
          <w:sz w:val="28"/>
          <w:szCs w:val="28"/>
          <w:lang w:val="en-US"/>
        </w:rPr>
        <w:t xml:space="preserve">, </w:t>
      </w:r>
      <w:r w:rsidRPr="00422C11">
        <w:rPr>
          <w:sz w:val="28"/>
          <w:szCs w:val="28"/>
          <w:lang w:val="en-US"/>
        </w:rPr>
        <w:t>p. 11</w:t>
      </w:r>
      <w:r w:rsidR="00CE0E6E" w:rsidRPr="00422C11">
        <w:rPr>
          <w:sz w:val="28"/>
          <w:szCs w:val="28"/>
          <w:lang w:val="en-US"/>
        </w:rPr>
        <w:t>]</w:t>
      </w:r>
      <w:r w:rsidRPr="00422C11">
        <w:rPr>
          <w:sz w:val="28"/>
          <w:szCs w:val="28"/>
          <w:lang w:val="en-US"/>
        </w:rPr>
        <w:t xml:space="preserve">. Similarly, </w:t>
      </w:r>
      <w:proofErr w:type="spellStart"/>
      <w:r w:rsidRPr="00422C11">
        <w:rPr>
          <w:sz w:val="28"/>
          <w:szCs w:val="28"/>
          <w:lang w:val="en-US"/>
        </w:rPr>
        <w:t>Huňady</w:t>
      </w:r>
      <w:proofErr w:type="spellEnd"/>
      <w:r w:rsidRPr="00422C11">
        <w:rPr>
          <w:sz w:val="28"/>
          <w:szCs w:val="28"/>
          <w:lang w:val="en-US"/>
        </w:rPr>
        <w:t xml:space="preserve"> et al.</w:t>
      </w:r>
      <w:r w:rsidR="00CE0E6E" w:rsidRPr="00422C11">
        <w:rPr>
          <w:sz w:val="28"/>
          <w:szCs w:val="28"/>
          <w:lang w:val="en-US"/>
        </w:rPr>
        <w:t xml:space="preserve"> </w:t>
      </w:r>
      <w:r w:rsidRPr="00422C11">
        <w:rPr>
          <w:sz w:val="28"/>
          <w:szCs w:val="28"/>
          <w:lang w:val="en-US"/>
        </w:rPr>
        <w:t xml:space="preserve">showed that in EU countries, higher education R&amp;D funded by the government attracted more funding from business and international sources, reinforcing university-industry partnerships </w:t>
      </w:r>
      <w:r w:rsidR="00CE0E6E" w:rsidRPr="00422C11">
        <w:rPr>
          <w:sz w:val="28"/>
          <w:szCs w:val="28"/>
          <w:lang w:val="en-US"/>
        </w:rPr>
        <w:t>[37</w:t>
      </w:r>
      <w:r w:rsidR="009C0DDF">
        <w:rPr>
          <w:sz w:val="28"/>
          <w:szCs w:val="28"/>
          <w:lang w:val="kk-KZ"/>
        </w:rPr>
        <w:t>5</w:t>
      </w:r>
      <w:r w:rsidR="00CE0E6E" w:rsidRPr="00422C11">
        <w:rPr>
          <w:sz w:val="28"/>
          <w:szCs w:val="28"/>
          <w:lang w:val="en-US"/>
        </w:rPr>
        <w:t xml:space="preserve">, </w:t>
      </w:r>
      <w:r w:rsidRPr="00422C11">
        <w:rPr>
          <w:sz w:val="28"/>
          <w:szCs w:val="28"/>
          <w:lang w:val="en-US"/>
        </w:rPr>
        <w:t>p. 108</w:t>
      </w:r>
      <w:r w:rsidR="00CE0E6E" w:rsidRPr="00422C11">
        <w:rPr>
          <w:sz w:val="28"/>
          <w:szCs w:val="28"/>
          <w:lang w:val="en-US"/>
        </w:rPr>
        <w:t>]</w:t>
      </w:r>
      <w:r w:rsidRPr="00422C11">
        <w:rPr>
          <w:sz w:val="28"/>
          <w:szCs w:val="28"/>
          <w:lang w:val="en-US"/>
        </w:rPr>
        <w:t>.</w:t>
      </w:r>
    </w:p>
    <w:p w14:paraId="79D58B03" w14:textId="77777777" w:rsidR="00600C79" w:rsidRPr="00AB3DAD" w:rsidRDefault="00600C79" w:rsidP="00600C79">
      <w:pPr>
        <w:pStyle w:val="a4"/>
        <w:spacing w:before="0" w:beforeAutospacing="0" w:after="0" w:afterAutospacing="0"/>
        <w:ind w:firstLine="720"/>
        <w:contextualSpacing/>
        <w:jc w:val="both"/>
        <w:rPr>
          <w:b/>
          <w:bCs/>
          <w:sz w:val="28"/>
          <w:szCs w:val="28"/>
          <w:lang w:val="en-US"/>
        </w:rPr>
      </w:pPr>
      <w:r w:rsidRPr="00AB3DAD">
        <w:rPr>
          <w:rStyle w:val="a6"/>
          <w:b w:val="0"/>
          <w:bCs w:val="0"/>
          <w:i/>
          <w:iCs/>
          <w:sz w:val="28"/>
          <w:szCs w:val="28"/>
          <w:lang w:val="en-US"/>
        </w:rPr>
        <w:t>Institutional Readiness and Innovation Capacity</w:t>
      </w:r>
    </w:p>
    <w:p w14:paraId="1042EBB4" w14:textId="77777777" w:rsidR="00600C79" w:rsidRPr="00422C11" w:rsidRDefault="00600C79" w:rsidP="00600C79">
      <w:pPr>
        <w:pStyle w:val="a4"/>
        <w:spacing w:before="0" w:beforeAutospacing="0" w:after="0" w:afterAutospacing="0"/>
        <w:ind w:firstLine="720"/>
        <w:contextualSpacing/>
        <w:jc w:val="both"/>
        <w:rPr>
          <w:sz w:val="28"/>
          <w:szCs w:val="28"/>
          <w:lang w:val="en-US"/>
        </w:rPr>
      </w:pPr>
      <w:r w:rsidRPr="00422C11">
        <w:rPr>
          <w:sz w:val="28"/>
          <w:szCs w:val="28"/>
          <w:lang w:val="en-US"/>
        </w:rPr>
        <w:t xml:space="preserve">Even when well-designed, government funding policies require capable institutions to deliver results. </w:t>
      </w:r>
      <w:r w:rsidRPr="00422C11">
        <w:rPr>
          <w:rStyle w:val="a6"/>
          <w:b w:val="0"/>
          <w:bCs w:val="0"/>
          <w:i/>
          <w:iCs/>
          <w:sz w:val="28"/>
          <w:szCs w:val="28"/>
          <w:lang w:val="en-US"/>
        </w:rPr>
        <w:t>Institutional readiness</w:t>
      </w:r>
      <w:r w:rsidRPr="00422C11">
        <w:rPr>
          <w:sz w:val="28"/>
          <w:szCs w:val="28"/>
          <w:lang w:val="en-US"/>
        </w:rPr>
        <w:t xml:space="preserve">—including research </w:t>
      </w:r>
      <w:r w:rsidRPr="00422C11">
        <w:rPr>
          <w:sz w:val="28"/>
          <w:szCs w:val="28"/>
          <w:lang w:val="en-US"/>
        </w:rPr>
        <w:lastRenderedPageBreak/>
        <w:t>infrastructure, administrative capacity, and strategic leadership—determines how effectively universities translate policy support into innovation.</w:t>
      </w:r>
    </w:p>
    <w:p w14:paraId="7259045F" w14:textId="1C6794AB" w:rsidR="00600C79" w:rsidRPr="00422C11" w:rsidRDefault="00600C79" w:rsidP="00600C79">
      <w:pPr>
        <w:pStyle w:val="a4"/>
        <w:spacing w:before="0" w:beforeAutospacing="0" w:after="0" w:afterAutospacing="0"/>
        <w:ind w:firstLine="720"/>
        <w:contextualSpacing/>
        <w:jc w:val="both"/>
        <w:rPr>
          <w:sz w:val="28"/>
          <w:szCs w:val="28"/>
          <w:lang w:val="en-US"/>
        </w:rPr>
      </w:pPr>
      <w:r w:rsidRPr="00422C11">
        <w:rPr>
          <w:sz w:val="28"/>
          <w:szCs w:val="28"/>
          <w:lang w:val="en-US"/>
        </w:rPr>
        <w:t>Blume-</w:t>
      </w:r>
      <w:proofErr w:type="spellStart"/>
      <w:r w:rsidRPr="00422C11">
        <w:rPr>
          <w:sz w:val="28"/>
          <w:szCs w:val="28"/>
          <w:lang w:val="en-US"/>
        </w:rPr>
        <w:t>Kohout</w:t>
      </w:r>
      <w:proofErr w:type="spellEnd"/>
      <w:r w:rsidRPr="00422C11">
        <w:rPr>
          <w:sz w:val="28"/>
          <w:szCs w:val="28"/>
          <w:lang w:val="en-US"/>
        </w:rPr>
        <w:t xml:space="preserve"> et al.</w:t>
      </w:r>
      <w:r w:rsidR="00CE0E6E" w:rsidRPr="00422C11">
        <w:rPr>
          <w:sz w:val="28"/>
          <w:szCs w:val="28"/>
          <w:lang w:val="en-US"/>
        </w:rPr>
        <w:t xml:space="preserve"> </w:t>
      </w:r>
      <w:r w:rsidRPr="00422C11">
        <w:rPr>
          <w:sz w:val="28"/>
          <w:szCs w:val="28"/>
          <w:lang w:val="en-US"/>
        </w:rPr>
        <w:t>analyzed how U.S. universities adapted to declining federal R&amp;D funding after the NIH budget plateaued in the mid-2000s. Research-intensive universities successfully diversified income streams and maintained R&amp;D activity, while less-funded institutions experienced significant declines</w:t>
      </w:r>
      <w:r w:rsidR="00CE0E6E" w:rsidRPr="00422C11">
        <w:rPr>
          <w:sz w:val="28"/>
          <w:szCs w:val="28"/>
          <w:lang w:val="en-US"/>
        </w:rPr>
        <w:t xml:space="preserve"> [37</w:t>
      </w:r>
      <w:r w:rsidR="009C0DDF">
        <w:rPr>
          <w:sz w:val="28"/>
          <w:szCs w:val="28"/>
          <w:lang w:val="kk-KZ"/>
        </w:rPr>
        <w:t>4</w:t>
      </w:r>
      <w:r w:rsidR="00CE0E6E" w:rsidRPr="00422C11">
        <w:rPr>
          <w:sz w:val="28"/>
          <w:szCs w:val="28"/>
          <w:lang w:val="en-US"/>
        </w:rPr>
        <w:t xml:space="preserve">, </w:t>
      </w:r>
      <w:r w:rsidRPr="00422C11">
        <w:rPr>
          <w:sz w:val="28"/>
          <w:szCs w:val="28"/>
          <w:lang w:val="en-US"/>
        </w:rPr>
        <w:t>pp.</w:t>
      </w:r>
      <w:r w:rsidR="00CE0E6E" w:rsidRPr="00422C11">
        <w:rPr>
          <w:sz w:val="28"/>
          <w:szCs w:val="28"/>
          <w:lang w:val="en-US"/>
        </w:rPr>
        <w:t xml:space="preserve"> </w:t>
      </w:r>
      <w:r w:rsidRPr="00422C11">
        <w:rPr>
          <w:sz w:val="28"/>
          <w:szCs w:val="28"/>
          <w:lang w:val="en-US"/>
        </w:rPr>
        <w:t>358–359</w:t>
      </w:r>
      <w:r w:rsidR="00CE0E6E" w:rsidRPr="00422C11">
        <w:rPr>
          <w:sz w:val="28"/>
          <w:szCs w:val="28"/>
          <w:lang w:val="en-US"/>
        </w:rPr>
        <w:t xml:space="preserve">]. </w:t>
      </w:r>
      <w:r w:rsidRPr="00422C11">
        <w:rPr>
          <w:sz w:val="28"/>
          <w:szCs w:val="28"/>
          <w:lang w:val="en-US"/>
        </w:rPr>
        <w:t>These disparities suggest that institutional characteristics mediate the impact of national policy.</w:t>
      </w:r>
      <w:r w:rsidR="00CE0E6E" w:rsidRPr="00422C11">
        <w:rPr>
          <w:sz w:val="28"/>
          <w:szCs w:val="28"/>
          <w:lang w:val="en-US"/>
        </w:rPr>
        <w:t xml:space="preserve"> </w:t>
      </w:r>
    </w:p>
    <w:p w14:paraId="5C09A240" w14:textId="5A88D3C9" w:rsidR="00600C79" w:rsidRPr="00422C11" w:rsidRDefault="00600C79" w:rsidP="00600C79">
      <w:pPr>
        <w:pStyle w:val="a4"/>
        <w:spacing w:before="0" w:beforeAutospacing="0" w:after="0" w:afterAutospacing="0"/>
        <w:ind w:firstLine="720"/>
        <w:contextualSpacing/>
        <w:jc w:val="both"/>
        <w:rPr>
          <w:sz w:val="28"/>
          <w:szCs w:val="28"/>
          <w:lang w:val="en-US"/>
        </w:rPr>
      </w:pPr>
      <w:r w:rsidRPr="00422C11">
        <w:rPr>
          <w:sz w:val="28"/>
          <w:szCs w:val="28"/>
          <w:lang w:val="en-US"/>
        </w:rPr>
        <w:t xml:space="preserve">Importantly, </w:t>
      </w:r>
      <w:r w:rsidRPr="00422C11">
        <w:rPr>
          <w:rStyle w:val="a6"/>
          <w:b w:val="0"/>
          <w:bCs w:val="0"/>
          <w:sz w:val="28"/>
          <w:szCs w:val="28"/>
          <w:lang w:val="en-US"/>
        </w:rPr>
        <w:t>less research-intensive institutions</w:t>
      </w:r>
      <w:r w:rsidRPr="00422C11">
        <w:rPr>
          <w:sz w:val="28"/>
          <w:szCs w:val="28"/>
          <w:lang w:val="en-US"/>
        </w:rPr>
        <w:t xml:space="preserve"> that won competitive grants leveraged those funds to attract additional resources. Each federal dollar brought in an estimated $0.54 in non-federal R&amp;D, proving that targeted support—even at modest levels—can boost performance when supported by internal commitment and strategic planning </w:t>
      </w:r>
      <w:r w:rsidR="00CE0E6E" w:rsidRPr="00422C11">
        <w:rPr>
          <w:sz w:val="28"/>
          <w:szCs w:val="28"/>
          <w:lang w:val="en-US"/>
        </w:rPr>
        <w:t>[37</w:t>
      </w:r>
      <w:r w:rsidR="009C0DDF">
        <w:rPr>
          <w:sz w:val="28"/>
          <w:szCs w:val="28"/>
          <w:lang w:val="kk-KZ"/>
        </w:rPr>
        <w:t>4</w:t>
      </w:r>
      <w:r w:rsidRPr="00422C11">
        <w:rPr>
          <w:sz w:val="28"/>
          <w:szCs w:val="28"/>
          <w:lang w:val="en-US"/>
        </w:rPr>
        <w:t>, p. 360</w:t>
      </w:r>
      <w:r w:rsidR="00CE0E6E" w:rsidRPr="00422C11">
        <w:rPr>
          <w:sz w:val="28"/>
          <w:szCs w:val="28"/>
          <w:lang w:val="en-US"/>
        </w:rPr>
        <w:t>]</w:t>
      </w:r>
      <w:r w:rsidRPr="00422C11">
        <w:rPr>
          <w:sz w:val="28"/>
          <w:szCs w:val="28"/>
          <w:lang w:val="en-US"/>
        </w:rPr>
        <w:t>.</w:t>
      </w:r>
    </w:p>
    <w:p w14:paraId="78A26742" w14:textId="77777777" w:rsidR="00600C79" w:rsidRPr="00422C11" w:rsidRDefault="00600C79" w:rsidP="00600C79">
      <w:pPr>
        <w:pStyle w:val="a4"/>
        <w:spacing w:before="0" w:beforeAutospacing="0" w:after="0" w:afterAutospacing="0"/>
        <w:ind w:firstLine="720"/>
        <w:contextualSpacing/>
        <w:jc w:val="both"/>
        <w:rPr>
          <w:sz w:val="28"/>
          <w:szCs w:val="28"/>
          <w:lang w:val="en-US"/>
        </w:rPr>
      </w:pPr>
      <w:r w:rsidRPr="00422C11">
        <w:rPr>
          <w:sz w:val="28"/>
          <w:szCs w:val="28"/>
          <w:lang w:val="en-US"/>
        </w:rPr>
        <w:t>Governments can enhance institutional readiness through capacity-building programs, such as supporting research office development, staff training, inter-university partnerships, and performance-based infrastructure grants. These measures ensure that smaller or regional universities can participate meaningfully in innovation ecosystems.</w:t>
      </w:r>
    </w:p>
    <w:p w14:paraId="09605268" w14:textId="77777777" w:rsidR="00600C79" w:rsidRPr="0092229A" w:rsidRDefault="00600C79" w:rsidP="00600C79">
      <w:pPr>
        <w:pStyle w:val="a4"/>
        <w:spacing w:before="0" w:beforeAutospacing="0" w:after="0" w:afterAutospacing="0"/>
        <w:ind w:firstLine="720"/>
        <w:contextualSpacing/>
        <w:jc w:val="both"/>
        <w:rPr>
          <w:b/>
          <w:bCs/>
          <w:i/>
          <w:iCs/>
          <w:sz w:val="28"/>
          <w:szCs w:val="28"/>
          <w:lang w:val="en-US"/>
        </w:rPr>
      </w:pPr>
      <w:r w:rsidRPr="0092229A">
        <w:rPr>
          <w:rStyle w:val="a6"/>
          <w:b w:val="0"/>
          <w:bCs w:val="0"/>
          <w:i/>
          <w:iCs/>
          <w:sz w:val="28"/>
          <w:szCs w:val="28"/>
          <w:lang w:val="en-US"/>
        </w:rPr>
        <w:t>Regional Disparities and Targeted Innovation Policy</w:t>
      </w:r>
    </w:p>
    <w:p w14:paraId="4F4603F9" w14:textId="77777777" w:rsidR="00600C79" w:rsidRPr="00422C11" w:rsidRDefault="00600C79" w:rsidP="00600C79">
      <w:pPr>
        <w:pStyle w:val="a4"/>
        <w:spacing w:before="0" w:beforeAutospacing="0" w:after="0" w:afterAutospacing="0"/>
        <w:ind w:firstLine="720"/>
        <w:contextualSpacing/>
        <w:jc w:val="both"/>
        <w:rPr>
          <w:sz w:val="28"/>
          <w:szCs w:val="28"/>
          <w:lang w:val="en-US"/>
        </w:rPr>
      </w:pPr>
      <w:r w:rsidRPr="00422C11">
        <w:rPr>
          <w:sz w:val="28"/>
          <w:szCs w:val="28"/>
          <w:lang w:val="en-US"/>
        </w:rPr>
        <w:t>Nationally, innovation systems may sometimes be spatially uneven. While outlying or rural areas are left behind, urban areas with research-intensive universities, tech companies' clusters, and substantial infrastructural investment tend to rule. Correcting these regional disparities depends much on government policies.</w:t>
      </w:r>
    </w:p>
    <w:p w14:paraId="4C133708" w14:textId="46903AF9" w:rsidR="00600C79" w:rsidRPr="00623CE6" w:rsidRDefault="00600C79" w:rsidP="00600C79">
      <w:pPr>
        <w:pStyle w:val="a4"/>
        <w:spacing w:before="0" w:beforeAutospacing="0" w:after="0" w:afterAutospacing="0"/>
        <w:ind w:firstLine="720"/>
        <w:contextualSpacing/>
        <w:jc w:val="both"/>
        <w:rPr>
          <w:color w:val="0E101A"/>
          <w:sz w:val="28"/>
          <w:szCs w:val="28"/>
          <w:lang w:val="en-US"/>
        </w:rPr>
      </w:pPr>
      <w:r w:rsidRPr="00422C11">
        <w:rPr>
          <w:sz w:val="28"/>
          <w:szCs w:val="28"/>
          <w:lang w:val="en-US"/>
        </w:rPr>
        <w:t xml:space="preserve">Li and Wu investigated the spatial effects of R&amp;D subsidies across 283 Chinese cities. Their study found that government </w:t>
      </w:r>
      <w:r w:rsidRPr="00623CE6">
        <w:rPr>
          <w:color w:val="0E101A"/>
          <w:sz w:val="28"/>
          <w:szCs w:val="28"/>
          <w:lang w:val="en-US"/>
        </w:rPr>
        <w:t>subsidies significantly improved innovation quality in less-developed central and western cities while having little or no effect in already-advanced eastern cities</w:t>
      </w:r>
      <w:r w:rsidR="00CE0E6E">
        <w:rPr>
          <w:color w:val="0E101A"/>
          <w:sz w:val="28"/>
          <w:szCs w:val="28"/>
          <w:lang w:val="en-US"/>
        </w:rPr>
        <w:t xml:space="preserve"> [3</w:t>
      </w:r>
      <w:r w:rsidR="009C0DDF">
        <w:rPr>
          <w:color w:val="0E101A"/>
          <w:sz w:val="28"/>
          <w:szCs w:val="28"/>
          <w:lang w:val="kk-KZ"/>
        </w:rPr>
        <w:t>79</w:t>
      </w:r>
      <w:r w:rsidR="00CE0E6E">
        <w:rPr>
          <w:color w:val="0E101A"/>
          <w:sz w:val="28"/>
          <w:szCs w:val="28"/>
          <w:lang w:val="en-US"/>
        </w:rPr>
        <w:t>, pp. 4-6]</w:t>
      </w:r>
      <w:r w:rsidRPr="00CE0E6E">
        <w:rPr>
          <w:color w:val="0E101A"/>
          <w:sz w:val="28"/>
          <w:szCs w:val="28"/>
          <w:lang w:val="en-US"/>
        </w:rPr>
        <w:t>.</w:t>
      </w:r>
      <w:r w:rsidRPr="00623CE6">
        <w:rPr>
          <w:color w:val="0E101A"/>
          <w:sz w:val="28"/>
          <w:szCs w:val="28"/>
          <w:lang w:val="en-US"/>
        </w:rPr>
        <w:t xml:space="preserve"> It shows the region-sensitive policy design requirement and untargeted subsidies' declining marginal returns.</w:t>
      </w:r>
    </w:p>
    <w:p w14:paraId="18330400" w14:textId="14751A1D" w:rsidR="00600C79" w:rsidRPr="00623CE6" w:rsidRDefault="00600C79" w:rsidP="00600C79">
      <w:pPr>
        <w:pStyle w:val="a4"/>
        <w:spacing w:before="0" w:beforeAutospacing="0" w:after="0" w:afterAutospacing="0"/>
        <w:ind w:firstLine="720"/>
        <w:contextualSpacing/>
        <w:jc w:val="both"/>
        <w:rPr>
          <w:color w:val="0E101A"/>
          <w:sz w:val="28"/>
          <w:szCs w:val="28"/>
          <w:lang w:val="en-US"/>
        </w:rPr>
      </w:pPr>
      <w:r w:rsidRPr="00CE0E6E">
        <w:rPr>
          <w:color w:val="0E101A"/>
          <w:sz w:val="28"/>
          <w:szCs w:val="28"/>
          <w:lang w:val="en-US"/>
        </w:rPr>
        <w:t>Hong, J.,</w:t>
      </w:r>
      <w:r w:rsidRPr="00623CE6">
        <w:rPr>
          <w:color w:val="0E101A"/>
          <w:sz w:val="28"/>
          <w:szCs w:val="28"/>
          <w:lang w:val="en-US"/>
        </w:rPr>
        <w:t xml:space="preserve"> </w:t>
      </w:r>
      <w:r w:rsidRPr="00CE0E6E">
        <w:rPr>
          <w:color w:val="0E101A"/>
          <w:sz w:val="28"/>
          <w:szCs w:val="28"/>
          <w:lang w:val="en-US"/>
        </w:rPr>
        <w:t>et al.</w:t>
      </w:r>
      <w:r w:rsidRPr="00623CE6">
        <w:rPr>
          <w:color w:val="0E101A"/>
          <w:sz w:val="28"/>
          <w:szCs w:val="28"/>
          <w:lang w:val="en-US"/>
        </w:rPr>
        <w:t xml:space="preserve"> study looked at the links between government grants, private R&amp;D investment, and innovation efficiency in China's high-tech sector</w:t>
      </w:r>
      <w:r w:rsidR="00CE0E6E">
        <w:rPr>
          <w:color w:val="0E101A"/>
          <w:sz w:val="28"/>
          <w:szCs w:val="28"/>
          <w:lang w:val="en-US"/>
        </w:rPr>
        <w:t xml:space="preserve"> [38</w:t>
      </w:r>
      <w:r w:rsidR="009C0DDF">
        <w:rPr>
          <w:color w:val="0E101A"/>
          <w:sz w:val="28"/>
          <w:szCs w:val="28"/>
          <w:lang w:val="kk-KZ"/>
        </w:rPr>
        <w:t>0</w:t>
      </w:r>
      <w:r w:rsidR="00CE0E6E">
        <w:rPr>
          <w:color w:val="0E101A"/>
          <w:sz w:val="28"/>
          <w:szCs w:val="28"/>
          <w:lang w:val="en-US"/>
        </w:rPr>
        <w:t>]</w:t>
      </w:r>
      <w:r w:rsidRPr="00623CE6">
        <w:rPr>
          <w:color w:val="0E101A"/>
          <w:sz w:val="28"/>
          <w:szCs w:val="28"/>
          <w:lang w:val="en-US"/>
        </w:rPr>
        <w:t xml:space="preserve">. The study revealed that government subsidies </w:t>
      </w:r>
      <w:proofErr w:type="spellStart"/>
      <w:r w:rsidRPr="00623CE6">
        <w:rPr>
          <w:color w:val="0E101A"/>
          <w:sz w:val="28"/>
          <w:szCs w:val="28"/>
          <w:lang w:val="en-US"/>
        </w:rPr>
        <w:t>favourably</w:t>
      </w:r>
      <w:proofErr w:type="spellEnd"/>
      <w:r w:rsidRPr="00623CE6">
        <w:rPr>
          <w:color w:val="0E101A"/>
          <w:sz w:val="28"/>
          <w:szCs w:val="28"/>
          <w:lang w:val="en-US"/>
        </w:rPr>
        <w:t xml:space="preserve"> affect innovation efficiency, mainly when they support further private R&amp;D expenditure. This energy between public money and private investment improves the general efficiency of sectoral innovation projects. </w:t>
      </w:r>
      <w:r w:rsidR="00CE0E6E">
        <w:rPr>
          <w:color w:val="0E101A"/>
          <w:sz w:val="28"/>
          <w:szCs w:val="28"/>
          <w:lang w:val="en-US"/>
        </w:rPr>
        <w:t xml:space="preserve"> </w:t>
      </w:r>
    </w:p>
    <w:p w14:paraId="782D4286" w14:textId="381E9B1C" w:rsidR="00600C79" w:rsidRPr="00623CE6" w:rsidRDefault="00600C79" w:rsidP="00600C79">
      <w:pPr>
        <w:pStyle w:val="a4"/>
        <w:spacing w:before="0" w:beforeAutospacing="0" w:after="0" w:afterAutospacing="0"/>
        <w:ind w:firstLine="720"/>
        <w:contextualSpacing/>
        <w:jc w:val="both"/>
        <w:rPr>
          <w:color w:val="0E101A"/>
          <w:sz w:val="28"/>
          <w:szCs w:val="28"/>
          <w:lang w:val="en-US"/>
        </w:rPr>
      </w:pPr>
      <w:r w:rsidRPr="00623CE6">
        <w:rPr>
          <w:color w:val="0E101A"/>
          <w:sz w:val="28"/>
          <w:szCs w:val="28"/>
          <w:lang w:val="en-US"/>
        </w:rPr>
        <w:t xml:space="preserve">Through initiatives such as the </w:t>
      </w:r>
      <w:r w:rsidRPr="001B2EB5">
        <w:rPr>
          <w:color w:val="0E101A"/>
          <w:sz w:val="28"/>
          <w:szCs w:val="28"/>
          <w:lang w:val="en-US"/>
        </w:rPr>
        <w:t>Business Roadmap 2025</w:t>
      </w:r>
      <w:r w:rsidRPr="00623CE6">
        <w:rPr>
          <w:color w:val="0E101A"/>
          <w:sz w:val="28"/>
          <w:szCs w:val="28"/>
          <w:lang w:val="en-US"/>
        </w:rPr>
        <w:t xml:space="preserve"> and the creation of regional tech parks, Kazakhstan has moved in this direction</w:t>
      </w:r>
      <w:r w:rsidR="001B2EB5">
        <w:rPr>
          <w:color w:val="0E101A"/>
          <w:sz w:val="28"/>
          <w:szCs w:val="28"/>
          <w:lang w:val="en-US"/>
        </w:rPr>
        <w:t xml:space="preserve"> [105]</w:t>
      </w:r>
      <w:r w:rsidRPr="00623CE6">
        <w:rPr>
          <w:color w:val="0E101A"/>
          <w:sz w:val="28"/>
          <w:szCs w:val="28"/>
          <w:lang w:val="en-US"/>
        </w:rPr>
        <w:t>. These programs seek to encourage entrepreneurship and innovation capability outside of big cities, therefore providing more access to innovation jobs for regional colleges and graduates.</w:t>
      </w:r>
    </w:p>
    <w:p w14:paraId="7B5DF64D" w14:textId="77777777" w:rsidR="00600C79" w:rsidRPr="00623CE6" w:rsidRDefault="00600C79" w:rsidP="00742D77">
      <w:pPr>
        <w:pStyle w:val="a4"/>
        <w:spacing w:before="0" w:beforeAutospacing="0" w:after="0" w:afterAutospacing="0"/>
        <w:ind w:firstLine="720"/>
        <w:contextualSpacing/>
        <w:jc w:val="both"/>
        <w:rPr>
          <w:color w:val="0E101A"/>
          <w:lang w:val="en-US"/>
        </w:rPr>
      </w:pPr>
      <w:r w:rsidRPr="00623CE6">
        <w:rPr>
          <w:color w:val="0E101A"/>
          <w:sz w:val="28"/>
          <w:szCs w:val="28"/>
          <w:lang w:val="en-US"/>
        </w:rPr>
        <w:t xml:space="preserve">Government policies must also consider </w:t>
      </w:r>
      <w:r w:rsidRPr="00742D77">
        <w:rPr>
          <w:rStyle w:val="a6"/>
          <w:b w:val="0"/>
          <w:bCs w:val="0"/>
          <w:color w:val="0E101A"/>
          <w:sz w:val="28"/>
          <w:szCs w:val="28"/>
          <w:lang w:val="en-US"/>
        </w:rPr>
        <w:t>local labor market absorption</w:t>
      </w:r>
      <w:r w:rsidRPr="00623CE6">
        <w:rPr>
          <w:color w:val="0E101A"/>
          <w:sz w:val="28"/>
          <w:szCs w:val="28"/>
          <w:lang w:val="en-US"/>
        </w:rPr>
        <w:t xml:space="preserve">. If regional innovation on capacity increases but employment pathways remain centralized, brain drain may persist. Therefore, innovative policies should be paired with SME support, startup funding, and university-industry collaboration at the </w:t>
      </w:r>
      <w:r w:rsidRPr="00623CE6">
        <w:rPr>
          <w:color w:val="0E101A"/>
          <w:sz w:val="28"/>
          <w:szCs w:val="28"/>
          <w:lang w:val="en-US"/>
        </w:rPr>
        <w:lastRenderedPageBreak/>
        <w:t xml:space="preserve">regional level. This ensures that </w:t>
      </w:r>
      <w:r w:rsidRPr="00742D77">
        <w:rPr>
          <w:rStyle w:val="a6"/>
          <w:b w:val="0"/>
          <w:bCs w:val="0"/>
          <w:color w:val="0E101A"/>
          <w:sz w:val="28"/>
          <w:szCs w:val="28"/>
          <w:lang w:val="en-US"/>
        </w:rPr>
        <w:t>graduates can find meaningful employment</w:t>
      </w:r>
      <w:r w:rsidRPr="00623CE6">
        <w:rPr>
          <w:color w:val="0E101A"/>
          <w:sz w:val="28"/>
          <w:szCs w:val="28"/>
          <w:lang w:val="en-US"/>
        </w:rPr>
        <w:t xml:space="preserve"> close to where they were educated</w:t>
      </w:r>
      <w:r w:rsidRPr="00623CE6">
        <w:rPr>
          <w:color w:val="0E101A"/>
          <w:lang w:val="en-US"/>
        </w:rPr>
        <w:t>.</w:t>
      </w:r>
    </w:p>
    <w:p w14:paraId="5EBEF044" w14:textId="77777777" w:rsidR="00600C79" w:rsidRPr="001308C4" w:rsidRDefault="00600C79" w:rsidP="00742D77">
      <w:pPr>
        <w:spacing w:after="0" w:line="240" w:lineRule="auto"/>
        <w:ind w:firstLine="720"/>
        <w:contextualSpacing/>
        <w:jc w:val="both"/>
        <w:outlineLvl w:val="2"/>
        <w:rPr>
          <w:rFonts w:ascii="Times New Roman" w:eastAsia="Times New Roman" w:hAnsi="Times New Roman" w:cs="Times New Roman"/>
          <w:i/>
          <w:iCs/>
          <w:sz w:val="28"/>
          <w:szCs w:val="28"/>
          <w:lang w:val="en-US"/>
        </w:rPr>
      </w:pPr>
      <w:r w:rsidRPr="001308C4">
        <w:rPr>
          <w:rFonts w:ascii="Times New Roman" w:eastAsia="Times New Roman" w:hAnsi="Times New Roman" w:cs="Times New Roman"/>
          <w:i/>
          <w:iCs/>
          <w:sz w:val="28"/>
          <w:szCs w:val="28"/>
          <w:lang w:val="en-US"/>
        </w:rPr>
        <w:t>International Policy Benchmarking and Innovation Learning</w:t>
      </w:r>
    </w:p>
    <w:p w14:paraId="5E144A20" w14:textId="65B0A227" w:rsidR="00600C79" w:rsidRPr="00475B96" w:rsidRDefault="00600C79" w:rsidP="00742D77">
      <w:pPr>
        <w:spacing w:after="0" w:line="240" w:lineRule="auto"/>
        <w:ind w:firstLine="720"/>
        <w:contextualSpacing/>
        <w:jc w:val="both"/>
        <w:outlineLvl w:val="2"/>
        <w:rPr>
          <w:rFonts w:ascii="Times New Roman" w:eastAsia="Times New Roman" w:hAnsi="Times New Roman" w:cs="Times New Roman"/>
          <w:sz w:val="28"/>
          <w:szCs w:val="28"/>
          <w:lang w:val="en-US"/>
        </w:rPr>
      </w:pPr>
      <w:r w:rsidRPr="00475B96">
        <w:rPr>
          <w:rFonts w:ascii="Times New Roman" w:eastAsia="Times New Roman" w:hAnsi="Times New Roman" w:cs="Times New Roman"/>
          <w:sz w:val="28"/>
          <w:szCs w:val="28"/>
          <w:lang w:val="en-US"/>
        </w:rPr>
        <w:t>In a globalization era, governments are increasingly looking outside national boundaries to assess innovation programs and adapt best practices to local settings. This international learning process improves the national innovation system's (NIS) performance by letting politicians copy successful models and prevent expensive mistakes. Comparative studies of research and development (R&amp;D) policies across nations expose trends in funding mechanisms, institutional engagement, and performance incentives that determine university contributions to innovation ecosystems</w:t>
      </w:r>
      <w:r w:rsidR="001B2EB5">
        <w:rPr>
          <w:rFonts w:ascii="Times New Roman" w:eastAsia="Times New Roman" w:hAnsi="Times New Roman" w:cs="Times New Roman"/>
          <w:sz w:val="28"/>
          <w:szCs w:val="28"/>
          <w:lang w:val="en-US"/>
        </w:rPr>
        <w:t xml:space="preserve"> </w:t>
      </w:r>
      <w:r w:rsidR="001B2EB5" w:rsidRPr="001B2EB5">
        <w:rPr>
          <w:rFonts w:ascii="Times New Roman" w:eastAsia="Times New Roman" w:hAnsi="Times New Roman" w:cs="Times New Roman"/>
          <w:sz w:val="28"/>
          <w:szCs w:val="28"/>
          <w:lang w:val="en-US"/>
        </w:rPr>
        <w:t>[37</w:t>
      </w:r>
      <w:r w:rsidR="009C0DDF">
        <w:rPr>
          <w:rFonts w:ascii="Times New Roman" w:eastAsia="Times New Roman" w:hAnsi="Times New Roman" w:cs="Times New Roman"/>
          <w:sz w:val="28"/>
          <w:szCs w:val="28"/>
          <w:lang w:val="kk-KZ"/>
        </w:rPr>
        <w:t>7</w:t>
      </w:r>
      <w:r w:rsidR="001B2EB5" w:rsidRPr="001B2EB5">
        <w:rPr>
          <w:rFonts w:ascii="Times New Roman" w:eastAsia="Times New Roman" w:hAnsi="Times New Roman" w:cs="Times New Roman"/>
          <w:sz w:val="28"/>
          <w:szCs w:val="28"/>
          <w:lang w:val="en-US"/>
        </w:rPr>
        <w:t xml:space="preserve">, </w:t>
      </w:r>
      <w:r w:rsidRPr="001B2EB5">
        <w:rPr>
          <w:rFonts w:ascii="Times New Roman" w:eastAsia="Times New Roman" w:hAnsi="Times New Roman" w:cs="Times New Roman"/>
          <w:sz w:val="28"/>
          <w:szCs w:val="28"/>
          <w:lang w:val="en-US"/>
        </w:rPr>
        <w:t>pp. 6–7</w:t>
      </w:r>
      <w:r w:rsidR="001B2EB5">
        <w:rPr>
          <w:rFonts w:ascii="Times New Roman" w:eastAsia="Times New Roman" w:hAnsi="Times New Roman" w:cs="Times New Roman"/>
          <w:sz w:val="28"/>
          <w:szCs w:val="28"/>
          <w:lang w:val="en-US"/>
        </w:rPr>
        <w:t>].</w:t>
      </w:r>
    </w:p>
    <w:p w14:paraId="4B6C9D45" w14:textId="56086954" w:rsidR="00600C79" w:rsidRPr="00475B96" w:rsidRDefault="00600C79" w:rsidP="00600C79">
      <w:pPr>
        <w:spacing w:before="100" w:beforeAutospacing="1" w:after="100" w:afterAutospacing="1" w:line="240" w:lineRule="auto"/>
        <w:ind w:firstLine="720"/>
        <w:contextualSpacing/>
        <w:jc w:val="both"/>
        <w:outlineLvl w:val="2"/>
        <w:rPr>
          <w:rFonts w:ascii="Times New Roman" w:eastAsia="Times New Roman" w:hAnsi="Times New Roman" w:cs="Times New Roman"/>
          <w:sz w:val="28"/>
          <w:szCs w:val="28"/>
          <w:lang w:val="en-US"/>
        </w:rPr>
      </w:pPr>
      <w:r w:rsidRPr="00475B96">
        <w:rPr>
          <w:rFonts w:ascii="Times New Roman" w:eastAsia="Times New Roman" w:hAnsi="Times New Roman" w:cs="Times New Roman"/>
          <w:sz w:val="28"/>
          <w:szCs w:val="28"/>
          <w:lang w:val="en-US"/>
        </w:rPr>
        <w:t>Horizon Europe encourages nations to match their research goals with common concerns, including climate change, digital transformation, and equitable development, promoting transnational R&amp;D cooperation throughout Europe. It funds universities and links them into networks with SMEs, NGOs, and government agencies</w:t>
      </w:r>
      <w:r w:rsidR="001B2EB5">
        <w:rPr>
          <w:rFonts w:ascii="Times New Roman" w:eastAsia="Times New Roman" w:hAnsi="Times New Roman" w:cs="Times New Roman"/>
          <w:sz w:val="28"/>
          <w:szCs w:val="28"/>
          <w:lang w:val="en-US"/>
        </w:rPr>
        <w:t xml:space="preserve"> [37</w:t>
      </w:r>
      <w:r w:rsidR="009C0DDF">
        <w:rPr>
          <w:rFonts w:ascii="Times New Roman" w:eastAsia="Times New Roman" w:hAnsi="Times New Roman" w:cs="Times New Roman"/>
          <w:sz w:val="28"/>
          <w:szCs w:val="28"/>
          <w:lang w:val="kk-KZ"/>
        </w:rPr>
        <w:t>7</w:t>
      </w:r>
      <w:r w:rsidRPr="001B2EB5">
        <w:rPr>
          <w:rFonts w:ascii="Times New Roman" w:eastAsia="Times New Roman" w:hAnsi="Times New Roman" w:cs="Times New Roman"/>
          <w:sz w:val="28"/>
          <w:szCs w:val="28"/>
          <w:lang w:val="en-US"/>
        </w:rPr>
        <w:t>, p. 9</w:t>
      </w:r>
      <w:r w:rsidR="001B2EB5" w:rsidRPr="001B2EB5">
        <w:rPr>
          <w:rFonts w:ascii="Times New Roman" w:eastAsia="Times New Roman" w:hAnsi="Times New Roman" w:cs="Times New Roman"/>
          <w:sz w:val="28"/>
          <w:szCs w:val="28"/>
          <w:lang w:val="en-US"/>
        </w:rPr>
        <w:t>]</w:t>
      </w:r>
      <w:r w:rsidRPr="001B2EB5">
        <w:rPr>
          <w:rFonts w:ascii="Times New Roman" w:eastAsia="Times New Roman" w:hAnsi="Times New Roman" w:cs="Times New Roman"/>
          <w:sz w:val="28"/>
          <w:szCs w:val="28"/>
          <w:lang w:val="en-US"/>
        </w:rPr>
        <w:t>;</w:t>
      </w:r>
      <w:r w:rsidRPr="00475B96">
        <w:rPr>
          <w:rFonts w:ascii="Times New Roman" w:eastAsia="Times New Roman" w:hAnsi="Times New Roman" w:cs="Times New Roman"/>
          <w:sz w:val="28"/>
          <w:szCs w:val="28"/>
          <w:lang w:val="en-US"/>
        </w:rPr>
        <w:t xml:space="preserve"> therefore, these "missions" function as organizing frameworks for cooperative research. Such models provide important new perspectives for countries like Kazakhstan trying to enhance their systems of academic innovation.</w:t>
      </w:r>
    </w:p>
    <w:p w14:paraId="20DA2C45" w14:textId="77777777" w:rsidR="00600C79" w:rsidRPr="00475B96" w:rsidRDefault="00600C79" w:rsidP="00600C79">
      <w:pPr>
        <w:spacing w:before="100" w:beforeAutospacing="1" w:after="100" w:afterAutospacing="1" w:line="240" w:lineRule="auto"/>
        <w:ind w:firstLine="720"/>
        <w:contextualSpacing/>
        <w:jc w:val="both"/>
        <w:outlineLvl w:val="2"/>
        <w:rPr>
          <w:rFonts w:ascii="Times New Roman" w:eastAsia="Times New Roman" w:hAnsi="Times New Roman" w:cs="Times New Roman"/>
          <w:sz w:val="28"/>
          <w:szCs w:val="28"/>
          <w:lang w:val="en-US"/>
        </w:rPr>
      </w:pPr>
      <w:r w:rsidRPr="00475B96">
        <w:rPr>
          <w:rFonts w:ascii="Times New Roman" w:eastAsia="Times New Roman" w:hAnsi="Times New Roman" w:cs="Times New Roman"/>
          <w:sz w:val="28"/>
          <w:szCs w:val="28"/>
          <w:lang w:val="en-US"/>
        </w:rPr>
        <w:t xml:space="preserve">Moreover, benchmarking promotes system integration and policy harmonization. A nation's adoption of the same evaluation criteria, financing sources, and collaboration platforms help draw foreign partners, co-fund initiatives, and compare results. </w:t>
      </w:r>
    </w:p>
    <w:p w14:paraId="6CE1227D" w14:textId="51FDE267" w:rsidR="00600C79" w:rsidRPr="009C0DDF" w:rsidRDefault="00600C79" w:rsidP="00600C79">
      <w:pPr>
        <w:spacing w:before="100" w:beforeAutospacing="1" w:after="100" w:afterAutospacing="1" w:line="240" w:lineRule="auto"/>
        <w:ind w:firstLine="720"/>
        <w:contextualSpacing/>
        <w:jc w:val="both"/>
        <w:outlineLvl w:val="2"/>
        <w:rPr>
          <w:rFonts w:ascii="Times New Roman" w:eastAsia="Times New Roman" w:hAnsi="Times New Roman" w:cs="Times New Roman"/>
          <w:sz w:val="28"/>
          <w:szCs w:val="28"/>
          <w:lang w:val="en-US"/>
        </w:rPr>
      </w:pPr>
      <w:proofErr w:type="spellStart"/>
      <w:r w:rsidRPr="001B2EB5">
        <w:rPr>
          <w:rFonts w:ascii="Times New Roman" w:eastAsia="Times New Roman" w:hAnsi="Times New Roman" w:cs="Times New Roman"/>
          <w:sz w:val="28"/>
          <w:szCs w:val="28"/>
          <w:lang w:val="en-US"/>
        </w:rPr>
        <w:t>Zacharewicz</w:t>
      </w:r>
      <w:proofErr w:type="spellEnd"/>
      <w:r w:rsidRPr="001B2EB5">
        <w:rPr>
          <w:rFonts w:ascii="Times New Roman" w:eastAsia="Times New Roman" w:hAnsi="Times New Roman" w:cs="Times New Roman"/>
          <w:sz w:val="28"/>
          <w:szCs w:val="28"/>
          <w:lang w:val="en-US"/>
        </w:rPr>
        <w:t xml:space="preserve"> et al.</w:t>
      </w:r>
      <w:r w:rsidR="001B2EB5">
        <w:rPr>
          <w:rFonts w:ascii="Times New Roman" w:eastAsia="Times New Roman" w:hAnsi="Times New Roman" w:cs="Times New Roman"/>
          <w:sz w:val="28"/>
          <w:szCs w:val="28"/>
          <w:lang w:val="en-US"/>
        </w:rPr>
        <w:t xml:space="preserve"> </w:t>
      </w:r>
      <w:r w:rsidRPr="00475B96">
        <w:rPr>
          <w:rFonts w:ascii="Times New Roman" w:eastAsia="Times New Roman" w:hAnsi="Times New Roman" w:cs="Times New Roman"/>
          <w:sz w:val="28"/>
          <w:szCs w:val="28"/>
          <w:lang w:val="en-US"/>
        </w:rPr>
        <w:t xml:space="preserve">show that standardized funding models across European institutions allowed for a more </w:t>
      </w:r>
      <w:r w:rsidRPr="009C0DDF">
        <w:rPr>
          <w:rFonts w:ascii="Times New Roman" w:eastAsia="Times New Roman" w:hAnsi="Times New Roman" w:cs="Times New Roman"/>
          <w:sz w:val="28"/>
          <w:szCs w:val="28"/>
          <w:lang w:val="en-US"/>
        </w:rPr>
        <w:t xml:space="preserve">consistent evaluation of research quality and a better understanding of which funding structures produced long-term innovation impact </w:t>
      </w:r>
      <w:r w:rsidR="001B2EB5" w:rsidRPr="009C0DDF">
        <w:rPr>
          <w:rFonts w:ascii="Times New Roman" w:eastAsia="Times New Roman" w:hAnsi="Times New Roman" w:cs="Times New Roman"/>
          <w:sz w:val="28"/>
          <w:szCs w:val="28"/>
          <w:lang w:val="en-US"/>
        </w:rPr>
        <w:t>[37</w:t>
      </w:r>
      <w:r w:rsidR="009C0DDF" w:rsidRPr="009C0DDF">
        <w:rPr>
          <w:rFonts w:ascii="Times New Roman" w:eastAsia="Times New Roman" w:hAnsi="Times New Roman" w:cs="Times New Roman"/>
          <w:sz w:val="28"/>
          <w:szCs w:val="28"/>
          <w:lang w:val="kk-KZ"/>
        </w:rPr>
        <w:t>7</w:t>
      </w:r>
      <w:r w:rsidR="001B2EB5" w:rsidRPr="009C0DDF">
        <w:rPr>
          <w:rFonts w:ascii="Times New Roman" w:eastAsia="Times New Roman" w:hAnsi="Times New Roman" w:cs="Times New Roman"/>
          <w:sz w:val="28"/>
          <w:szCs w:val="28"/>
          <w:lang w:val="en-US"/>
        </w:rPr>
        <w:t xml:space="preserve">, </w:t>
      </w:r>
      <w:r w:rsidRPr="009C0DDF">
        <w:rPr>
          <w:rFonts w:ascii="Times New Roman" w:eastAsia="Times New Roman" w:hAnsi="Times New Roman" w:cs="Times New Roman"/>
          <w:sz w:val="28"/>
          <w:szCs w:val="28"/>
          <w:lang w:val="en-US"/>
        </w:rPr>
        <w:t>p. 11</w:t>
      </w:r>
      <w:r w:rsidR="001B2EB5" w:rsidRPr="009C0DDF">
        <w:rPr>
          <w:rFonts w:ascii="Times New Roman" w:eastAsia="Times New Roman" w:hAnsi="Times New Roman" w:cs="Times New Roman"/>
          <w:sz w:val="28"/>
          <w:szCs w:val="28"/>
          <w:lang w:val="en-US"/>
        </w:rPr>
        <w:t>]</w:t>
      </w:r>
      <w:r w:rsidRPr="009C0DDF">
        <w:rPr>
          <w:rFonts w:ascii="Times New Roman" w:eastAsia="Times New Roman" w:hAnsi="Times New Roman" w:cs="Times New Roman"/>
          <w:sz w:val="28"/>
          <w:szCs w:val="28"/>
          <w:lang w:val="en-US"/>
        </w:rPr>
        <w:t>. These findings are relevant for policymakers in emerging economies who aim to integrate with global research infrastructures while maintaining national priorities.</w:t>
      </w:r>
    </w:p>
    <w:p w14:paraId="13F503EF" w14:textId="77777777" w:rsidR="00600C79" w:rsidRPr="009C0DDF" w:rsidRDefault="00600C79" w:rsidP="00690084">
      <w:pPr>
        <w:spacing w:after="0" w:line="240" w:lineRule="auto"/>
        <w:ind w:firstLine="720"/>
        <w:contextualSpacing/>
        <w:jc w:val="both"/>
        <w:outlineLvl w:val="2"/>
        <w:rPr>
          <w:rFonts w:ascii="Times New Roman" w:eastAsia="Times New Roman" w:hAnsi="Times New Roman" w:cs="Times New Roman"/>
          <w:i/>
          <w:iCs/>
          <w:sz w:val="28"/>
          <w:szCs w:val="28"/>
          <w:lang w:val="en-US"/>
        </w:rPr>
      </w:pPr>
      <w:r w:rsidRPr="009C0DDF">
        <w:rPr>
          <w:rFonts w:ascii="Times New Roman" w:eastAsia="Times New Roman" w:hAnsi="Times New Roman" w:cs="Times New Roman"/>
          <w:i/>
          <w:iCs/>
          <w:sz w:val="28"/>
          <w:szCs w:val="28"/>
          <w:lang w:val="en-US"/>
        </w:rPr>
        <w:t>Mission-Driven Innovation and the Sustainable Development Agenda</w:t>
      </w:r>
    </w:p>
    <w:p w14:paraId="58018ADB" w14:textId="77777777" w:rsidR="00690084" w:rsidRPr="009C0DDF" w:rsidRDefault="00600C79" w:rsidP="00690084">
      <w:pPr>
        <w:pStyle w:val="a4"/>
        <w:spacing w:before="0" w:beforeAutospacing="0" w:after="0" w:afterAutospacing="0"/>
        <w:ind w:firstLine="720"/>
        <w:contextualSpacing/>
        <w:jc w:val="both"/>
        <w:rPr>
          <w:sz w:val="28"/>
          <w:szCs w:val="28"/>
          <w:lang w:val="en-US"/>
        </w:rPr>
      </w:pPr>
      <w:r w:rsidRPr="009C0DDF">
        <w:rPr>
          <w:sz w:val="28"/>
          <w:szCs w:val="28"/>
          <w:lang w:val="en-US"/>
        </w:rPr>
        <w:t xml:space="preserve">The </w:t>
      </w:r>
      <w:r w:rsidRPr="009C0DDF">
        <w:rPr>
          <w:rStyle w:val="a3"/>
          <w:rFonts w:eastAsia="Calibri"/>
          <w:sz w:val="28"/>
          <w:szCs w:val="28"/>
          <w:lang w:val="en-US"/>
        </w:rPr>
        <w:t>mission-oriented research and innovation</w:t>
      </w:r>
      <w:r w:rsidRPr="009C0DDF">
        <w:rPr>
          <w:sz w:val="28"/>
          <w:szCs w:val="28"/>
          <w:lang w:val="en-US"/>
        </w:rPr>
        <w:t xml:space="preserve"> concept has gained prominence as governments increasingly focus on solving complex societal challenges. These include climate change, energy transitions, public health crises, and social inequality. Public policies aligned with the SDGs position universities as agents of transformative change—far beyond their traditional teaching and research roles.</w:t>
      </w:r>
    </w:p>
    <w:p w14:paraId="58F01440" w14:textId="2D42716C" w:rsidR="00690084" w:rsidRDefault="00600C79" w:rsidP="00690084">
      <w:pPr>
        <w:pStyle w:val="a4"/>
        <w:spacing w:before="0" w:beforeAutospacing="0" w:after="0" w:afterAutospacing="0"/>
        <w:ind w:firstLine="720"/>
        <w:contextualSpacing/>
        <w:jc w:val="both"/>
        <w:rPr>
          <w:color w:val="0E101A"/>
          <w:sz w:val="28"/>
          <w:szCs w:val="28"/>
          <w:lang w:val="en-US"/>
        </w:rPr>
      </w:pPr>
      <w:r w:rsidRPr="00475B96">
        <w:rPr>
          <w:color w:val="0E101A"/>
          <w:sz w:val="28"/>
          <w:szCs w:val="28"/>
          <w:lang w:val="en-US"/>
        </w:rPr>
        <w:t xml:space="preserve">Programs like </w:t>
      </w:r>
      <w:r w:rsidRPr="009C0DDF">
        <w:rPr>
          <w:rStyle w:val="a3"/>
          <w:rFonts w:eastAsia="Calibri"/>
          <w:sz w:val="28"/>
          <w:szCs w:val="28"/>
          <w:lang w:val="en-US"/>
        </w:rPr>
        <w:t xml:space="preserve">Horizon </w:t>
      </w:r>
      <w:r w:rsidRPr="0032235E">
        <w:rPr>
          <w:rStyle w:val="a3"/>
          <w:rFonts w:eastAsia="Calibri"/>
          <w:color w:val="0E101A"/>
          <w:sz w:val="28"/>
          <w:szCs w:val="28"/>
          <w:lang w:val="en-US"/>
        </w:rPr>
        <w:t>Europe</w:t>
      </w:r>
      <w:r w:rsidRPr="00742D77">
        <w:rPr>
          <w:color w:val="0E101A"/>
          <w:sz w:val="28"/>
          <w:szCs w:val="28"/>
          <w:lang w:val="en-US"/>
        </w:rPr>
        <w:t xml:space="preserve"> explicitly call for higher education institutions to participate in </w:t>
      </w:r>
      <w:r w:rsidRPr="0032235E">
        <w:rPr>
          <w:rStyle w:val="a3"/>
          <w:rFonts w:eastAsia="Calibri"/>
          <w:color w:val="0E101A"/>
          <w:sz w:val="28"/>
          <w:szCs w:val="28"/>
          <w:lang w:val="en-US"/>
        </w:rPr>
        <w:t>mission-driven consortia</w:t>
      </w:r>
      <w:r w:rsidRPr="00475B96">
        <w:rPr>
          <w:color w:val="0E101A"/>
          <w:sz w:val="28"/>
          <w:szCs w:val="28"/>
          <w:lang w:val="en-US"/>
        </w:rPr>
        <w:t xml:space="preserve"> that link academic knowledge production to public value creation </w:t>
      </w:r>
      <w:r w:rsidR="001B2EB5" w:rsidRPr="001B2EB5">
        <w:rPr>
          <w:color w:val="0E101A"/>
          <w:sz w:val="28"/>
          <w:szCs w:val="28"/>
          <w:lang w:val="en-US"/>
        </w:rPr>
        <w:t>[37</w:t>
      </w:r>
      <w:r w:rsidR="009C0DDF">
        <w:rPr>
          <w:color w:val="0E101A"/>
          <w:sz w:val="28"/>
          <w:szCs w:val="28"/>
          <w:lang w:val="kk-KZ"/>
        </w:rPr>
        <w:t>7</w:t>
      </w:r>
      <w:r w:rsidR="001B2EB5" w:rsidRPr="001B2EB5">
        <w:rPr>
          <w:color w:val="0E101A"/>
          <w:sz w:val="28"/>
          <w:szCs w:val="28"/>
          <w:lang w:val="en-US"/>
        </w:rPr>
        <w:t xml:space="preserve">, </w:t>
      </w:r>
      <w:r w:rsidRPr="001B2EB5">
        <w:rPr>
          <w:color w:val="0E101A"/>
          <w:sz w:val="28"/>
          <w:szCs w:val="28"/>
          <w:lang w:val="en-US"/>
        </w:rPr>
        <w:t>p. 10</w:t>
      </w:r>
      <w:r w:rsidR="001B2EB5" w:rsidRPr="001B2EB5">
        <w:rPr>
          <w:color w:val="0E101A"/>
          <w:sz w:val="28"/>
          <w:szCs w:val="28"/>
          <w:lang w:val="en-US"/>
        </w:rPr>
        <w:t>]</w:t>
      </w:r>
      <w:r w:rsidRPr="001B2EB5">
        <w:rPr>
          <w:color w:val="0E101A"/>
          <w:sz w:val="28"/>
          <w:szCs w:val="28"/>
          <w:lang w:val="en-US"/>
        </w:rPr>
        <w:t>.</w:t>
      </w:r>
      <w:r w:rsidRPr="00475B96">
        <w:rPr>
          <w:color w:val="0E101A"/>
          <w:sz w:val="28"/>
          <w:szCs w:val="28"/>
          <w:lang w:val="en-US"/>
        </w:rPr>
        <w:t xml:space="preserve"> Likewise, many national research funding programs nowadays demand institutions show how their ideas solve regional societal issues or SDG-related goals </w:t>
      </w:r>
      <w:r w:rsidR="001B2EB5" w:rsidRPr="001B2EB5">
        <w:rPr>
          <w:color w:val="0E101A"/>
          <w:sz w:val="28"/>
          <w:szCs w:val="28"/>
          <w:lang w:val="en-US"/>
        </w:rPr>
        <w:t>[37</w:t>
      </w:r>
      <w:r w:rsidR="009C0DDF">
        <w:rPr>
          <w:color w:val="0E101A"/>
          <w:sz w:val="28"/>
          <w:szCs w:val="28"/>
          <w:lang w:val="kk-KZ"/>
        </w:rPr>
        <w:t>7</w:t>
      </w:r>
      <w:r w:rsidR="001B2EB5" w:rsidRPr="001B2EB5">
        <w:rPr>
          <w:color w:val="0E101A"/>
          <w:sz w:val="28"/>
          <w:szCs w:val="28"/>
          <w:lang w:val="en-US"/>
        </w:rPr>
        <w:t xml:space="preserve">, </w:t>
      </w:r>
      <w:r w:rsidRPr="001B2EB5">
        <w:rPr>
          <w:color w:val="0E101A"/>
          <w:sz w:val="28"/>
          <w:szCs w:val="28"/>
          <w:lang w:val="en-US"/>
        </w:rPr>
        <w:t>p. 12</w:t>
      </w:r>
      <w:r w:rsidR="001B2EB5" w:rsidRPr="001B2EB5">
        <w:rPr>
          <w:color w:val="0E101A"/>
          <w:sz w:val="28"/>
          <w:szCs w:val="28"/>
          <w:lang w:val="en-US"/>
        </w:rPr>
        <w:t>]</w:t>
      </w:r>
      <w:r w:rsidRPr="001B2EB5">
        <w:rPr>
          <w:color w:val="0E101A"/>
          <w:sz w:val="28"/>
          <w:szCs w:val="28"/>
          <w:lang w:val="en-US"/>
        </w:rPr>
        <w:t>.</w:t>
      </w:r>
    </w:p>
    <w:p w14:paraId="432CC9B4" w14:textId="776E2E38" w:rsidR="00600C79" w:rsidRPr="00475B96" w:rsidRDefault="00600C79" w:rsidP="00690084">
      <w:pPr>
        <w:pStyle w:val="a4"/>
        <w:spacing w:before="0" w:beforeAutospacing="0" w:after="0" w:afterAutospacing="0"/>
        <w:ind w:firstLine="720"/>
        <w:contextualSpacing/>
        <w:jc w:val="both"/>
        <w:rPr>
          <w:color w:val="0E101A"/>
          <w:sz w:val="28"/>
          <w:szCs w:val="28"/>
          <w:lang w:val="en-US"/>
        </w:rPr>
      </w:pPr>
      <w:r w:rsidRPr="00475B96">
        <w:rPr>
          <w:color w:val="0E101A"/>
          <w:sz w:val="28"/>
          <w:szCs w:val="28"/>
          <w:lang w:val="en-US"/>
        </w:rPr>
        <w:t xml:space="preserve">This deliberate change redefines the evaluation of scholarly creativity. Mission-driven models stress societal outcomes, including poverty reduction, school reform, or green infrastructure, rather than concentrating only on outputs like patents and publications. Graduate employment is thus progressively seen in economic </w:t>
      </w:r>
      <w:r w:rsidRPr="00475B96">
        <w:rPr>
          <w:color w:val="0E101A"/>
          <w:sz w:val="28"/>
          <w:szCs w:val="28"/>
          <w:lang w:val="en-US"/>
        </w:rPr>
        <w:lastRenderedPageBreak/>
        <w:t>terms and connection to impact-oriented activities in NGOs, policy, and community businesses. This expands the spectrum of innovation careers available to graduates.</w:t>
      </w:r>
    </w:p>
    <w:p w14:paraId="29344CAC" w14:textId="7FEB64EE" w:rsidR="00600C79" w:rsidRPr="001B2EB5" w:rsidRDefault="00600C79" w:rsidP="00690084">
      <w:pPr>
        <w:pStyle w:val="a4"/>
        <w:spacing w:before="0" w:beforeAutospacing="0" w:after="0" w:afterAutospacing="0"/>
        <w:jc w:val="both"/>
        <w:rPr>
          <w:color w:val="0E101A"/>
          <w:sz w:val="28"/>
          <w:szCs w:val="28"/>
          <w:lang w:val="en-US"/>
        </w:rPr>
      </w:pPr>
      <w:r w:rsidRPr="00475B96">
        <w:rPr>
          <w:color w:val="0E101A"/>
          <w:sz w:val="28"/>
          <w:szCs w:val="28"/>
          <w:lang w:val="en-US"/>
        </w:rPr>
        <w:t xml:space="preserve">In Kazakhstan’s policy landscape, similar alignments are emerging. For example, national strategies on sustainable development and digital transformation have begun to frame university performance </w:t>
      </w:r>
      <w:r w:rsidRPr="00742D77">
        <w:rPr>
          <w:color w:val="0E101A"/>
          <w:sz w:val="28"/>
          <w:szCs w:val="28"/>
          <w:lang w:val="en-US"/>
        </w:rPr>
        <w:t xml:space="preserve">regarding </w:t>
      </w:r>
      <w:r w:rsidRPr="0032235E">
        <w:rPr>
          <w:rStyle w:val="a3"/>
          <w:rFonts w:eastAsia="Calibri"/>
          <w:color w:val="0E101A"/>
          <w:sz w:val="28"/>
          <w:szCs w:val="28"/>
          <w:lang w:val="en-US"/>
        </w:rPr>
        <w:t>public value contributions,</w:t>
      </w:r>
      <w:r w:rsidRPr="00742D77">
        <w:rPr>
          <w:color w:val="0E101A"/>
          <w:sz w:val="28"/>
          <w:szCs w:val="28"/>
          <w:lang w:val="en-US"/>
        </w:rPr>
        <w:t xml:space="preserve"> not just economic competitiveness (Chapter 2). It opens space for graduate engagement in government-led innovation missions, particularly in public administration, environmental policy, and health innovation—areas currently experiencing </w:t>
      </w:r>
      <w:r w:rsidRPr="00475B96">
        <w:rPr>
          <w:color w:val="0E101A"/>
          <w:sz w:val="28"/>
          <w:szCs w:val="28"/>
          <w:lang w:val="en-US"/>
        </w:rPr>
        <w:t>skill gaps.</w:t>
      </w:r>
    </w:p>
    <w:p w14:paraId="566E3CEC" w14:textId="77777777" w:rsidR="00600C79" w:rsidRPr="002002B6" w:rsidRDefault="00600C79" w:rsidP="00600C79">
      <w:pPr>
        <w:spacing w:after="0" w:line="240" w:lineRule="auto"/>
        <w:ind w:firstLine="720"/>
        <w:contextualSpacing/>
        <w:jc w:val="both"/>
        <w:outlineLvl w:val="2"/>
        <w:rPr>
          <w:rFonts w:ascii="Times New Roman" w:eastAsia="Times New Roman" w:hAnsi="Times New Roman" w:cs="Times New Roman"/>
          <w:i/>
          <w:iCs/>
          <w:sz w:val="28"/>
          <w:szCs w:val="28"/>
          <w:lang w:val="en-US"/>
        </w:rPr>
      </w:pPr>
      <w:r w:rsidRPr="002002B6">
        <w:rPr>
          <w:rFonts w:ascii="Times New Roman" w:eastAsia="Times New Roman" w:hAnsi="Times New Roman" w:cs="Times New Roman"/>
          <w:i/>
          <w:iCs/>
          <w:sz w:val="28"/>
          <w:szCs w:val="28"/>
          <w:lang w:val="en-US"/>
        </w:rPr>
        <w:t>Higher Education, Social Innovation, and Regional Inclusion</w:t>
      </w:r>
    </w:p>
    <w:p w14:paraId="5E240CCA" w14:textId="77777777" w:rsidR="00600C79" w:rsidRPr="003874CF" w:rsidRDefault="00600C79" w:rsidP="00600C79">
      <w:pPr>
        <w:pStyle w:val="a4"/>
        <w:spacing w:before="0" w:beforeAutospacing="0" w:after="0" w:afterAutospacing="0"/>
        <w:ind w:firstLine="720"/>
        <w:contextualSpacing/>
        <w:jc w:val="both"/>
        <w:rPr>
          <w:color w:val="0E101A"/>
          <w:sz w:val="28"/>
          <w:szCs w:val="28"/>
          <w:lang w:val="en-US"/>
        </w:rPr>
      </w:pPr>
      <w:r w:rsidRPr="003874CF">
        <w:rPr>
          <w:color w:val="0E101A"/>
          <w:sz w:val="28"/>
          <w:szCs w:val="28"/>
          <w:lang w:val="en-US"/>
        </w:rPr>
        <w:t>Beyond technical innovation, universities are driving social innovation—fresh ideas to meet social needs that advance social inclusion and well-being. Target funds, community-university alliances, and regional development projects help governments promote this function.</w:t>
      </w:r>
    </w:p>
    <w:p w14:paraId="723B3931" w14:textId="42630385" w:rsidR="00690084" w:rsidRDefault="00600C79" w:rsidP="00690084">
      <w:pPr>
        <w:pStyle w:val="a4"/>
        <w:spacing w:before="0" w:beforeAutospacing="0" w:after="0" w:afterAutospacing="0"/>
        <w:ind w:firstLine="720"/>
        <w:contextualSpacing/>
        <w:jc w:val="both"/>
        <w:rPr>
          <w:color w:val="0E101A"/>
          <w:sz w:val="28"/>
          <w:szCs w:val="28"/>
          <w:lang w:val="en-US"/>
        </w:rPr>
      </w:pPr>
      <w:r w:rsidRPr="003874CF">
        <w:rPr>
          <w:color w:val="0E101A"/>
          <w:sz w:val="28"/>
          <w:szCs w:val="28"/>
          <w:lang w:val="en-US"/>
        </w:rPr>
        <w:t xml:space="preserve">For example, </w:t>
      </w:r>
      <w:r w:rsidRPr="00831AC3">
        <w:rPr>
          <w:color w:val="0E101A"/>
          <w:sz w:val="28"/>
          <w:szCs w:val="28"/>
          <w:lang w:val="en-US"/>
        </w:rPr>
        <w:t>Li and Wu</w:t>
      </w:r>
      <w:r w:rsidR="00831AC3">
        <w:rPr>
          <w:color w:val="0E101A"/>
          <w:sz w:val="28"/>
          <w:szCs w:val="28"/>
          <w:lang w:val="en-US"/>
        </w:rPr>
        <w:t xml:space="preserve"> </w:t>
      </w:r>
      <w:r w:rsidRPr="003874CF">
        <w:rPr>
          <w:color w:val="0E101A"/>
          <w:sz w:val="28"/>
          <w:szCs w:val="28"/>
          <w:lang w:val="en-US"/>
        </w:rPr>
        <w:t>show that Chinese government R&amp;D investments had the most substantial effect in less-developed regions where innovation inputs were historically underfunded</w:t>
      </w:r>
      <w:r w:rsidR="00831AC3">
        <w:rPr>
          <w:color w:val="0E101A"/>
          <w:sz w:val="28"/>
          <w:szCs w:val="28"/>
          <w:lang w:val="en-US"/>
        </w:rPr>
        <w:t xml:space="preserve"> </w:t>
      </w:r>
      <w:r w:rsidR="00831AC3" w:rsidRPr="00831AC3">
        <w:rPr>
          <w:color w:val="0E101A"/>
          <w:sz w:val="28"/>
          <w:szCs w:val="28"/>
          <w:lang w:val="en-US"/>
        </w:rPr>
        <w:t>[3</w:t>
      </w:r>
      <w:r w:rsidR="009C0DDF">
        <w:rPr>
          <w:color w:val="0E101A"/>
          <w:sz w:val="28"/>
          <w:szCs w:val="28"/>
          <w:lang w:val="kk-KZ"/>
        </w:rPr>
        <w:t>79</w:t>
      </w:r>
      <w:r w:rsidR="00831AC3" w:rsidRPr="00831AC3">
        <w:rPr>
          <w:color w:val="0E101A"/>
          <w:sz w:val="28"/>
          <w:szCs w:val="28"/>
          <w:lang w:val="en-US"/>
        </w:rPr>
        <w:t xml:space="preserve">, </w:t>
      </w:r>
      <w:r w:rsidRPr="00831AC3">
        <w:rPr>
          <w:color w:val="0E101A"/>
          <w:sz w:val="28"/>
          <w:szCs w:val="28"/>
          <w:lang w:val="en-US"/>
        </w:rPr>
        <w:t>pp. 3–5</w:t>
      </w:r>
      <w:r w:rsidR="00831AC3" w:rsidRPr="00831AC3">
        <w:rPr>
          <w:color w:val="0E101A"/>
          <w:sz w:val="28"/>
          <w:szCs w:val="28"/>
          <w:lang w:val="en-US"/>
        </w:rPr>
        <w:t>]</w:t>
      </w:r>
      <w:r w:rsidRPr="00831AC3">
        <w:rPr>
          <w:color w:val="0E101A"/>
          <w:sz w:val="28"/>
          <w:szCs w:val="28"/>
          <w:lang w:val="en-US"/>
        </w:rPr>
        <w:t>.</w:t>
      </w:r>
      <w:r w:rsidRPr="003874CF">
        <w:rPr>
          <w:color w:val="0E101A"/>
          <w:sz w:val="28"/>
          <w:szCs w:val="28"/>
          <w:lang w:val="en-US"/>
        </w:rPr>
        <w:t xml:space="preserve"> In such contexts, university-led social services, education, and local governance projects become vital vehicles for community development and employment creation. The majority of these initiatives use graduates in positions combining research, civic service, and creativity.</w:t>
      </w:r>
    </w:p>
    <w:p w14:paraId="7938AAEF" w14:textId="4915D969" w:rsidR="00F40BBC" w:rsidRDefault="00600C79" w:rsidP="00F40BBC">
      <w:pPr>
        <w:pStyle w:val="a4"/>
        <w:spacing w:before="0" w:beforeAutospacing="0" w:after="0" w:afterAutospacing="0"/>
        <w:ind w:firstLine="720"/>
        <w:contextualSpacing/>
        <w:jc w:val="both"/>
        <w:rPr>
          <w:color w:val="0E101A"/>
          <w:sz w:val="28"/>
          <w:szCs w:val="28"/>
          <w:lang w:val="en-US"/>
        </w:rPr>
      </w:pPr>
      <w:r w:rsidRPr="003874CF">
        <w:rPr>
          <w:color w:val="0E101A"/>
          <w:sz w:val="28"/>
          <w:szCs w:val="28"/>
          <w:lang w:val="en-US"/>
        </w:rPr>
        <w:t xml:space="preserve">Multi-stakeholder platforms, usually coordinated at the regional level, help social innovation to flourish in EU nations. These platforms co-design solutions by combining corporations, local government, civil society, and academics. </w:t>
      </w:r>
      <w:proofErr w:type="spellStart"/>
      <w:r w:rsidRPr="00831AC3">
        <w:rPr>
          <w:color w:val="0E101A"/>
          <w:sz w:val="28"/>
          <w:szCs w:val="28"/>
          <w:lang w:val="en-US"/>
        </w:rPr>
        <w:t>Zacharewicz</w:t>
      </w:r>
      <w:proofErr w:type="spellEnd"/>
      <w:r w:rsidRPr="00831AC3">
        <w:rPr>
          <w:color w:val="0E101A"/>
          <w:sz w:val="28"/>
          <w:szCs w:val="28"/>
          <w:lang w:val="en-US"/>
        </w:rPr>
        <w:t xml:space="preserve"> et al.</w:t>
      </w:r>
      <w:r w:rsidRPr="003874CF">
        <w:rPr>
          <w:color w:val="0E101A"/>
          <w:sz w:val="28"/>
          <w:szCs w:val="28"/>
          <w:lang w:val="en-US"/>
        </w:rPr>
        <w:t xml:space="preserve"> highlight that universities in such platforms report higher societal impact scores and more inclusive innovation outcomes </w:t>
      </w:r>
      <w:r w:rsidR="00831AC3" w:rsidRPr="00831AC3">
        <w:rPr>
          <w:color w:val="0E101A"/>
          <w:sz w:val="28"/>
          <w:szCs w:val="28"/>
          <w:lang w:val="en-US"/>
        </w:rPr>
        <w:t>[37</w:t>
      </w:r>
      <w:r w:rsidR="009C0DDF">
        <w:rPr>
          <w:color w:val="0E101A"/>
          <w:sz w:val="28"/>
          <w:szCs w:val="28"/>
          <w:lang w:val="kk-KZ"/>
        </w:rPr>
        <w:t>7</w:t>
      </w:r>
      <w:r w:rsidR="00831AC3" w:rsidRPr="00831AC3">
        <w:rPr>
          <w:color w:val="0E101A"/>
          <w:sz w:val="28"/>
          <w:szCs w:val="28"/>
          <w:lang w:val="en-US"/>
        </w:rPr>
        <w:t xml:space="preserve">, </w:t>
      </w:r>
      <w:r w:rsidRPr="00831AC3">
        <w:rPr>
          <w:color w:val="0E101A"/>
          <w:sz w:val="28"/>
          <w:szCs w:val="28"/>
          <w:lang w:val="en-US"/>
        </w:rPr>
        <w:t>p. 13</w:t>
      </w:r>
      <w:r w:rsidR="00831AC3" w:rsidRPr="00831AC3">
        <w:rPr>
          <w:color w:val="0E101A"/>
          <w:sz w:val="28"/>
          <w:szCs w:val="28"/>
          <w:lang w:val="en-US"/>
        </w:rPr>
        <w:t>]</w:t>
      </w:r>
      <w:r w:rsidRPr="00831AC3">
        <w:rPr>
          <w:color w:val="0E101A"/>
          <w:sz w:val="28"/>
          <w:szCs w:val="28"/>
          <w:lang w:val="en-US"/>
        </w:rPr>
        <w:t>.</w:t>
      </w:r>
      <w:r w:rsidR="00831AC3">
        <w:rPr>
          <w:color w:val="0E101A"/>
          <w:sz w:val="28"/>
          <w:szCs w:val="28"/>
          <w:lang w:val="en-US"/>
        </w:rPr>
        <w:t xml:space="preserve"> </w:t>
      </w:r>
    </w:p>
    <w:p w14:paraId="312B2F19" w14:textId="77777777" w:rsidR="00F40BBC" w:rsidRPr="00F42234" w:rsidRDefault="00600C79" w:rsidP="00F40BBC">
      <w:pPr>
        <w:pStyle w:val="a4"/>
        <w:spacing w:before="0" w:beforeAutospacing="0" w:after="0" w:afterAutospacing="0"/>
        <w:ind w:firstLine="720"/>
        <w:contextualSpacing/>
        <w:jc w:val="both"/>
        <w:rPr>
          <w:color w:val="0E101A"/>
          <w:sz w:val="28"/>
          <w:szCs w:val="28"/>
          <w:lang w:val="en-US"/>
        </w:rPr>
      </w:pPr>
      <w:r w:rsidRPr="003874CF">
        <w:rPr>
          <w:color w:val="0E101A"/>
          <w:sz w:val="28"/>
          <w:szCs w:val="28"/>
          <w:lang w:val="en-US"/>
        </w:rPr>
        <w:t xml:space="preserve">For Kazakhstan, investing in university-driven social innovation can address </w:t>
      </w:r>
      <w:r w:rsidRPr="00F42234">
        <w:rPr>
          <w:rStyle w:val="a6"/>
          <w:b w:val="0"/>
          <w:bCs w:val="0"/>
          <w:color w:val="0E101A"/>
          <w:sz w:val="28"/>
          <w:szCs w:val="28"/>
          <w:lang w:val="en-US"/>
        </w:rPr>
        <w:t>graduate underemployment</w:t>
      </w:r>
      <w:r w:rsidRPr="00F42234">
        <w:rPr>
          <w:color w:val="0E101A"/>
          <w:sz w:val="28"/>
          <w:szCs w:val="28"/>
          <w:lang w:val="en-US"/>
        </w:rPr>
        <w:t xml:space="preserve"> and regional disparities. When public policy empowers universities to solve local challenges—through service-learning, regional incubators, or collaborative research—graduates are more likely to find meaningful roles that align with their qualifications and community needs (Chapter 2).</w:t>
      </w:r>
    </w:p>
    <w:p w14:paraId="71228B10" w14:textId="77777777" w:rsidR="00F40BBC" w:rsidRPr="00F42234" w:rsidRDefault="00600C79" w:rsidP="00F40BBC">
      <w:pPr>
        <w:pStyle w:val="a4"/>
        <w:spacing w:before="0" w:beforeAutospacing="0" w:after="0" w:afterAutospacing="0"/>
        <w:ind w:firstLine="720"/>
        <w:contextualSpacing/>
        <w:jc w:val="both"/>
        <w:rPr>
          <w:color w:val="0E101A"/>
          <w:sz w:val="28"/>
          <w:szCs w:val="28"/>
          <w:lang w:val="en-US"/>
        </w:rPr>
      </w:pPr>
      <w:r w:rsidRPr="00F42234">
        <w:rPr>
          <w:rStyle w:val="a3"/>
          <w:rFonts w:eastAsia="Calibri"/>
          <w:color w:val="0E101A"/>
          <w:sz w:val="28"/>
          <w:szCs w:val="28"/>
          <w:lang w:val="en-US"/>
        </w:rPr>
        <w:t>Funding Governance, Transparency, and Strategic</w:t>
      </w:r>
      <w:r w:rsidRPr="00F42234">
        <w:rPr>
          <w:rStyle w:val="a3"/>
          <w:rFonts w:eastAsia="Calibri"/>
          <w:color w:val="0E101A"/>
          <w:lang w:val="en-US"/>
        </w:rPr>
        <w:t xml:space="preserve"> </w:t>
      </w:r>
      <w:r w:rsidRPr="00F42234">
        <w:rPr>
          <w:rStyle w:val="a3"/>
          <w:rFonts w:eastAsia="Calibri"/>
          <w:color w:val="0E101A"/>
          <w:sz w:val="28"/>
          <w:szCs w:val="28"/>
          <w:lang w:val="en-US"/>
        </w:rPr>
        <w:t>Alignment</w:t>
      </w:r>
    </w:p>
    <w:p w14:paraId="094AB342" w14:textId="77777777" w:rsidR="00F40BBC" w:rsidRDefault="00600C79" w:rsidP="00F40BBC">
      <w:pPr>
        <w:pStyle w:val="a4"/>
        <w:spacing w:before="0" w:beforeAutospacing="0" w:after="0" w:afterAutospacing="0"/>
        <w:ind w:firstLine="720"/>
        <w:contextualSpacing/>
        <w:jc w:val="both"/>
        <w:rPr>
          <w:color w:val="0E101A"/>
          <w:sz w:val="28"/>
          <w:szCs w:val="28"/>
          <w:lang w:val="en-US"/>
        </w:rPr>
      </w:pPr>
      <w:r w:rsidRPr="00F42234">
        <w:rPr>
          <w:color w:val="0E101A"/>
          <w:sz w:val="28"/>
          <w:szCs w:val="28"/>
          <w:lang w:val="en-US"/>
        </w:rPr>
        <w:t xml:space="preserve">The effectiveness of government support for academic innovation depends on the amount of funding and its </w:t>
      </w:r>
      <w:r w:rsidRPr="00F42234">
        <w:rPr>
          <w:rStyle w:val="a6"/>
          <w:b w:val="0"/>
          <w:bCs w:val="0"/>
          <w:color w:val="0E101A"/>
          <w:sz w:val="28"/>
          <w:szCs w:val="28"/>
          <w:lang w:val="en-US"/>
        </w:rPr>
        <w:t>governance structures</w:t>
      </w:r>
      <w:r w:rsidRPr="00F42234">
        <w:rPr>
          <w:color w:val="0E101A"/>
          <w:sz w:val="28"/>
          <w:szCs w:val="28"/>
          <w:lang w:val="en-US"/>
        </w:rPr>
        <w:t>. Transparent, predictable, and strategically aligned funding mechanisms foster</w:t>
      </w:r>
      <w:r w:rsidRPr="003874CF">
        <w:rPr>
          <w:color w:val="0E101A"/>
          <w:sz w:val="28"/>
          <w:szCs w:val="28"/>
          <w:lang w:val="en-US"/>
        </w:rPr>
        <w:t xml:space="preserve"> institutional trust and long-term planning.</w:t>
      </w:r>
    </w:p>
    <w:p w14:paraId="6C14D8CB" w14:textId="1DE98D64" w:rsidR="00F40BBC" w:rsidRDefault="00600C79" w:rsidP="00F40BBC">
      <w:pPr>
        <w:pStyle w:val="a4"/>
        <w:spacing w:before="0" w:beforeAutospacing="0" w:after="0" w:afterAutospacing="0"/>
        <w:ind w:firstLine="720"/>
        <w:contextualSpacing/>
        <w:jc w:val="both"/>
        <w:rPr>
          <w:color w:val="0E101A"/>
          <w:sz w:val="28"/>
          <w:szCs w:val="28"/>
          <w:lang w:val="en-US"/>
        </w:rPr>
      </w:pPr>
      <w:proofErr w:type="spellStart"/>
      <w:r w:rsidRPr="00E77891">
        <w:rPr>
          <w:color w:val="0E101A"/>
          <w:sz w:val="28"/>
          <w:szCs w:val="28"/>
          <w:lang w:val="en-US"/>
        </w:rPr>
        <w:t>Zacharewicz</w:t>
      </w:r>
      <w:proofErr w:type="spellEnd"/>
      <w:r w:rsidRPr="00E77891">
        <w:rPr>
          <w:color w:val="0E101A"/>
          <w:sz w:val="28"/>
          <w:szCs w:val="28"/>
          <w:lang w:val="en-US"/>
        </w:rPr>
        <w:t xml:space="preserve"> et al.</w:t>
      </w:r>
      <w:r w:rsidRPr="003874CF">
        <w:rPr>
          <w:color w:val="0E101A"/>
          <w:sz w:val="28"/>
          <w:szCs w:val="28"/>
          <w:lang w:val="en-US"/>
        </w:rPr>
        <w:t xml:space="preserve"> argue that fragmented or short-term funding undermines research continuity, while strategic alignment with national missions enhances institutional performance</w:t>
      </w:r>
      <w:r w:rsidR="00831AC3">
        <w:rPr>
          <w:color w:val="0E101A"/>
          <w:sz w:val="28"/>
          <w:szCs w:val="28"/>
          <w:lang w:val="en-US"/>
        </w:rPr>
        <w:t xml:space="preserve"> [37</w:t>
      </w:r>
      <w:r w:rsidR="009C0DDF">
        <w:rPr>
          <w:color w:val="0E101A"/>
          <w:sz w:val="28"/>
          <w:szCs w:val="28"/>
          <w:lang w:val="kk-KZ"/>
        </w:rPr>
        <w:t>7</w:t>
      </w:r>
      <w:r w:rsidR="00831AC3">
        <w:rPr>
          <w:color w:val="0E101A"/>
          <w:sz w:val="28"/>
          <w:szCs w:val="28"/>
          <w:lang w:val="en-US"/>
        </w:rPr>
        <w:t xml:space="preserve">, </w:t>
      </w:r>
      <w:r w:rsidRPr="003874CF">
        <w:rPr>
          <w:color w:val="0E101A"/>
          <w:sz w:val="28"/>
          <w:szCs w:val="28"/>
          <w:lang w:val="en-US"/>
        </w:rPr>
        <w:t>pp. 10–11</w:t>
      </w:r>
      <w:r w:rsidR="00831AC3">
        <w:rPr>
          <w:color w:val="0E101A"/>
          <w:sz w:val="28"/>
          <w:szCs w:val="28"/>
          <w:lang w:val="en-US"/>
        </w:rPr>
        <w:t>]</w:t>
      </w:r>
      <w:r w:rsidRPr="003874CF">
        <w:rPr>
          <w:color w:val="0E101A"/>
          <w:sz w:val="28"/>
          <w:szCs w:val="28"/>
          <w:lang w:val="en-US"/>
        </w:rPr>
        <w:t>. For example, institutions that operate within clearly articulated national innovation strategies—such as digitalization or energy transition—are better positioned to attract cross-sectoral partnerships and long-term investment.</w:t>
      </w:r>
    </w:p>
    <w:p w14:paraId="2BB5CAA5" w14:textId="316A01EF" w:rsidR="00F40BBC" w:rsidRDefault="00600C79" w:rsidP="00F40BBC">
      <w:pPr>
        <w:pStyle w:val="a4"/>
        <w:spacing w:before="0" w:beforeAutospacing="0" w:after="0" w:afterAutospacing="0"/>
        <w:ind w:firstLine="720"/>
        <w:contextualSpacing/>
        <w:jc w:val="both"/>
        <w:rPr>
          <w:color w:val="0E101A"/>
          <w:sz w:val="28"/>
          <w:szCs w:val="28"/>
          <w:lang w:val="en-US"/>
        </w:rPr>
      </w:pPr>
      <w:r w:rsidRPr="003874CF">
        <w:rPr>
          <w:color w:val="0E101A"/>
          <w:sz w:val="28"/>
          <w:szCs w:val="28"/>
          <w:lang w:val="en-US"/>
        </w:rPr>
        <w:t xml:space="preserve">In addition, clear criteria for evaluating proposals and outcomes—such as peer review, relevance to policy objectives, and impact metrics—build public confidence in how innovation funds are used. This is especially important in contexts </w:t>
      </w:r>
      <w:r w:rsidRPr="003874CF">
        <w:rPr>
          <w:color w:val="0E101A"/>
          <w:sz w:val="28"/>
          <w:szCs w:val="28"/>
          <w:lang w:val="en-US"/>
        </w:rPr>
        <w:lastRenderedPageBreak/>
        <w:t xml:space="preserve">where public accountability is a concern. Governments that publish evaluation results and link funding to performance over time see higher institutional responsiveness and stakeholder trust </w:t>
      </w:r>
      <w:r w:rsidR="00831AC3">
        <w:rPr>
          <w:color w:val="0E101A"/>
          <w:sz w:val="28"/>
          <w:szCs w:val="28"/>
          <w:lang w:val="en-US"/>
        </w:rPr>
        <w:t>[37</w:t>
      </w:r>
      <w:r w:rsidR="009C0DDF">
        <w:rPr>
          <w:color w:val="0E101A"/>
          <w:sz w:val="28"/>
          <w:szCs w:val="28"/>
          <w:lang w:val="kk-KZ"/>
        </w:rPr>
        <w:t>7</w:t>
      </w:r>
      <w:r w:rsidR="00831AC3">
        <w:rPr>
          <w:color w:val="0E101A"/>
          <w:sz w:val="28"/>
          <w:szCs w:val="28"/>
          <w:lang w:val="en-US"/>
        </w:rPr>
        <w:t xml:space="preserve">, </w:t>
      </w:r>
      <w:r w:rsidR="00831AC3" w:rsidRPr="003874CF">
        <w:rPr>
          <w:color w:val="0E101A"/>
          <w:sz w:val="28"/>
          <w:szCs w:val="28"/>
          <w:lang w:val="en-US"/>
        </w:rPr>
        <w:t>pp. 1</w:t>
      </w:r>
      <w:r w:rsidR="00831AC3">
        <w:rPr>
          <w:color w:val="0E101A"/>
          <w:sz w:val="28"/>
          <w:szCs w:val="28"/>
          <w:lang w:val="en-US"/>
        </w:rPr>
        <w:t>4]</w:t>
      </w:r>
      <w:r w:rsidR="00831AC3" w:rsidRPr="003874CF">
        <w:rPr>
          <w:color w:val="0E101A"/>
          <w:sz w:val="28"/>
          <w:szCs w:val="28"/>
          <w:lang w:val="en-US"/>
        </w:rPr>
        <w:t xml:space="preserve">. </w:t>
      </w:r>
    </w:p>
    <w:p w14:paraId="263DF3A7" w14:textId="77777777" w:rsidR="00F40BBC" w:rsidRDefault="00600C79" w:rsidP="00F40BBC">
      <w:pPr>
        <w:pStyle w:val="a4"/>
        <w:spacing w:before="0" w:beforeAutospacing="0" w:after="0" w:afterAutospacing="0"/>
        <w:ind w:firstLine="720"/>
        <w:contextualSpacing/>
        <w:jc w:val="both"/>
        <w:rPr>
          <w:color w:val="0E101A"/>
          <w:sz w:val="28"/>
          <w:szCs w:val="28"/>
          <w:lang w:val="en-US"/>
        </w:rPr>
      </w:pPr>
      <w:r w:rsidRPr="003874CF">
        <w:rPr>
          <w:color w:val="0E101A"/>
          <w:sz w:val="28"/>
          <w:szCs w:val="28"/>
          <w:lang w:val="en-US"/>
        </w:rPr>
        <w:t>Kazakhstan has taken early steps to reform its funding governance through the development of national research priorities, digital transformation goals, and sectoral strategies. However, Chapter 2 notes that gaps remain in aligning graduate training with labor market needs, especially in STEM fields (Chapter 2). Transparent and long-term funding tied to national missions may bridge this policy-to-practice gap.</w:t>
      </w:r>
    </w:p>
    <w:p w14:paraId="54B76624" w14:textId="48D17337" w:rsidR="00600C79" w:rsidRPr="00F40BBC" w:rsidRDefault="00600C79" w:rsidP="00F40BBC">
      <w:pPr>
        <w:pStyle w:val="a4"/>
        <w:spacing w:before="0" w:beforeAutospacing="0" w:after="0" w:afterAutospacing="0"/>
        <w:ind w:firstLine="720"/>
        <w:contextualSpacing/>
        <w:jc w:val="both"/>
        <w:rPr>
          <w:color w:val="0E101A"/>
          <w:sz w:val="28"/>
          <w:szCs w:val="28"/>
          <w:lang w:val="en-US"/>
        </w:rPr>
      </w:pPr>
      <w:r w:rsidRPr="002002B6">
        <w:rPr>
          <w:i/>
          <w:iCs/>
          <w:sz w:val="28"/>
          <w:szCs w:val="28"/>
          <w:lang w:val="en-US"/>
        </w:rPr>
        <w:t>Inter-Ministerial Coordination and Forward-Looking Policy Design</w:t>
      </w:r>
    </w:p>
    <w:p w14:paraId="708DF58F" w14:textId="77777777" w:rsidR="00F40BBC" w:rsidRDefault="00600C79" w:rsidP="00600C79">
      <w:pPr>
        <w:pStyle w:val="a4"/>
        <w:spacing w:before="0" w:beforeAutospacing="0" w:after="0" w:afterAutospacing="0"/>
        <w:jc w:val="both"/>
        <w:rPr>
          <w:color w:val="0E101A"/>
          <w:sz w:val="28"/>
          <w:szCs w:val="28"/>
          <w:lang w:val="en-US"/>
        </w:rPr>
      </w:pPr>
      <w:r w:rsidRPr="003874CF">
        <w:rPr>
          <w:color w:val="0E101A"/>
          <w:sz w:val="28"/>
          <w:szCs w:val="28"/>
          <w:lang w:val="en-US"/>
        </w:rPr>
        <w:t xml:space="preserve">Academic innovation's complexity calls for collaboration among several policy areas. Ministries of education, science, economics, and </w:t>
      </w:r>
      <w:proofErr w:type="spellStart"/>
      <w:r w:rsidRPr="003874CF">
        <w:rPr>
          <w:color w:val="0E101A"/>
          <w:sz w:val="28"/>
          <w:szCs w:val="28"/>
          <w:lang w:val="en-US"/>
        </w:rPr>
        <w:t>labour</w:t>
      </w:r>
      <w:proofErr w:type="spellEnd"/>
      <w:r w:rsidRPr="003874CF">
        <w:rPr>
          <w:color w:val="0E101A"/>
          <w:sz w:val="28"/>
          <w:szCs w:val="28"/>
          <w:lang w:val="en-US"/>
        </w:rPr>
        <w:t xml:space="preserve"> are stakeholders in how universities are run and how graduates enter the workforce. Overlapping or conflicting demands without coordination might compromise efficiency.</w:t>
      </w:r>
    </w:p>
    <w:p w14:paraId="31095C43" w14:textId="010DED32" w:rsidR="00F40BBC" w:rsidRDefault="00600C79" w:rsidP="00F40BBC">
      <w:pPr>
        <w:pStyle w:val="a4"/>
        <w:spacing w:before="0" w:beforeAutospacing="0" w:after="0" w:afterAutospacing="0"/>
        <w:ind w:firstLine="720"/>
        <w:contextualSpacing/>
        <w:jc w:val="both"/>
        <w:rPr>
          <w:color w:val="0E101A"/>
          <w:sz w:val="28"/>
          <w:szCs w:val="28"/>
          <w:lang w:val="en-US"/>
        </w:rPr>
      </w:pPr>
      <w:r w:rsidRPr="003874CF">
        <w:rPr>
          <w:color w:val="0E101A"/>
          <w:sz w:val="28"/>
          <w:szCs w:val="28"/>
          <w:lang w:val="en-US"/>
        </w:rPr>
        <w:t xml:space="preserve">Studies by </w:t>
      </w:r>
      <w:proofErr w:type="spellStart"/>
      <w:r w:rsidRPr="00D3391F">
        <w:rPr>
          <w:color w:val="0E101A"/>
          <w:sz w:val="28"/>
          <w:szCs w:val="28"/>
          <w:lang w:val="en-US"/>
        </w:rPr>
        <w:t>Huňady</w:t>
      </w:r>
      <w:proofErr w:type="spellEnd"/>
      <w:r w:rsidRPr="00D3391F">
        <w:rPr>
          <w:color w:val="0E101A"/>
          <w:sz w:val="28"/>
          <w:szCs w:val="28"/>
          <w:lang w:val="en-US"/>
        </w:rPr>
        <w:t xml:space="preserve"> et al.</w:t>
      </w:r>
      <w:r w:rsidR="00D3391F">
        <w:rPr>
          <w:color w:val="0E101A"/>
          <w:sz w:val="28"/>
          <w:szCs w:val="28"/>
          <w:lang w:val="en-US"/>
        </w:rPr>
        <w:t xml:space="preserve"> </w:t>
      </w:r>
      <w:r w:rsidRPr="003874CF">
        <w:rPr>
          <w:color w:val="0E101A"/>
          <w:sz w:val="28"/>
          <w:szCs w:val="28"/>
          <w:lang w:val="en-US"/>
        </w:rPr>
        <w:t xml:space="preserve">underline that aligning higher education outputs with innovation and employment results depends on cohesive inter-ministerial cooperation </w:t>
      </w:r>
      <w:r w:rsidR="00D3391F">
        <w:rPr>
          <w:color w:val="0E101A"/>
          <w:sz w:val="28"/>
          <w:szCs w:val="28"/>
          <w:lang w:val="en-US"/>
        </w:rPr>
        <w:t>[37</w:t>
      </w:r>
      <w:r w:rsidR="009C0DDF">
        <w:rPr>
          <w:color w:val="0E101A"/>
          <w:sz w:val="28"/>
          <w:szCs w:val="28"/>
          <w:lang w:val="kk-KZ"/>
        </w:rPr>
        <w:t>5</w:t>
      </w:r>
      <w:r w:rsidR="00D3391F">
        <w:rPr>
          <w:color w:val="0E101A"/>
          <w:sz w:val="28"/>
          <w:szCs w:val="28"/>
          <w:lang w:val="en-US"/>
        </w:rPr>
        <w:t xml:space="preserve">, </w:t>
      </w:r>
      <w:r w:rsidRPr="00D3391F">
        <w:rPr>
          <w:color w:val="0E101A"/>
          <w:sz w:val="28"/>
          <w:szCs w:val="28"/>
          <w:lang w:val="en-US"/>
        </w:rPr>
        <w:t>pp. 109–110</w:t>
      </w:r>
      <w:r w:rsidR="00D3391F" w:rsidRPr="00D3391F">
        <w:rPr>
          <w:color w:val="0E101A"/>
          <w:sz w:val="28"/>
          <w:szCs w:val="28"/>
          <w:lang w:val="en-US"/>
        </w:rPr>
        <w:t>]</w:t>
      </w:r>
      <w:r w:rsidRPr="00D3391F">
        <w:rPr>
          <w:color w:val="0E101A"/>
          <w:sz w:val="28"/>
          <w:szCs w:val="28"/>
          <w:lang w:val="en-US"/>
        </w:rPr>
        <w:t>.</w:t>
      </w:r>
      <w:r w:rsidRPr="003874CF">
        <w:rPr>
          <w:color w:val="0E101A"/>
          <w:sz w:val="28"/>
          <w:szCs w:val="28"/>
          <w:lang w:val="en-US"/>
        </w:rPr>
        <w:t xml:space="preserve"> Funding university R&amp;D without regard for labor market absorptive ability, for example, can produce underemployed but overqualified graduates. Conversely, graduate employability programs that ignore university-industry linkages may fail to deliver innovation outcomes.</w:t>
      </w:r>
    </w:p>
    <w:p w14:paraId="0996D1C6" w14:textId="77777777" w:rsidR="00F40BBC" w:rsidRDefault="00600C79" w:rsidP="00F40BBC">
      <w:pPr>
        <w:pStyle w:val="a4"/>
        <w:spacing w:before="0" w:beforeAutospacing="0" w:after="0" w:afterAutospacing="0"/>
        <w:ind w:firstLine="720"/>
        <w:contextualSpacing/>
        <w:jc w:val="both"/>
        <w:rPr>
          <w:color w:val="0E101A"/>
          <w:sz w:val="28"/>
          <w:szCs w:val="28"/>
          <w:lang w:val="en-US"/>
        </w:rPr>
      </w:pPr>
      <w:r w:rsidRPr="003874CF">
        <w:rPr>
          <w:color w:val="0E101A"/>
          <w:sz w:val="28"/>
          <w:szCs w:val="28"/>
          <w:lang w:val="en-US"/>
        </w:rPr>
        <w:t xml:space="preserve">For countries like Kazakhstan, establishing a permanent </w:t>
      </w:r>
      <w:r w:rsidRPr="00F40BBC">
        <w:rPr>
          <w:color w:val="0E101A"/>
          <w:sz w:val="28"/>
          <w:szCs w:val="28"/>
          <w:lang w:val="en-US"/>
        </w:rPr>
        <w:t xml:space="preserve">national coordination council or </w:t>
      </w:r>
      <w:proofErr w:type="spellStart"/>
      <w:r w:rsidRPr="00F40BBC">
        <w:rPr>
          <w:color w:val="0E101A"/>
          <w:sz w:val="28"/>
          <w:szCs w:val="28"/>
          <w:lang w:val="en-US"/>
        </w:rPr>
        <w:t>interministerial</w:t>
      </w:r>
      <w:proofErr w:type="spellEnd"/>
      <w:r w:rsidRPr="00F40BBC">
        <w:rPr>
          <w:color w:val="0E101A"/>
          <w:sz w:val="28"/>
          <w:szCs w:val="28"/>
          <w:lang w:val="en-US"/>
        </w:rPr>
        <w:t xml:space="preserve"> task force </w:t>
      </w:r>
      <w:r w:rsidRPr="00742D77">
        <w:rPr>
          <w:color w:val="0E101A"/>
          <w:sz w:val="28"/>
          <w:szCs w:val="28"/>
          <w:lang w:val="en-US"/>
        </w:rPr>
        <w:t>could improve policy integration across education, innovation, and labor sectors. This would ensure that university reforms, research priorities, and workforce strategies evolve in tandem, laying a stronger foundation for innovation-led economic development.</w:t>
      </w:r>
    </w:p>
    <w:p w14:paraId="387F9308" w14:textId="77777777" w:rsidR="00F40BBC" w:rsidRDefault="00600C79" w:rsidP="00F40BBC">
      <w:pPr>
        <w:pStyle w:val="a4"/>
        <w:spacing w:before="0" w:beforeAutospacing="0" w:after="0" w:afterAutospacing="0"/>
        <w:ind w:firstLine="720"/>
        <w:contextualSpacing/>
        <w:jc w:val="both"/>
        <w:rPr>
          <w:color w:val="0E101A"/>
          <w:sz w:val="28"/>
          <w:szCs w:val="28"/>
          <w:lang w:val="en-US"/>
        </w:rPr>
      </w:pPr>
      <w:r w:rsidRPr="00F40BBC">
        <w:rPr>
          <w:color w:val="0E101A"/>
          <w:sz w:val="28"/>
          <w:szCs w:val="28"/>
          <w:lang w:val="en-US"/>
        </w:rPr>
        <w:t>Synthesis, Triple Helix Integration, and Policy Recommendations</w:t>
      </w:r>
    </w:p>
    <w:p w14:paraId="3F59D8E7" w14:textId="2E48C378" w:rsidR="00600C79" w:rsidRPr="00F40BBC" w:rsidRDefault="00600C79" w:rsidP="00F40BBC">
      <w:pPr>
        <w:pStyle w:val="a4"/>
        <w:spacing w:before="0" w:beforeAutospacing="0" w:after="0" w:afterAutospacing="0"/>
        <w:ind w:firstLine="720"/>
        <w:contextualSpacing/>
        <w:jc w:val="both"/>
        <w:rPr>
          <w:color w:val="0E101A"/>
          <w:sz w:val="28"/>
          <w:szCs w:val="28"/>
          <w:lang w:val="en-US"/>
        </w:rPr>
      </w:pPr>
      <w:r w:rsidRPr="00F40BBC">
        <w:rPr>
          <w:color w:val="0E101A"/>
          <w:sz w:val="28"/>
          <w:szCs w:val="28"/>
          <w:lang w:val="en-US"/>
        </w:rPr>
        <w:t>Synthesis: Connecting Funding, Capacity, and Graduate Development</w:t>
      </w:r>
    </w:p>
    <w:p w14:paraId="506C5096" w14:textId="4D8F06AC" w:rsidR="00F40BBC" w:rsidRDefault="00600C79" w:rsidP="00F40BBC">
      <w:pPr>
        <w:pStyle w:val="a4"/>
        <w:spacing w:before="0" w:beforeAutospacing="0" w:after="0" w:afterAutospacing="0"/>
        <w:ind w:firstLine="720"/>
        <w:contextualSpacing/>
        <w:jc w:val="both"/>
        <w:rPr>
          <w:color w:val="0E101A"/>
          <w:sz w:val="28"/>
          <w:szCs w:val="28"/>
          <w:lang w:val="en-US"/>
        </w:rPr>
      </w:pPr>
      <w:r w:rsidRPr="00742D77">
        <w:rPr>
          <w:color w:val="0E101A"/>
          <w:sz w:val="28"/>
          <w:szCs w:val="28"/>
          <w:lang w:val="en-US"/>
        </w:rPr>
        <w:t xml:space="preserve">The preceding analysis of international research and policy models demonstrates that adequate government support for academic innovation is shaped by three interdependent factors: </w:t>
      </w:r>
      <w:r w:rsidRPr="00F40BBC">
        <w:rPr>
          <w:color w:val="0E101A"/>
          <w:sz w:val="28"/>
          <w:szCs w:val="28"/>
          <w:lang w:val="en-US"/>
        </w:rPr>
        <w:t>strategic public funding, institutional readiness, and graduate transition mechanisms</w:t>
      </w:r>
      <w:r w:rsidRPr="00742D77">
        <w:rPr>
          <w:color w:val="0E101A"/>
          <w:sz w:val="28"/>
          <w:szCs w:val="28"/>
          <w:lang w:val="en-US"/>
        </w:rPr>
        <w:t>. These components form the backbone of an inclusive and dynamic national innovation system. When aligned, they create positive feedback loops where research excellence fuels innovation, innovation generates high-skill employment, and skilled graduates sustain innovation trajectories.</w:t>
      </w:r>
    </w:p>
    <w:p w14:paraId="3E510485" w14:textId="134094DC" w:rsidR="00F40BBC" w:rsidRDefault="00600C79" w:rsidP="00F40BBC">
      <w:pPr>
        <w:pStyle w:val="a4"/>
        <w:spacing w:before="0" w:beforeAutospacing="0" w:after="0" w:afterAutospacing="0"/>
        <w:ind w:firstLine="720"/>
        <w:contextualSpacing/>
        <w:jc w:val="both"/>
        <w:rPr>
          <w:color w:val="0E101A"/>
          <w:sz w:val="28"/>
          <w:szCs w:val="28"/>
          <w:lang w:val="en-US"/>
        </w:rPr>
      </w:pPr>
      <w:r w:rsidRPr="00742D77">
        <w:rPr>
          <w:color w:val="0E101A"/>
          <w:sz w:val="28"/>
          <w:szCs w:val="28"/>
          <w:lang w:val="en-US"/>
        </w:rPr>
        <w:t xml:space="preserve">For example, </w:t>
      </w:r>
      <w:r w:rsidRPr="00904543">
        <w:rPr>
          <w:color w:val="0E101A"/>
          <w:sz w:val="28"/>
          <w:szCs w:val="28"/>
          <w:lang w:val="en-US"/>
        </w:rPr>
        <w:t>Blume-</w:t>
      </w:r>
      <w:proofErr w:type="spellStart"/>
      <w:r w:rsidRPr="00904543">
        <w:rPr>
          <w:color w:val="0E101A"/>
          <w:sz w:val="28"/>
          <w:szCs w:val="28"/>
          <w:lang w:val="en-US"/>
        </w:rPr>
        <w:t>Kohout</w:t>
      </w:r>
      <w:proofErr w:type="spellEnd"/>
      <w:r w:rsidRPr="00904543">
        <w:rPr>
          <w:color w:val="0E101A"/>
          <w:sz w:val="28"/>
          <w:szCs w:val="28"/>
          <w:lang w:val="en-US"/>
        </w:rPr>
        <w:t xml:space="preserve"> et al. and Li and Wu</w:t>
      </w:r>
      <w:r w:rsidRPr="00742D77">
        <w:rPr>
          <w:color w:val="0E101A"/>
          <w:sz w:val="28"/>
          <w:szCs w:val="28"/>
          <w:lang w:val="en-US"/>
        </w:rPr>
        <w:t xml:space="preserve"> illustrate that well-structured government R&amp;D funding not only catalyzes research activity but also draws in complementary investment and talent</w:t>
      </w:r>
      <w:r w:rsidR="00D3391F">
        <w:rPr>
          <w:color w:val="0E101A"/>
          <w:sz w:val="28"/>
          <w:szCs w:val="28"/>
          <w:lang w:val="en-US"/>
        </w:rPr>
        <w:t xml:space="preserve"> [37</w:t>
      </w:r>
      <w:r w:rsidR="009C0DDF">
        <w:rPr>
          <w:color w:val="0E101A"/>
          <w:sz w:val="28"/>
          <w:szCs w:val="28"/>
          <w:lang w:val="kk-KZ"/>
        </w:rPr>
        <w:t>4</w:t>
      </w:r>
      <w:r w:rsidR="00D3391F">
        <w:rPr>
          <w:color w:val="0E101A"/>
          <w:sz w:val="28"/>
          <w:szCs w:val="28"/>
          <w:lang w:val="en-US"/>
        </w:rPr>
        <w:t>, p. 3</w:t>
      </w:r>
      <w:r w:rsidR="00422C11">
        <w:rPr>
          <w:color w:val="0E101A"/>
          <w:sz w:val="28"/>
          <w:szCs w:val="28"/>
          <w:lang w:val="en-US"/>
        </w:rPr>
        <w:t>5</w:t>
      </w:r>
      <w:r w:rsidR="009C0DDF">
        <w:rPr>
          <w:color w:val="0E101A"/>
          <w:sz w:val="28"/>
          <w:szCs w:val="28"/>
          <w:lang w:val="kk-KZ"/>
        </w:rPr>
        <w:t>8</w:t>
      </w:r>
      <w:r w:rsidR="00D3391F">
        <w:rPr>
          <w:color w:val="0E101A"/>
          <w:sz w:val="28"/>
          <w:szCs w:val="28"/>
          <w:lang w:val="en-US"/>
        </w:rPr>
        <w:t>; 3</w:t>
      </w:r>
      <w:r w:rsidR="009C0DDF">
        <w:rPr>
          <w:color w:val="0E101A"/>
          <w:sz w:val="28"/>
          <w:szCs w:val="28"/>
          <w:lang w:val="kk-KZ"/>
        </w:rPr>
        <w:t>79</w:t>
      </w:r>
      <w:r w:rsidR="00D3391F">
        <w:rPr>
          <w:color w:val="0E101A"/>
          <w:sz w:val="28"/>
          <w:szCs w:val="28"/>
          <w:lang w:val="en-US"/>
        </w:rPr>
        <w:t xml:space="preserve">, pp. 3-5]. </w:t>
      </w:r>
      <w:r w:rsidRPr="00742D77">
        <w:rPr>
          <w:color w:val="0E101A"/>
          <w:sz w:val="28"/>
          <w:szCs w:val="28"/>
          <w:lang w:val="en-US"/>
        </w:rPr>
        <w:t>However, such funding achieves transformative outcomes only when institutional and regional capacities are developed concurrently. Universities with strong governance structures, stable funding baselines, and industry engagement mechanisms are better equipped to deliver innovation outputs and foster employable graduates</w:t>
      </w:r>
      <w:r w:rsidRPr="00904543">
        <w:rPr>
          <w:color w:val="0E101A"/>
          <w:sz w:val="28"/>
          <w:szCs w:val="28"/>
          <w:lang w:val="en-US"/>
        </w:rPr>
        <w:t xml:space="preserve"> </w:t>
      </w:r>
      <w:r w:rsidR="00904543" w:rsidRPr="00904543">
        <w:rPr>
          <w:color w:val="0E101A"/>
          <w:sz w:val="28"/>
          <w:szCs w:val="28"/>
          <w:lang w:val="en-US"/>
        </w:rPr>
        <w:t>[37</w:t>
      </w:r>
      <w:r w:rsidR="009C0DDF">
        <w:rPr>
          <w:color w:val="0E101A"/>
          <w:sz w:val="28"/>
          <w:szCs w:val="28"/>
          <w:lang w:val="kk-KZ"/>
        </w:rPr>
        <w:t>7</w:t>
      </w:r>
      <w:r w:rsidR="00904543" w:rsidRPr="00904543">
        <w:rPr>
          <w:color w:val="0E101A"/>
          <w:sz w:val="28"/>
          <w:szCs w:val="28"/>
          <w:lang w:val="en-US"/>
        </w:rPr>
        <w:t xml:space="preserve">, </w:t>
      </w:r>
      <w:r w:rsidRPr="00904543">
        <w:rPr>
          <w:color w:val="0E101A"/>
          <w:sz w:val="28"/>
          <w:szCs w:val="28"/>
          <w:lang w:val="en-US"/>
        </w:rPr>
        <w:t>pp. 9–10</w:t>
      </w:r>
      <w:r w:rsidR="00904543" w:rsidRPr="00904543">
        <w:rPr>
          <w:color w:val="0E101A"/>
          <w:sz w:val="28"/>
          <w:szCs w:val="28"/>
          <w:lang w:val="en-US"/>
        </w:rPr>
        <w:t>]</w:t>
      </w:r>
      <w:r w:rsidRPr="00904543">
        <w:rPr>
          <w:color w:val="0E101A"/>
          <w:sz w:val="28"/>
          <w:szCs w:val="28"/>
          <w:lang w:val="en-US"/>
        </w:rPr>
        <w:t>.</w:t>
      </w:r>
    </w:p>
    <w:p w14:paraId="6289B45F" w14:textId="77777777" w:rsidR="00F40BBC" w:rsidRDefault="00600C79" w:rsidP="00F40BBC">
      <w:pPr>
        <w:pStyle w:val="a4"/>
        <w:spacing w:before="0" w:beforeAutospacing="0" w:after="0" w:afterAutospacing="0"/>
        <w:ind w:firstLine="720"/>
        <w:contextualSpacing/>
        <w:jc w:val="both"/>
        <w:rPr>
          <w:color w:val="0E101A"/>
          <w:sz w:val="28"/>
          <w:szCs w:val="28"/>
          <w:lang w:val="en-US"/>
        </w:rPr>
      </w:pPr>
      <w:r w:rsidRPr="00742D77">
        <w:rPr>
          <w:color w:val="0E101A"/>
          <w:sz w:val="28"/>
          <w:szCs w:val="28"/>
          <w:lang w:val="en-US"/>
        </w:rPr>
        <w:lastRenderedPageBreak/>
        <w:t xml:space="preserve">In turn, these outputs create new opportunities for student participation and employment. Government policies that support </w:t>
      </w:r>
      <w:r w:rsidRPr="0032235E">
        <w:rPr>
          <w:rStyle w:val="a3"/>
          <w:rFonts w:eastAsia="Calibri"/>
          <w:color w:val="0E101A"/>
          <w:sz w:val="28"/>
          <w:szCs w:val="28"/>
          <w:lang w:val="en-US"/>
        </w:rPr>
        <w:t>intersectoral mobility,</w:t>
      </w:r>
      <w:r w:rsidRPr="00742D77">
        <w:rPr>
          <w:color w:val="0E101A"/>
          <w:sz w:val="28"/>
          <w:szCs w:val="28"/>
          <w:lang w:val="en-US"/>
        </w:rPr>
        <w:t xml:space="preserve"> university-led incubators, or mission-driven research involving student researchers directly connect innovation policy to career development pathways. In Kazakhstan, such connections are crucial, especially in regions where underemployment among graduates and weak university-industry links persist (Chapter 2).</w:t>
      </w:r>
    </w:p>
    <w:p w14:paraId="507CAEF5" w14:textId="77777777" w:rsidR="00F40BBC" w:rsidRDefault="00600C79" w:rsidP="00F40BBC">
      <w:pPr>
        <w:pStyle w:val="a4"/>
        <w:spacing w:before="0" w:beforeAutospacing="0" w:after="0" w:afterAutospacing="0"/>
        <w:ind w:firstLine="720"/>
        <w:contextualSpacing/>
        <w:jc w:val="both"/>
        <w:rPr>
          <w:color w:val="0E101A"/>
          <w:sz w:val="28"/>
          <w:szCs w:val="28"/>
          <w:lang w:val="en-US"/>
        </w:rPr>
      </w:pPr>
      <w:r w:rsidRPr="0032235E">
        <w:rPr>
          <w:rStyle w:val="a3"/>
          <w:rFonts w:eastAsia="Calibri"/>
          <w:color w:val="0E101A"/>
          <w:sz w:val="28"/>
          <w:szCs w:val="28"/>
          <w:lang w:val="en-US"/>
        </w:rPr>
        <w:t>Triple Helix Revisited: Strategic Policy Integration</w:t>
      </w:r>
    </w:p>
    <w:p w14:paraId="3D86EC8B" w14:textId="77777777" w:rsidR="00F40BBC" w:rsidRDefault="00600C79" w:rsidP="00F40BBC">
      <w:pPr>
        <w:pStyle w:val="a4"/>
        <w:spacing w:before="0" w:beforeAutospacing="0" w:after="0" w:afterAutospacing="0"/>
        <w:ind w:firstLine="720"/>
        <w:contextualSpacing/>
        <w:jc w:val="both"/>
        <w:rPr>
          <w:color w:val="0E101A"/>
          <w:sz w:val="28"/>
          <w:szCs w:val="28"/>
          <w:lang w:val="en-US"/>
        </w:rPr>
      </w:pPr>
      <w:r w:rsidRPr="00742D77">
        <w:rPr>
          <w:color w:val="0E101A"/>
          <w:sz w:val="28"/>
          <w:szCs w:val="28"/>
          <w:lang w:val="en-US"/>
        </w:rPr>
        <w:t xml:space="preserve">The THM remains an essential framework for understanding the co-evolution of university, industry, and government roles in national innovation systems. Unlike linear innovation models, the Triple Helix emphasizes </w:t>
      </w:r>
      <w:r w:rsidRPr="0032235E">
        <w:rPr>
          <w:rStyle w:val="a3"/>
          <w:rFonts w:eastAsia="Calibri"/>
          <w:color w:val="0E101A"/>
          <w:sz w:val="28"/>
          <w:szCs w:val="28"/>
          <w:lang w:val="en-US"/>
        </w:rPr>
        <w:t xml:space="preserve">recursive, networked interactions </w:t>
      </w:r>
      <w:r w:rsidRPr="00742D77">
        <w:rPr>
          <w:color w:val="0E101A"/>
          <w:sz w:val="28"/>
          <w:szCs w:val="28"/>
          <w:lang w:val="en-US"/>
        </w:rPr>
        <w:t>in which institutional boundaries blur and new hybrid forms of knowledge production emerge</w:t>
      </w:r>
      <w:r w:rsidR="00904543">
        <w:rPr>
          <w:color w:val="0E101A"/>
          <w:sz w:val="28"/>
          <w:szCs w:val="28"/>
          <w:lang w:val="en-US"/>
        </w:rPr>
        <w:t xml:space="preserve"> </w:t>
      </w:r>
      <w:r w:rsidR="00904543" w:rsidRPr="00904543">
        <w:rPr>
          <w:color w:val="0E101A"/>
          <w:sz w:val="28"/>
          <w:szCs w:val="28"/>
          <w:lang w:val="en-US"/>
        </w:rPr>
        <w:t xml:space="preserve">[28, </w:t>
      </w:r>
      <w:r w:rsidRPr="00904543">
        <w:rPr>
          <w:color w:val="0E101A"/>
          <w:sz w:val="28"/>
          <w:szCs w:val="28"/>
          <w:lang w:val="en-US"/>
        </w:rPr>
        <w:t>pp. 112–115</w:t>
      </w:r>
      <w:r w:rsidR="00904543">
        <w:rPr>
          <w:color w:val="0E101A"/>
          <w:sz w:val="28"/>
          <w:szCs w:val="28"/>
          <w:lang w:val="en-US"/>
        </w:rPr>
        <w:t>]</w:t>
      </w:r>
      <w:r w:rsidRPr="00742D77">
        <w:rPr>
          <w:color w:val="0E101A"/>
          <w:sz w:val="28"/>
          <w:szCs w:val="28"/>
          <w:lang w:val="en-US"/>
        </w:rPr>
        <w:t>. The model has proven helpful in advanced and emerging economies for diagnosing systemic gaps and proposing integrative policy solutions.</w:t>
      </w:r>
    </w:p>
    <w:p w14:paraId="4DE5658B" w14:textId="77777777" w:rsidR="00F40BBC" w:rsidRDefault="00600C79" w:rsidP="00F40BBC">
      <w:pPr>
        <w:pStyle w:val="a4"/>
        <w:spacing w:before="0" w:beforeAutospacing="0" w:after="0" w:afterAutospacing="0"/>
        <w:ind w:firstLine="720"/>
        <w:contextualSpacing/>
        <w:jc w:val="both"/>
        <w:rPr>
          <w:color w:val="0E101A"/>
          <w:sz w:val="28"/>
          <w:szCs w:val="28"/>
          <w:lang w:val="en-US"/>
        </w:rPr>
      </w:pPr>
      <w:r w:rsidRPr="00742D77">
        <w:rPr>
          <w:color w:val="0E101A"/>
          <w:sz w:val="28"/>
          <w:szCs w:val="28"/>
          <w:lang w:val="en-US"/>
        </w:rPr>
        <w:t xml:space="preserve">Within this model, the government assumes the role of </w:t>
      </w:r>
      <w:r w:rsidRPr="0032235E">
        <w:rPr>
          <w:rStyle w:val="a3"/>
          <w:rFonts w:eastAsia="Calibri"/>
          <w:color w:val="0E101A"/>
          <w:sz w:val="28"/>
          <w:szCs w:val="28"/>
          <w:lang w:val="en-US"/>
        </w:rPr>
        <w:t>coordinator and enabler</w:t>
      </w:r>
      <w:r w:rsidRPr="00742D77">
        <w:rPr>
          <w:color w:val="0E101A"/>
          <w:sz w:val="28"/>
          <w:szCs w:val="28"/>
          <w:lang w:val="en-US"/>
        </w:rPr>
        <w:t xml:space="preserve">—not merely funding R&amp;D but fostering institutional convergence through strategic governance. </w:t>
      </w:r>
      <w:proofErr w:type="spellStart"/>
      <w:r w:rsidRPr="00904543">
        <w:rPr>
          <w:color w:val="0E101A"/>
          <w:sz w:val="28"/>
          <w:szCs w:val="28"/>
          <w:lang w:val="en-US"/>
        </w:rPr>
        <w:t>Etzkowitz</w:t>
      </w:r>
      <w:proofErr w:type="spellEnd"/>
      <w:r w:rsidRPr="00904543">
        <w:rPr>
          <w:color w:val="0E101A"/>
          <w:sz w:val="28"/>
          <w:szCs w:val="28"/>
          <w:lang w:val="en-US"/>
        </w:rPr>
        <w:t xml:space="preserve"> and </w:t>
      </w:r>
      <w:proofErr w:type="spellStart"/>
      <w:r w:rsidRPr="00904543">
        <w:rPr>
          <w:color w:val="0E101A"/>
          <w:sz w:val="28"/>
          <w:szCs w:val="28"/>
          <w:lang w:val="en-US"/>
        </w:rPr>
        <w:t>Leydesdorff</w:t>
      </w:r>
      <w:proofErr w:type="spellEnd"/>
      <w:r w:rsidR="00904543">
        <w:rPr>
          <w:color w:val="0E101A"/>
          <w:sz w:val="28"/>
          <w:szCs w:val="28"/>
          <w:lang w:val="en-US"/>
        </w:rPr>
        <w:t xml:space="preserve"> </w:t>
      </w:r>
      <w:r w:rsidRPr="00742D77">
        <w:rPr>
          <w:color w:val="0E101A"/>
          <w:sz w:val="28"/>
          <w:szCs w:val="28"/>
          <w:lang w:val="en-US"/>
        </w:rPr>
        <w:t xml:space="preserve">argue that the government’s greatest contribution is to create an innovation environment that encourages entrepreneurial behavior from universities and collaborative incentives for firms </w:t>
      </w:r>
      <w:r w:rsidR="00904543">
        <w:rPr>
          <w:color w:val="0E101A"/>
          <w:sz w:val="28"/>
          <w:szCs w:val="28"/>
          <w:lang w:val="en-US"/>
        </w:rPr>
        <w:t xml:space="preserve">[28, </w:t>
      </w:r>
      <w:r w:rsidRPr="00904543">
        <w:rPr>
          <w:color w:val="0E101A"/>
          <w:sz w:val="28"/>
          <w:szCs w:val="28"/>
          <w:lang w:val="en-US"/>
        </w:rPr>
        <w:t>pp. 116–117</w:t>
      </w:r>
      <w:r w:rsidR="00904543" w:rsidRPr="00904543">
        <w:rPr>
          <w:color w:val="0E101A"/>
          <w:sz w:val="28"/>
          <w:szCs w:val="28"/>
          <w:lang w:val="en-US"/>
        </w:rPr>
        <w:t>]</w:t>
      </w:r>
      <w:r w:rsidRPr="00904543">
        <w:rPr>
          <w:color w:val="0E101A"/>
          <w:sz w:val="28"/>
          <w:szCs w:val="28"/>
          <w:lang w:val="en-US"/>
        </w:rPr>
        <w:t>.</w:t>
      </w:r>
      <w:r w:rsidRPr="00742D77">
        <w:rPr>
          <w:color w:val="0E101A"/>
          <w:sz w:val="28"/>
          <w:szCs w:val="28"/>
          <w:lang w:val="en-US"/>
        </w:rPr>
        <w:t xml:space="preserve"> This approach includes legal and policy reforms, such as simplifying intellectual property transfer procedures, expanding competitive grants, and co-investing in regional innovation hubs.</w:t>
      </w:r>
    </w:p>
    <w:p w14:paraId="7134AF46" w14:textId="72C014A8" w:rsidR="00600C79" w:rsidRPr="00742D77" w:rsidRDefault="00600C79" w:rsidP="00F40BBC">
      <w:pPr>
        <w:pStyle w:val="a4"/>
        <w:spacing w:before="0" w:beforeAutospacing="0" w:after="0" w:afterAutospacing="0"/>
        <w:ind w:firstLine="720"/>
        <w:contextualSpacing/>
        <w:jc w:val="both"/>
        <w:rPr>
          <w:color w:val="0E101A"/>
          <w:sz w:val="28"/>
          <w:szCs w:val="28"/>
          <w:lang w:val="en-US"/>
        </w:rPr>
      </w:pPr>
      <w:r w:rsidRPr="00742D77">
        <w:rPr>
          <w:color w:val="0E101A"/>
          <w:sz w:val="28"/>
          <w:szCs w:val="28"/>
          <w:lang w:val="en-US"/>
        </w:rPr>
        <w:t xml:space="preserve">Kazakhstan’s policy initiatives—such as the </w:t>
      </w:r>
      <w:r w:rsidRPr="008F30B7">
        <w:rPr>
          <w:color w:val="0E101A"/>
          <w:sz w:val="28"/>
          <w:szCs w:val="28"/>
          <w:lang w:val="en-US"/>
        </w:rPr>
        <w:t>Business Roadmap 2025</w:t>
      </w:r>
      <w:r w:rsidRPr="00742D77">
        <w:rPr>
          <w:color w:val="0E101A"/>
          <w:sz w:val="28"/>
          <w:szCs w:val="28"/>
          <w:lang w:val="en-US"/>
        </w:rPr>
        <w:t xml:space="preserve"> and Astana Hub—partially reflect Triple Helix thinking. However, this dissertation (chapter 2) reveals that these programs can remain scattered and lack vertical integration across departments or the regular participation of universities in policy co-design</w:t>
      </w:r>
      <w:r w:rsidR="008F30B7">
        <w:rPr>
          <w:color w:val="0E101A"/>
          <w:sz w:val="28"/>
          <w:szCs w:val="28"/>
          <w:lang w:val="en-US"/>
        </w:rPr>
        <w:t xml:space="preserve"> [105]</w:t>
      </w:r>
      <w:r w:rsidRPr="00742D77">
        <w:rPr>
          <w:color w:val="0E101A"/>
          <w:sz w:val="28"/>
          <w:szCs w:val="28"/>
          <w:lang w:val="en-US"/>
        </w:rPr>
        <w:t xml:space="preserve">. The THM offers a blueprint for resolving these disconnects by </w:t>
      </w:r>
      <w:r w:rsidRPr="0032235E">
        <w:rPr>
          <w:rStyle w:val="a3"/>
          <w:rFonts w:eastAsia="Calibri"/>
          <w:color w:val="0E101A"/>
          <w:sz w:val="28"/>
          <w:szCs w:val="28"/>
          <w:lang w:val="en-US"/>
        </w:rPr>
        <w:t>institutionalizing cross-sector coordination</w:t>
      </w:r>
      <w:r w:rsidRPr="00742D77">
        <w:rPr>
          <w:color w:val="0E101A"/>
          <w:sz w:val="28"/>
          <w:szCs w:val="28"/>
          <w:lang w:val="en-US"/>
        </w:rPr>
        <w:t xml:space="preserve"> and ensuring policies mutually reinforce academic innovation, employability, and national economic goals.</w:t>
      </w:r>
    </w:p>
    <w:p w14:paraId="0D34F776" w14:textId="78DF6FCB" w:rsidR="00600C79" w:rsidRPr="006A38C5"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742D77">
        <w:rPr>
          <w:rFonts w:ascii="Times New Roman" w:eastAsia="Times New Roman" w:hAnsi="Times New Roman" w:cs="Times New Roman"/>
          <w:sz w:val="28"/>
          <w:szCs w:val="28"/>
          <w:lang w:val="en-US"/>
        </w:rPr>
        <w:t>Effective policies supporting academic innovation and graduate employability require an integrated approach addressing institutional</w:t>
      </w:r>
      <w:r w:rsidRPr="006A38C5">
        <w:rPr>
          <w:rFonts w:ascii="Times New Roman" w:eastAsia="Times New Roman" w:hAnsi="Times New Roman" w:cs="Times New Roman"/>
          <w:sz w:val="28"/>
          <w:szCs w:val="28"/>
          <w:lang w:val="en-US"/>
        </w:rPr>
        <w:t xml:space="preserve"> capacity, funding structures, and alignment of </w:t>
      </w:r>
      <w:proofErr w:type="spellStart"/>
      <w:r w:rsidRPr="006A38C5">
        <w:rPr>
          <w:rFonts w:ascii="Times New Roman" w:eastAsia="Times New Roman" w:hAnsi="Times New Roman" w:cs="Times New Roman"/>
          <w:sz w:val="28"/>
          <w:szCs w:val="28"/>
          <w:lang w:val="en-US"/>
        </w:rPr>
        <w:t>labour</w:t>
      </w:r>
      <w:proofErr w:type="spellEnd"/>
      <w:r w:rsidRPr="006A38C5">
        <w:rPr>
          <w:rFonts w:ascii="Times New Roman" w:eastAsia="Times New Roman" w:hAnsi="Times New Roman" w:cs="Times New Roman"/>
          <w:sz w:val="28"/>
          <w:szCs w:val="28"/>
          <w:lang w:val="en-US"/>
        </w:rPr>
        <w:t xml:space="preserve"> markets. Over the past ten years, legislative actions in Kazakhstan have aimed to modernize the research and higher education scene; nonetheless, there are difficulties guaranteeing these changes will result in significant innovation output and graduate employment possibilities. Comparative research highlights the need to connect public R&amp;D investment, entrepreneurial education, and strategic labor policy under a coherent framework</w:t>
      </w:r>
      <w:r w:rsidR="005E5835">
        <w:rPr>
          <w:rFonts w:ascii="Times New Roman" w:eastAsia="Times New Roman" w:hAnsi="Times New Roman" w:cs="Times New Roman"/>
          <w:sz w:val="28"/>
          <w:szCs w:val="28"/>
          <w:lang w:val="en-US"/>
        </w:rPr>
        <w:t xml:space="preserve"> [37</w:t>
      </w:r>
      <w:r w:rsidR="009C0DDF">
        <w:rPr>
          <w:rFonts w:ascii="Times New Roman" w:eastAsia="Times New Roman" w:hAnsi="Times New Roman" w:cs="Times New Roman"/>
          <w:sz w:val="28"/>
          <w:szCs w:val="28"/>
          <w:lang w:val="kk-KZ"/>
        </w:rPr>
        <w:t>7</w:t>
      </w:r>
      <w:r w:rsidR="005E5835">
        <w:rPr>
          <w:rFonts w:ascii="Times New Roman" w:eastAsia="Times New Roman" w:hAnsi="Times New Roman" w:cs="Times New Roman"/>
          <w:sz w:val="28"/>
          <w:szCs w:val="28"/>
          <w:lang w:val="en-US"/>
        </w:rPr>
        <w:t>, pp.6-7]</w:t>
      </w:r>
      <w:r w:rsidRPr="006A38C5">
        <w:rPr>
          <w:rFonts w:ascii="Times New Roman" w:eastAsia="Times New Roman" w:hAnsi="Times New Roman" w:cs="Times New Roman"/>
          <w:sz w:val="28"/>
          <w:szCs w:val="28"/>
          <w:lang w:val="en-US"/>
        </w:rPr>
        <w:t>. Within the Triple Helix model—university, industry, and government interaction—governments play a central coordinating role in aligning these systems</w:t>
      </w:r>
      <w:r w:rsidR="005E5835">
        <w:rPr>
          <w:rFonts w:ascii="Times New Roman" w:eastAsia="Times New Roman" w:hAnsi="Times New Roman" w:cs="Times New Roman"/>
          <w:sz w:val="28"/>
          <w:szCs w:val="28"/>
          <w:lang w:val="en-US"/>
        </w:rPr>
        <w:t xml:space="preserve"> [28, pp. 112-113].</w:t>
      </w:r>
    </w:p>
    <w:p w14:paraId="4406140D" w14:textId="178B156D" w:rsidR="00600C79" w:rsidRDefault="00600C79" w:rsidP="00600C79">
      <w:pPr>
        <w:spacing w:after="0" w:line="240" w:lineRule="auto"/>
        <w:ind w:firstLine="720"/>
        <w:contextualSpacing/>
        <w:jc w:val="both"/>
        <w:rPr>
          <w:rFonts w:ascii="Times New Roman" w:eastAsia="Times New Roman" w:hAnsi="Times New Roman" w:cs="Times New Roman"/>
          <w:b/>
          <w:bCs/>
          <w:sz w:val="28"/>
          <w:szCs w:val="28"/>
          <w:lang w:val="en-US"/>
        </w:rPr>
      </w:pPr>
      <w:r w:rsidRPr="006A38C5">
        <w:rPr>
          <w:rFonts w:ascii="Times New Roman" w:eastAsia="Times New Roman" w:hAnsi="Times New Roman" w:cs="Times New Roman"/>
          <w:sz w:val="28"/>
          <w:szCs w:val="28"/>
          <w:lang w:val="en-US"/>
        </w:rPr>
        <w:t xml:space="preserve">The relationship between academic innovation and graduate employment has gained increasing policy attention globally, particularly as knowledge economies expand and </w:t>
      </w:r>
      <w:proofErr w:type="spellStart"/>
      <w:r w:rsidRPr="006A38C5">
        <w:rPr>
          <w:rFonts w:ascii="Times New Roman" w:eastAsia="Times New Roman" w:hAnsi="Times New Roman" w:cs="Times New Roman"/>
          <w:sz w:val="28"/>
          <w:szCs w:val="28"/>
          <w:lang w:val="en-US"/>
        </w:rPr>
        <w:t>labour</w:t>
      </w:r>
      <w:proofErr w:type="spellEnd"/>
      <w:r w:rsidRPr="006A38C5">
        <w:rPr>
          <w:rFonts w:ascii="Times New Roman" w:eastAsia="Times New Roman" w:hAnsi="Times New Roman" w:cs="Times New Roman"/>
          <w:sz w:val="28"/>
          <w:szCs w:val="28"/>
          <w:lang w:val="en-US"/>
        </w:rPr>
        <w:t xml:space="preserve"> markets demand more interdisciplinary, innovation-ready graduates</w:t>
      </w:r>
      <w:r w:rsidR="005E5835">
        <w:rPr>
          <w:rFonts w:ascii="Times New Roman" w:eastAsia="Times New Roman" w:hAnsi="Times New Roman" w:cs="Times New Roman"/>
          <w:sz w:val="28"/>
          <w:szCs w:val="28"/>
          <w:lang w:val="en-US"/>
        </w:rPr>
        <w:t xml:space="preserve"> [37</w:t>
      </w:r>
      <w:r w:rsidR="009C0DDF">
        <w:rPr>
          <w:rFonts w:ascii="Times New Roman" w:eastAsia="Times New Roman" w:hAnsi="Times New Roman" w:cs="Times New Roman"/>
          <w:sz w:val="28"/>
          <w:szCs w:val="28"/>
          <w:lang w:val="kk-KZ"/>
        </w:rPr>
        <w:t>5</w:t>
      </w:r>
      <w:r w:rsidR="005E5835">
        <w:rPr>
          <w:rFonts w:ascii="Times New Roman" w:eastAsia="Times New Roman" w:hAnsi="Times New Roman" w:cs="Times New Roman"/>
          <w:sz w:val="28"/>
          <w:szCs w:val="28"/>
          <w:lang w:val="en-US"/>
        </w:rPr>
        <w:t xml:space="preserve">, p. 97]. </w:t>
      </w:r>
      <w:r w:rsidRPr="006A38C5">
        <w:rPr>
          <w:rFonts w:ascii="Times New Roman" w:eastAsia="Times New Roman" w:hAnsi="Times New Roman" w:cs="Times New Roman"/>
          <w:sz w:val="28"/>
          <w:szCs w:val="28"/>
          <w:lang w:val="en-US"/>
        </w:rPr>
        <w:t xml:space="preserve">Aligning education outputs with innovation policy and </w:t>
      </w:r>
      <w:r w:rsidRPr="006A38C5">
        <w:rPr>
          <w:rFonts w:ascii="Times New Roman" w:eastAsia="Times New Roman" w:hAnsi="Times New Roman" w:cs="Times New Roman"/>
          <w:sz w:val="28"/>
          <w:szCs w:val="28"/>
          <w:lang w:val="en-US"/>
        </w:rPr>
        <w:lastRenderedPageBreak/>
        <w:t>workforce needs is now central to government strategy in many OECD and emerging economies. This section explores how public policy can support that alignment through mechanisms like mission-oriented research funding, labor market coordination, and institutional support for entrepreneurship.</w:t>
      </w:r>
    </w:p>
    <w:p w14:paraId="383C1AAE" w14:textId="77777777" w:rsidR="00600C79" w:rsidRPr="00B15126" w:rsidRDefault="00600C79" w:rsidP="00600C79">
      <w:pPr>
        <w:spacing w:after="0" w:line="240" w:lineRule="auto"/>
        <w:ind w:firstLine="720"/>
        <w:contextualSpacing/>
        <w:jc w:val="both"/>
        <w:rPr>
          <w:rFonts w:ascii="Times New Roman" w:eastAsia="Times New Roman" w:hAnsi="Times New Roman" w:cs="Times New Roman"/>
          <w:b/>
          <w:bCs/>
          <w:sz w:val="28"/>
          <w:szCs w:val="28"/>
          <w:lang w:val="en-US"/>
        </w:rPr>
      </w:pPr>
      <w:r w:rsidRPr="00B15126">
        <w:rPr>
          <w:rFonts w:ascii="Times New Roman" w:eastAsia="Times New Roman" w:hAnsi="Times New Roman" w:cs="Times New Roman"/>
          <w:i/>
          <w:iCs/>
          <w:sz w:val="28"/>
          <w:szCs w:val="28"/>
          <w:lang w:val="en-US"/>
        </w:rPr>
        <w:t>Work Experience and University–Industry Integration</w:t>
      </w:r>
    </w:p>
    <w:p w14:paraId="74D84486" w14:textId="1B4739D3" w:rsidR="00600C79" w:rsidRPr="00EF0A4F"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EF0A4F">
        <w:rPr>
          <w:rFonts w:ascii="Times New Roman" w:eastAsia="Times New Roman" w:hAnsi="Times New Roman" w:cs="Times New Roman"/>
          <w:sz w:val="28"/>
          <w:szCs w:val="28"/>
          <w:lang w:val="en-US"/>
        </w:rPr>
        <w:t xml:space="preserve">Integrating structured work-based learning within higher education institutions is vital in improving graduate employability. As shown by </w:t>
      </w:r>
      <w:proofErr w:type="spellStart"/>
      <w:r w:rsidRPr="005E5835">
        <w:rPr>
          <w:rFonts w:ascii="Times New Roman" w:eastAsia="Times New Roman" w:hAnsi="Times New Roman" w:cs="Times New Roman"/>
          <w:sz w:val="28"/>
          <w:szCs w:val="28"/>
          <w:lang w:val="en-US"/>
        </w:rPr>
        <w:t>Huňady</w:t>
      </w:r>
      <w:proofErr w:type="spellEnd"/>
      <w:r w:rsidRPr="005E5835">
        <w:rPr>
          <w:rFonts w:ascii="Times New Roman" w:eastAsia="Times New Roman" w:hAnsi="Times New Roman" w:cs="Times New Roman"/>
          <w:sz w:val="28"/>
          <w:szCs w:val="28"/>
          <w:lang w:val="en-US"/>
        </w:rPr>
        <w:t xml:space="preserve"> et al</w:t>
      </w:r>
      <w:r w:rsidR="005E5835">
        <w:rPr>
          <w:rFonts w:ascii="Times New Roman" w:eastAsia="Times New Roman" w:hAnsi="Times New Roman" w:cs="Times New Roman"/>
          <w:sz w:val="28"/>
          <w:szCs w:val="28"/>
          <w:lang w:val="en-US"/>
        </w:rPr>
        <w:t xml:space="preserve">., </w:t>
      </w:r>
      <w:r w:rsidRPr="00EF0A4F">
        <w:rPr>
          <w:rFonts w:ascii="Times New Roman" w:eastAsia="Times New Roman" w:hAnsi="Times New Roman" w:cs="Times New Roman"/>
          <w:sz w:val="28"/>
          <w:szCs w:val="28"/>
          <w:lang w:val="en-US"/>
        </w:rPr>
        <w:t xml:space="preserve">collaborative funding between universities and businesses—particularly when co-financed by the state—enhances the quality and relevance of academic research while creating real-world learning opportunities for students </w:t>
      </w:r>
      <w:r w:rsidR="005E5835">
        <w:rPr>
          <w:rFonts w:ascii="Times New Roman" w:eastAsia="Times New Roman" w:hAnsi="Times New Roman" w:cs="Times New Roman"/>
          <w:sz w:val="28"/>
          <w:szCs w:val="28"/>
          <w:lang w:val="en-US"/>
        </w:rPr>
        <w:t>[37</w:t>
      </w:r>
      <w:r w:rsidR="009C0DDF">
        <w:rPr>
          <w:rFonts w:ascii="Times New Roman" w:eastAsia="Times New Roman" w:hAnsi="Times New Roman" w:cs="Times New Roman"/>
          <w:sz w:val="28"/>
          <w:szCs w:val="28"/>
          <w:lang w:val="kk-KZ"/>
        </w:rPr>
        <w:t>5</w:t>
      </w:r>
      <w:r w:rsidR="005E5835">
        <w:rPr>
          <w:rFonts w:ascii="Times New Roman" w:eastAsia="Times New Roman" w:hAnsi="Times New Roman" w:cs="Times New Roman"/>
          <w:sz w:val="28"/>
          <w:szCs w:val="28"/>
          <w:lang w:val="en-US"/>
        </w:rPr>
        <w:t xml:space="preserve">, </w:t>
      </w:r>
      <w:r w:rsidRPr="00EF0A4F">
        <w:rPr>
          <w:rFonts w:ascii="Times New Roman" w:eastAsia="Times New Roman" w:hAnsi="Times New Roman" w:cs="Times New Roman"/>
          <w:sz w:val="28"/>
          <w:szCs w:val="28"/>
          <w:lang w:val="en-US"/>
        </w:rPr>
        <w:t>p. 103</w:t>
      </w:r>
      <w:r w:rsidR="005E5835">
        <w:rPr>
          <w:rFonts w:ascii="Times New Roman" w:eastAsia="Times New Roman" w:hAnsi="Times New Roman" w:cs="Times New Roman"/>
          <w:sz w:val="28"/>
          <w:szCs w:val="28"/>
          <w:lang w:val="en-US"/>
        </w:rPr>
        <w:t>]</w:t>
      </w:r>
      <w:r w:rsidRPr="00EF0A4F">
        <w:rPr>
          <w:rFonts w:ascii="Times New Roman" w:eastAsia="Times New Roman" w:hAnsi="Times New Roman" w:cs="Times New Roman"/>
          <w:sz w:val="28"/>
          <w:szCs w:val="28"/>
          <w:lang w:val="en-US"/>
        </w:rPr>
        <w:t>. Students benefit from applied problem-solving and can obtain internships or job paths when colleges collaborate on R&amp;D initiatives with companies. These projects help to increase creativity potential and provide training grounds for the next jobs.</w:t>
      </w:r>
    </w:p>
    <w:p w14:paraId="27C9B52D" w14:textId="17B6D360" w:rsidR="00600C79" w:rsidRPr="00EF0A4F"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proofErr w:type="spellStart"/>
      <w:r w:rsidRPr="005E5835">
        <w:rPr>
          <w:rFonts w:ascii="Times New Roman" w:eastAsia="Times New Roman" w:hAnsi="Times New Roman" w:cs="Times New Roman"/>
          <w:sz w:val="28"/>
          <w:szCs w:val="28"/>
          <w:lang w:val="en-US"/>
        </w:rPr>
        <w:t>Zacharewicz</w:t>
      </w:r>
      <w:proofErr w:type="spellEnd"/>
      <w:r w:rsidRPr="005E5835">
        <w:rPr>
          <w:rFonts w:ascii="Times New Roman" w:eastAsia="Times New Roman" w:hAnsi="Times New Roman" w:cs="Times New Roman"/>
          <w:sz w:val="28"/>
          <w:szCs w:val="28"/>
          <w:lang w:val="en-US"/>
        </w:rPr>
        <w:t xml:space="preserve"> et al.</w:t>
      </w:r>
      <w:r w:rsidR="005E5835">
        <w:rPr>
          <w:rFonts w:ascii="Times New Roman" w:eastAsia="Times New Roman" w:hAnsi="Times New Roman" w:cs="Times New Roman"/>
          <w:sz w:val="28"/>
          <w:szCs w:val="28"/>
          <w:lang w:val="en-US"/>
        </w:rPr>
        <w:t xml:space="preserve"> </w:t>
      </w:r>
      <w:r w:rsidRPr="00EF0A4F">
        <w:rPr>
          <w:rFonts w:ascii="Times New Roman" w:eastAsia="Times New Roman" w:hAnsi="Times New Roman" w:cs="Times New Roman"/>
          <w:sz w:val="28"/>
          <w:szCs w:val="28"/>
          <w:lang w:val="en-US"/>
        </w:rPr>
        <w:t xml:space="preserve">note that institutional-level project funding results in improved research outputs and workforce integration when clearly tied to societal missions or economic priorities </w:t>
      </w:r>
      <w:r w:rsidR="005E5835">
        <w:rPr>
          <w:rFonts w:ascii="Times New Roman" w:eastAsia="Times New Roman" w:hAnsi="Times New Roman" w:cs="Times New Roman"/>
          <w:sz w:val="28"/>
          <w:szCs w:val="28"/>
          <w:lang w:val="en-US"/>
        </w:rPr>
        <w:t>[37</w:t>
      </w:r>
      <w:r w:rsidR="009C0DDF">
        <w:rPr>
          <w:rFonts w:ascii="Times New Roman" w:eastAsia="Times New Roman" w:hAnsi="Times New Roman" w:cs="Times New Roman"/>
          <w:sz w:val="28"/>
          <w:szCs w:val="28"/>
          <w:lang w:val="kk-KZ"/>
        </w:rPr>
        <w:t>7</w:t>
      </w:r>
      <w:r w:rsidR="005E5835">
        <w:rPr>
          <w:rFonts w:ascii="Times New Roman" w:eastAsia="Times New Roman" w:hAnsi="Times New Roman" w:cs="Times New Roman"/>
          <w:sz w:val="28"/>
          <w:szCs w:val="28"/>
          <w:lang w:val="en-US"/>
        </w:rPr>
        <w:t xml:space="preserve">, </w:t>
      </w:r>
      <w:r w:rsidRPr="005E5835">
        <w:rPr>
          <w:rFonts w:ascii="Times New Roman" w:eastAsia="Times New Roman" w:hAnsi="Times New Roman" w:cs="Times New Roman"/>
          <w:sz w:val="28"/>
          <w:szCs w:val="28"/>
          <w:lang w:val="en-US"/>
        </w:rPr>
        <w:t>p. 9</w:t>
      </w:r>
      <w:r w:rsidR="005E5835" w:rsidRPr="005E5835">
        <w:rPr>
          <w:rFonts w:ascii="Times New Roman" w:eastAsia="Times New Roman" w:hAnsi="Times New Roman" w:cs="Times New Roman"/>
          <w:sz w:val="28"/>
          <w:szCs w:val="28"/>
          <w:lang w:val="en-US"/>
        </w:rPr>
        <w:t>]</w:t>
      </w:r>
      <w:r w:rsidRPr="005E5835">
        <w:rPr>
          <w:rFonts w:ascii="Times New Roman" w:eastAsia="Times New Roman" w:hAnsi="Times New Roman" w:cs="Times New Roman"/>
          <w:sz w:val="28"/>
          <w:szCs w:val="28"/>
          <w:lang w:val="en-US"/>
        </w:rPr>
        <w:t>.</w:t>
      </w:r>
      <w:r w:rsidRPr="00EF0A4F">
        <w:rPr>
          <w:rFonts w:ascii="Times New Roman" w:eastAsia="Times New Roman" w:hAnsi="Times New Roman" w:cs="Times New Roman"/>
          <w:sz w:val="28"/>
          <w:szCs w:val="28"/>
          <w:lang w:val="en-US"/>
        </w:rPr>
        <w:t xml:space="preserve"> However, in Kazakhstan, universities often lack the structured incentives or policy support to embed such collaborations systematically across disciplines. Addressing this requires government-led expansion of internship mandates, cooperative learning models, and work-integrated placements tied to academic credit.</w:t>
      </w:r>
    </w:p>
    <w:p w14:paraId="003859CA" w14:textId="00624208" w:rsidR="00600C79"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EF0A4F">
        <w:rPr>
          <w:rFonts w:ascii="Times New Roman" w:eastAsia="Times New Roman" w:hAnsi="Times New Roman" w:cs="Times New Roman"/>
          <w:sz w:val="28"/>
          <w:szCs w:val="28"/>
          <w:lang w:val="en-US"/>
        </w:rPr>
        <w:t xml:space="preserve">Countries like Germany and Singapore institutionalize such mechanisms through policy tools that co-fund dual education systems or incentivize companies to host student apprentices </w:t>
      </w:r>
      <w:r w:rsidR="005E5835" w:rsidRPr="005E5835">
        <w:rPr>
          <w:rFonts w:ascii="Times New Roman" w:eastAsia="Times New Roman" w:hAnsi="Times New Roman" w:cs="Times New Roman"/>
          <w:sz w:val="28"/>
          <w:szCs w:val="28"/>
          <w:lang w:val="en-US"/>
        </w:rPr>
        <w:t>[37</w:t>
      </w:r>
      <w:r w:rsidR="009C0DDF">
        <w:rPr>
          <w:rFonts w:ascii="Times New Roman" w:eastAsia="Times New Roman" w:hAnsi="Times New Roman" w:cs="Times New Roman"/>
          <w:sz w:val="28"/>
          <w:szCs w:val="28"/>
          <w:lang w:val="kk-KZ"/>
        </w:rPr>
        <w:t>7</w:t>
      </w:r>
      <w:r w:rsidR="005E5835" w:rsidRPr="005E5835">
        <w:rPr>
          <w:rFonts w:ascii="Times New Roman" w:eastAsia="Times New Roman" w:hAnsi="Times New Roman" w:cs="Times New Roman"/>
          <w:sz w:val="28"/>
          <w:szCs w:val="28"/>
          <w:lang w:val="en-US"/>
        </w:rPr>
        <w:t xml:space="preserve">, </w:t>
      </w:r>
      <w:r w:rsidRPr="005E5835">
        <w:rPr>
          <w:rFonts w:ascii="Times New Roman" w:eastAsia="Times New Roman" w:hAnsi="Times New Roman" w:cs="Times New Roman"/>
          <w:sz w:val="28"/>
          <w:szCs w:val="28"/>
          <w:lang w:val="en-US"/>
        </w:rPr>
        <w:t>p. 11</w:t>
      </w:r>
      <w:r w:rsidR="005E5835" w:rsidRPr="005E5835">
        <w:rPr>
          <w:rFonts w:ascii="Times New Roman" w:eastAsia="Times New Roman" w:hAnsi="Times New Roman" w:cs="Times New Roman"/>
          <w:sz w:val="28"/>
          <w:szCs w:val="28"/>
          <w:lang w:val="en-US"/>
        </w:rPr>
        <w:t>]</w:t>
      </w:r>
      <w:r w:rsidRPr="005E5835">
        <w:rPr>
          <w:rFonts w:ascii="Times New Roman" w:eastAsia="Times New Roman" w:hAnsi="Times New Roman" w:cs="Times New Roman"/>
          <w:sz w:val="28"/>
          <w:szCs w:val="28"/>
          <w:lang w:val="en-US"/>
        </w:rPr>
        <w:t>.</w:t>
      </w:r>
      <w:r w:rsidRPr="00EF0A4F">
        <w:rPr>
          <w:rFonts w:ascii="Times New Roman" w:eastAsia="Times New Roman" w:hAnsi="Times New Roman" w:cs="Times New Roman"/>
          <w:sz w:val="28"/>
          <w:szCs w:val="28"/>
          <w:lang w:val="en-US"/>
        </w:rPr>
        <w:t xml:space="preserve"> Kazakhstan’s national strategy can benefit from adopting similar models, ensuring that practical experience becomes a structural component of tertiary education rather than an ad hoc opportunity.</w:t>
      </w:r>
    </w:p>
    <w:p w14:paraId="0CD95714" w14:textId="77777777" w:rsidR="00600C79" w:rsidRPr="00B15126" w:rsidRDefault="00600C79" w:rsidP="00600C79">
      <w:pPr>
        <w:spacing w:after="0" w:line="240" w:lineRule="auto"/>
        <w:ind w:firstLine="720"/>
        <w:contextualSpacing/>
        <w:jc w:val="both"/>
        <w:rPr>
          <w:rFonts w:ascii="Times New Roman" w:eastAsia="Times New Roman" w:hAnsi="Times New Roman" w:cs="Times New Roman"/>
          <w:i/>
          <w:iCs/>
          <w:sz w:val="28"/>
          <w:szCs w:val="28"/>
          <w:lang w:val="en-US"/>
        </w:rPr>
      </w:pPr>
      <w:r w:rsidRPr="00B15126">
        <w:rPr>
          <w:rFonts w:ascii="Times New Roman" w:eastAsia="Times New Roman" w:hAnsi="Times New Roman" w:cs="Times New Roman"/>
          <w:b/>
          <w:bCs/>
          <w:sz w:val="28"/>
          <w:szCs w:val="28"/>
          <w:lang w:val="en-US"/>
        </w:rPr>
        <w:t xml:space="preserve"> </w:t>
      </w:r>
      <w:r w:rsidRPr="00B15126">
        <w:rPr>
          <w:rFonts w:ascii="Times New Roman" w:eastAsia="Times New Roman" w:hAnsi="Times New Roman" w:cs="Times New Roman"/>
          <w:i/>
          <w:iCs/>
          <w:sz w:val="28"/>
          <w:szCs w:val="28"/>
          <w:lang w:val="en-US"/>
        </w:rPr>
        <w:t>Labor Market Alignment and Regional Innovation Policy</w:t>
      </w:r>
    </w:p>
    <w:p w14:paraId="08EE52B1" w14:textId="0C616010" w:rsidR="00600C79" w:rsidRPr="00207CAD" w:rsidRDefault="00600C79" w:rsidP="00600C79">
      <w:pPr>
        <w:pStyle w:val="a4"/>
        <w:spacing w:before="0" w:beforeAutospacing="0" w:after="0" w:afterAutospacing="0"/>
        <w:ind w:firstLine="720"/>
        <w:contextualSpacing/>
        <w:jc w:val="both"/>
        <w:rPr>
          <w:color w:val="0E101A"/>
          <w:sz w:val="28"/>
          <w:szCs w:val="28"/>
          <w:lang w:val="en-US"/>
        </w:rPr>
      </w:pPr>
      <w:r w:rsidRPr="00207CAD">
        <w:rPr>
          <w:color w:val="0E101A"/>
          <w:sz w:val="28"/>
          <w:szCs w:val="28"/>
          <w:lang w:val="en-US"/>
        </w:rPr>
        <w:t>Strategic labor market alignment is another pillar of graduate career development. According t</w:t>
      </w:r>
      <w:r w:rsidRPr="005E5835">
        <w:rPr>
          <w:color w:val="0E101A"/>
          <w:sz w:val="28"/>
          <w:szCs w:val="28"/>
          <w:lang w:val="en-US"/>
        </w:rPr>
        <w:t>o Li and Wu,</w:t>
      </w:r>
      <w:r w:rsidRPr="00207CAD">
        <w:rPr>
          <w:color w:val="0E101A"/>
          <w:sz w:val="28"/>
          <w:szCs w:val="28"/>
          <w:lang w:val="en-US"/>
        </w:rPr>
        <w:t xml:space="preserve"> R&amp;D investment aligned with regional development policies significantly improves local innovation outputs and employment indicators in China’s second—and third-tier cities </w:t>
      </w:r>
      <w:r w:rsidR="005E5835">
        <w:rPr>
          <w:color w:val="0E101A"/>
          <w:sz w:val="28"/>
          <w:szCs w:val="28"/>
          <w:lang w:val="en-US"/>
        </w:rPr>
        <w:t>[</w:t>
      </w:r>
      <w:r w:rsidR="005E5835" w:rsidRPr="005E5835">
        <w:rPr>
          <w:color w:val="0E101A"/>
          <w:sz w:val="28"/>
          <w:szCs w:val="28"/>
          <w:lang w:val="en-US"/>
        </w:rPr>
        <w:t>3</w:t>
      </w:r>
      <w:r w:rsidR="009C0DDF">
        <w:rPr>
          <w:color w:val="0E101A"/>
          <w:sz w:val="28"/>
          <w:szCs w:val="28"/>
          <w:lang w:val="kk-KZ"/>
        </w:rPr>
        <w:t>79</w:t>
      </w:r>
      <w:r w:rsidR="005E5835" w:rsidRPr="005E5835">
        <w:rPr>
          <w:color w:val="0E101A"/>
          <w:sz w:val="28"/>
          <w:szCs w:val="28"/>
          <w:lang w:val="en-US"/>
        </w:rPr>
        <w:t>,</w:t>
      </w:r>
      <w:r w:rsidR="005E5835">
        <w:rPr>
          <w:color w:val="0E101A"/>
          <w:sz w:val="28"/>
          <w:szCs w:val="28"/>
          <w:lang w:val="en-US"/>
        </w:rPr>
        <w:t xml:space="preserve"> </w:t>
      </w:r>
      <w:r w:rsidRPr="005E5835">
        <w:rPr>
          <w:color w:val="0E101A"/>
          <w:sz w:val="28"/>
          <w:szCs w:val="28"/>
          <w:lang w:val="en-US"/>
        </w:rPr>
        <w:t>pp. 4–6</w:t>
      </w:r>
      <w:r w:rsidR="005E5835" w:rsidRPr="005E5835">
        <w:rPr>
          <w:color w:val="0E101A"/>
          <w:sz w:val="28"/>
          <w:szCs w:val="28"/>
          <w:lang w:val="en-US"/>
        </w:rPr>
        <w:t>]</w:t>
      </w:r>
      <w:r w:rsidRPr="005E5835">
        <w:rPr>
          <w:color w:val="0E101A"/>
          <w:sz w:val="28"/>
          <w:szCs w:val="28"/>
          <w:lang w:val="en-US"/>
        </w:rPr>
        <w:t>.</w:t>
      </w:r>
      <w:r w:rsidRPr="00207CAD">
        <w:rPr>
          <w:color w:val="0E101A"/>
          <w:sz w:val="28"/>
          <w:szCs w:val="28"/>
          <w:lang w:val="en-US"/>
        </w:rPr>
        <w:t xml:space="preserve"> These outcomes are obvious when universities collaborate with local governments and SMEs on mission-oriented projects tailored to regional strengths.</w:t>
      </w:r>
    </w:p>
    <w:p w14:paraId="39E7098A" w14:textId="676AF6E7" w:rsidR="00600C79" w:rsidRPr="00207CAD" w:rsidRDefault="00600C79" w:rsidP="00600C79">
      <w:pPr>
        <w:pStyle w:val="a4"/>
        <w:spacing w:before="0" w:beforeAutospacing="0" w:after="0" w:afterAutospacing="0"/>
        <w:ind w:firstLine="720"/>
        <w:contextualSpacing/>
        <w:jc w:val="both"/>
        <w:rPr>
          <w:color w:val="0E101A"/>
          <w:sz w:val="28"/>
          <w:szCs w:val="28"/>
          <w:lang w:val="en-US"/>
        </w:rPr>
      </w:pPr>
      <w:r w:rsidRPr="00207CAD">
        <w:rPr>
          <w:color w:val="0E101A"/>
          <w:sz w:val="28"/>
          <w:szCs w:val="28"/>
          <w:lang w:val="en-US"/>
        </w:rPr>
        <w:t xml:space="preserve">In Kazakhstan, the imbalance between the number of graduates in specific disciplines and the availability of jobs in those areas suggests a disconnect between higher education planning and economic strategy. Although programs such as </w:t>
      </w:r>
      <w:r w:rsidRPr="00B4623F">
        <w:rPr>
          <w:i/>
          <w:iCs/>
          <w:sz w:val="28"/>
          <w:szCs w:val="28"/>
          <w:lang w:val="en-US"/>
        </w:rPr>
        <w:t>With a Diploma to the Village</w:t>
      </w:r>
      <w:r w:rsidRPr="00207CAD">
        <w:rPr>
          <w:color w:val="0E101A"/>
          <w:sz w:val="28"/>
          <w:szCs w:val="28"/>
          <w:lang w:val="en-US"/>
        </w:rPr>
        <w:t xml:space="preserve"> aim to redirect graduates to underserved sectors and regions, more systemic measures are required. As </w:t>
      </w:r>
      <w:proofErr w:type="spellStart"/>
      <w:r w:rsidRPr="005E5835">
        <w:rPr>
          <w:color w:val="0E101A"/>
          <w:sz w:val="28"/>
          <w:szCs w:val="28"/>
          <w:lang w:val="en-US"/>
        </w:rPr>
        <w:t>Zacharewicz</w:t>
      </w:r>
      <w:proofErr w:type="spellEnd"/>
      <w:r w:rsidRPr="005E5835">
        <w:rPr>
          <w:color w:val="0E101A"/>
          <w:sz w:val="28"/>
          <w:szCs w:val="28"/>
          <w:lang w:val="en-US"/>
        </w:rPr>
        <w:t xml:space="preserve"> et al.</w:t>
      </w:r>
      <w:r w:rsidR="005E5835">
        <w:rPr>
          <w:color w:val="0E101A"/>
          <w:sz w:val="28"/>
          <w:szCs w:val="28"/>
          <w:lang w:val="en-US"/>
        </w:rPr>
        <w:t xml:space="preserve"> </w:t>
      </w:r>
      <w:r w:rsidRPr="00207CAD">
        <w:rPr>
          <w:color w:val="0E101A"/>
          <w:sz w:val="28"/>
          <w:szCs w:val="28"/>
          <w:lang w:val="en-US"/>
        </w:rPr>
        <w:t xml:space="preserve">noted, alignment must be proactive—using data analytics and labor forecasting to adjust higher education funding, program capacity, and graduate incentives </w:t>
      </w:r>
      <w:r w:rsidR="005E5835">
        <w:rPr>
          <w:color w:val="0E101A"/>
          <w:sz w:val="28"/>
          <w:szCs w:val="28"/>
          <w:lang w:val="en-US"/>
        </w:rPr>
        <w:t>[37</w:t>
      </w:r>
      <w:r w:rsidR="009C0DDF">
        <w:rPr>
          <w:color w:val="0E101A"/>
          <w:sz w:val="28"/>
          <w:szCs w:val="28"/>
          <w:lang w:val="kk-KZ"/>
        </w:rPr>
        <w:t>7</w:t>
      </w:r>
      <w:r w:rsidR="005E5835">
        <w:rPr>
          <w:color w:val="0E101A"/>
          <w:sz w:val="28"/>
          <w:szCs w:val="28"/>
          <w:lang w:val="en-US"/>
        </w:rPr>
        <w:t xml:space="preserve">, </w:t>
      </w:r>
      <w:r w:rsidRPr="00207CAD">
        <w:rPr>
          <w:color w:val="0E101A"/>
          <w:sz w:val="28"/>
          <w:szCs w:val="28"/>
          <w:lang w:val="en-US"/>
        </w:rPr>
        <w:t>pp. 7–8</w:t>
      </w:r>
      <w:r w:rsidR="005E5835">
        <w:rPr>
          <w:color w:val="0E101A"/>
          <w:sz w:val="28"/>
          <w:szCs w:val="28"/>
          <w:lang w:val="en-US"/>
        </w:rPr>
        <w:t>]</w:t>
      </w:r>
      <w:r w:rsidRPr="00207CAD">
        <w:rPr>
          <w:color w:val="0E101A"/>
          <w:sz w:val="28"/>
          <w:szCs w:val="28"/>
          <w:lang w:val="en-US"/>
        </w:rPr>
        <w:t>.</w:t>
      </w:r>
    </w:p>
    <w:p w14:paraId="2C58DC2F" w14:textId="3BEA824E" w:rsidR="00F40BBC" w:rsidRDefault="00600C79" w:rsidP="00F40BBC">
      <w:pPr>
        <w:pStyle w:val="a4"/>
        <w:spacing w:before="0" w:beforeAutospacing="0" w:after="0" w:afterAutospacing="0"/>
        <w:ind w:firstLine="720"/>
        <w:contextualSpacing/>
        <w:jc w:val="both"/>
        <w:rPr>
          <w:color w:val="0E101A"/>
          <w:sz w:val="28"/>
          <w:szCs w:val="28"/>
          <w:lang w:val="en-US"/>
        </w:rPr>
      </w:pPr>
      <w:r w:rsidRPr="00207CAD">
        <w:rPr>
          <w:color w:val="0E101A"/>
          <w:sz w:val="28"/>
          <w:szCs w:val="28"/>
          <w:lang w:val="en-US"/>
        </w:rPr>
        <w:t xml:space="preserve">Policy solutions include the creation of regional innovation hubs and targeted funding for university-industry consortia working on localized challenges, such as </w:t>
      </w:r>
      <w:proofErr w:type="spellStart"/>
      <w:r w:rsidRPr="00207CAD">
        <w:rPr>
          <w:color w:val="0E101A"/>
          <w:sz w:val="28"/>
          <w:szCs w:val="28"/>
          <w:lang w:val="en-US"/>
        </w:rPr>
        <w:t>agri</w:t>
      </w:r>
      <w:proofErr w:type="spellEnd"/>
      <w:r w:rsidRPr="00207CAD">
        <w:rPr>
          <w:color w:val="0E101A"/>
          <w:sz w:val="28"/>
          <w:szCs w:val="28"/>
          <w:lang w:val="en-US"/>
        </w:rPr>
        <w:t xml:space="preserve">-tech, energy, or logistics. These solutions mirror European and East Asian models, where R&amp;D investment is spatially targeted to foster both research output and job creation </w:t>
      </w:r>
      <w:r w:rsidR="005E5835">
        <w:rPr>
          <w:color w:val="0E101A"/>
          <w:sz w:val="28"/>
          <w:szCs w:val="28"/>
          <w:lang w:val="en-US"/>
        </w:rPr>
        <w:t>[38</w:t>
      </w:r>
      <w:r w:rsidR="009C0DDF">
        <w:rPr>
          <w:color w:val="0E101A"/>
          <w:sz w:val="28"/>
          <w:szCs w:val="28"/>
          <w:lang w:val="kk-KZ"/>
        </w:rPr>
        <w:t>1</w:t>
      </w:r>
      <w:r w:rsidR="005E5835">
        <w:rPr>
          <w:color w:val="0E101A"/>
          <w:sz w:val="28"/>
          <w:szCs w:val="28"/>
          <w:lang w:val="en-US"/>
        </w:rPr>
        <w:t xml:space="preserve">, </w:t>
      </w:r>
      <w:r w:rsidRPr="005E5835">
        <w:rPr>
          <w:color w:val="0E101A"/>
          <w:sz w:val="28"/>
          <w:szCs w:val="28"/>
          <w:lang w:val="en-US"/>
        </w:rPr>
        <w:t>pp. 147–150</w:t>
      </w:r>
      <w:r w:rsidR="005E5835">
        <w:rPr>
          <w:color w:val="0E101A"/>
          <w:sz w:val="28"/>
          <w:szCs w:val="28"/>
          <w:lang w:val="en-US"/>
        </w:rPr>
        <w:t>]</w:t>
      </w:r>
      <w:r w:rsidRPr="00207CAD">
        <w:rPr>
          <w:color w:val="0E101A"/>
          <w:sz w:val="28"/>
          <w:szCs w:val="28"/>
          <w:lang w:val="en-US"/>
        </w:rPr>
        <w:t>.</w:t>
      </w:r>
    </w:p>
    <w:p w14:paraId="56987C21" w14:textId="77777777" w:rsidR="00F40BBC" w:rsidRDefault="00600C79" w:rsidP="00F40BBC">
      <w:pPr>
        <w:pStyle w:val="a4"/>
        <w:spacing w:before="0" w:beforeAutospacing="0" w:after="0" w:afterAutospacing="0"/>
        <w:ind w:firstLine="720"/>
        <w:contextualSpacing/>
        <w:jc w:val="both"/>
        <w:rPr>
          <w:i/>
          <w:iCs/>
          <w:sz w:val="28"/>
          <w:szCs w:val="28"/>
          <w:lang w:val="en-US"/>
        </w:rPr>
      </w:pPr>
      <w:r w:rsidRPr="00B15126">
        <w:rPr>
          <w:i/>
          <w:iCs/>
          <w:sz w:val="28"/>
          <w:szCs w:val="28"/>
          <w:lang w:val="en-US"/>
        </w:rPr>
        <w:lastRenderedPageBreak/>
        <w:t>Government Policies Supporting Academic Innovation and Graduate Career Development</w:t>
      </w:r>
    </w:p>
    <w:p w14:paraId="1133B823" w14:textId="108B99D0" w:rsidR="00600C79" w:rsidRPr="00F40BBC" w:rsidRDefault="00600C79" w:rsidP="00F40BBC">
      <w:pPr>
        <w:pStyle w:val="a4"/>
        <w:spacing w:before="0" w:beforeAutospacing="0" w:after="0" w:afterAutospacing="0"/>
        <w:ind w:firstLine="720"/>
        <w:contextualSpacing/>
        <w:jc w:val="both"/>
        <w:rPr>
          <w:i/>
          <w:iCs/>
          <w:sz w:val="28"/>
          <w:szCs w:val="28"/>
          <w:lang w:val="en-US"/>
        </w:rPr>
      </w:pPr>
      <w:r w:rsidRPr="00B15126">
        <w:rPr>
          <w:i/>
          <w:iCs/>
          <w:sz w:val="28"/>
          <w:szCs w:val="28"/>
          <w:lang w:val="en-US"/>
        </w:rPr>
        <w:t>Informal Hiring Structures and Institutional Career Services</w:t>
      </w:r>
    </w:p>
    <w:p w14:paraId="082BCEC4" w14:textId="406BDCDA" w:rsidR="00600C79" w:rsidRPr="00EF0A4F"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EF0A4F">
        <w:rPr>
          <w:rFonts w:ascii="Times New Roman" w:eastAsia="Times New Roman" w:hAnsi="Times New Roman" w:cs="Times New Roman"/>
          <w:sz w:val="28"/>
          <w:szCs w:val="28"/>
          <w:lang w:val="en-US"/>
        </w:rPr>
        <w:t>A persistent challenge in graduate employment outcomes is the influence of informal hiring structures. In many transitional economies, including Kazakhstan, employment pathways are often shaped by social capital—personal connections, referrals, and family networks—rather than transparent, competency-based processes</w:t>
      </w:r>
      <w:r w:rsidR="005E5835">
        <w:rPr>
          <w:rFonts w:ascii="Times New Roman" w:eastAsia="Times New Roman" w:hAnsi="Times New Roman" w:cs="Times New Roman"/>
          <w:sz w:val="28"/>
          <w:szCs w:val="28"/>
          <w:lang w:val="en-US"/>
        </w:rPr>
        <w:t xml:space="preserve"> [37</w:t>
      </w:r>
      <w:r w:rsidR="009C0DDF">
        <w:rPr>
          <w:rFonts w:ascii="Times New Roman" w:eastAsia="Times New Roman" w:hAnsi="Times New Roman" w:cs="Times New Roman"/>
          <w:sz w:val="28"/>
          <w:szCs w:val="28"/>
          <w:lang w:val="kk-KZ"/>
        </w:rPr>
        <w:t>5</w:t>
      </w:r>
      <w:r w:rsidR="005E5835">
        <w:rPr>
          <w:rFonts w:ascii="Times New Roman" w:eastAsia="Times New Roman" w:hAnsi="Times New Roman" w:cs="Times New Roman"/>
          <w:sz w:val="28"/>
          <w:szCs w:val="28"/>
          <w:lang w:val="en-US"/>
        </w:rPr>
        <w:t xml:space="preserve">, p. 105]. </w:t>
      </w:r>
      <w:r w:rsidRPr="00EF0A4F">
        <w:rPr>
          <w:rFonts w:ascii="Times New Roman" w:eastAsia="Times New Roman" w:hAnsi="Times New Roman" w:cs="Times New Roman"/>
          <w:sz w:val="28"/>
          <w:szCs w:val="28"/>
          <w:lang w:val="en-US"/>
        </w:rPr>
        <w:t>Although social networks help to build trust-based hiring, overreliance on them limits fair access and marginalizes qualified graduates without close ties to powerful networks.</w:t>
      </w:r>
    </w:p>
    <w:p w14:paraId="13A7E396" w14:textId="1438118D" w:rsidR="00600C79" w:rsidRPr="00EF0A4F"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EF0A4F">
        <w:rPr>
          <w:rFonts w:ascii="Times New Roman" w:eastAsia="Times New Roman" w:hAnsi="Times New Roman" w:cs="Times New Roman"/>
          <w:sz w:val="28"/>
          <w:szCs w:val="28"/>
          <w:lang w:val="en-US"/>
        </w:rPr>
        <w:t xml:space="preserve"> This situation emphasizes the need for adequately organized and well-funded university career centers. Institutions must provide all students consistent access to job preparation, employer networks, and placement opportunities. As </w:t>
      </w:r>
      <w:proofErr w:type="spellStart"/>
      <w:r w:rsidRPr="005E5835">
        <w:rPr>
          <w:rFonts w:ascii="Times New Roman" w:eastAsia="Times New Roman" w:hAnsi="Times New Roman" w:cs="Times New Roman"/>
          <w:sz w:val="28"/>
          <w:szCs w:val="28"/>
          <w:lang w:val="en-US"/>
        </w:rPr>
        <w:t>Huňady</w:t>
      </w:r>
      <w:proofErr w:type="spellEnd"/>
      <w:r w:rsidRPr="005E5835">
        <w:rPr>
          <w:rFonts w:ascii="Times New Roman" w:eastAsia="Times New Roman" w:hAnsi="Times New Roman" w:cs="Times New Roman"/>
          <w:sz w:val="28"/>
          <w:szCs w:val="28"/>
          <w:lang w:val="en-US"/>
        </w:rPr>
        <w:t xml:space="preserve"> et al.</w:t>
      </w:r>
      <w:r w:rsidR="005E5835">
        <w:rPr>
          <w:rFonts w:ascii="Times New Roman" w:eastAsia="Times New Roman" w:hAnsi="Times New Roman" w:cs="Times New Roman"/>
          <w:sz w:val="28"/>
          <w:szCs w:val="28"/>
          <w:lang w:val="en-US"/>
        </w:rPr>
        <w:t xml:space="preserve"> </w:t>
      </w:r>
      <w:r w:rsidRPr="00EF0A4F">
        <w:rPr>
          <w:rFonts w:ascii="Times New Roman" w:eastAsia="Times New Roman" w:hAnsi="Times New Roman" w:cs="Times New Roman"/>
          <w:sz w:val="28"/>
          <w:szCs w:val="28"/>
          <w:lang w:val="en-US"/>
        </w:rPr>
        <w:t xml:space="preserve">emphasize, universities that receive coordinated funding from government and business stakeholders are more likely to develop institutional infrastructure that supports student transition into employment </w:t>
      </w:r>
      <w:r w:rsidR="005E5835">
        <w:rPr>
          <w:rFonts w:ascii="Times New Roman" w:eastAsia="Times New Roman" w:hAnsi="Times New Roman" w:cs="Times New Roman"/>
          <w:sz w:val="28"/>
          <w:szCs w:val="28"/>
          <w:lang w:val="en-US"/>
        </w:rPr>
        <w:t>[37</w:t>
      </w:r>
      <w:r w:rsidR="009C0DDF">
        <w:rPr>
          <w:rFonts w:ascii="Times New Roman" w:eastAsia="Times New Roman" w:hAnsi="Times New Roman" w:cs="Times New Roman"/>
          <w:sz w:val="28"/>
          <w:szCs w:val="28"/>
          <w:lang w:val="kk-KZ"/>
        </w:rPr>
        <w:t>5</w:t>
      </w:r>
      <w:r w:rsidR="005E5835">
        <w:rPr>
          <w:rFonts w:ascii="Times New Roman" w:eastAsia="Times New Roman" w:hAnsi="Times New Roman" w:cs="Times New Roman"/>
          <w:sz w:val="28"/>
          <w:szCs w:val="28"/>
          <w:lang w:val="en-US"/>
        </w:rPr>
        <w:t xml:space="preserve">, </w:t>
      </w:r>
      <w:r w:rsidRPr="005E5835">
        <w:rPr>
          <w:rFonts w:ascii="Times New Roman" w:eastAsia="Times New Roman" w:hAnsi="Times New Roman" w:cs="Times New Roman"/>
          <w:sz w:val="28"/>
          <w:szCs w:val="28"/>
          <w:lang w:val="en-US"/>
        </w:rPr>
        <w:t>p. 106</w:t>
      </w:r>
      <w:r w:rsidR="005E5835">
        <w:rPr>
          <w:rFonts w:ascii="Times New Roman" w:eastAsia="Times New Roman" w:hAnsi="Times New Roman" w:cs="Times New Roman"/>
          <w:sz w:val="28"/>
          <w:szCs w:val="28"/>
          <w:lang w:val="en-US"/>
        </w:rPr>
        <w:t>]</w:t>
      </w:r>
      <w:r w:rsidRPr="005E5835">
        <w:rPr>
          <w:rFonts w:ascii="Times New Roman" w:eastAsia="Times New Roman" w:hAnsi="Times New Roman" w:cs="Times New Roman"/>
          <w:sz w:val="28"/>
          <w:szCs w:val="28"/>
          <w:lang w:val="en-US"/>
        </w:rPr>
        <w:t>.</w:t>
      </w:r>
    </w:p>
    <w:p w14:paraId="2AD2B5AE" w14:textId="77777777" w:rsidR="00600C79"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EF0A4F">
        <w:rPr>
          <w:rFonts w:ascii="Times New Roman" w:eastAsia="Times New Roman" w:hAnsi="Times New Roman" w:cs="Times New Roman"/>
          <w:sz w:val="28"/>
          <w:szCs w:val="28"/>
          <w:lang w:val="en-US"/>
        </w:rPr>
        <w:t>Government policy is facilitative by incentivizing universities to establish firm career services and formal job-matching platforms. As seen in several European countries, the development of centralized labor market portals enables students to navigate the job search process independently of informal connections. Moreover, ensuring equitable digital access and training in employment search strategies can mitigate the dominance of social capital as a gatekeeping mechanism in the labor market.</w:t>
      </w:r>
    </w:p>
    <w:p w14:paraId="709092EC" w14:textId="77777777" w:rsidR="00600C79" w:rsidRPr="00B15126" w:rsidRDefault="00600C79" w:rsidP="00600C79">
      <w:pPr>
        <w:spacing w:after="0" w:line="240" w:lineRule="auto"/>
        <w:ind w:firstLine="720"/>
        <w:contextualSpacing/>
        <w:jc w:val="both"/>
        <w:rPr>
          <w:rFonts w:ascii="Times New Roman" w:eastAsia="Times New Roman" w:hAnsi="Times New Roman" w:cs="Times New Roman"/>
          <w:i/>
          <w:iCs/>
          <w:sz w:val="28"/>
          <w:szCs w:val="28"/>
          <w:lang w:val="en-US"/>
        </w:rPr>
      </w:pPr>
      <w:r w:rsidRPr="00B15126">
        <w:rPr>
          <w:rFonts w:ascii="Times New Roman" w:eastAsia="Times New Roman" w:hAnsi="Times New Roman" w:cs="Times New Roman"/>
          <w:i/>
          <w:iCs/>
          <w:sz w:val="28"/>
          <w:szCs w:val="28"/>
          <w:lang w:val="en-US"/>
        </w:rPr>
        <w:t>Academic Innovation and Graduate Employment Readiness</w:t>
      </w:r>
    </w:p>
    <w:p w14:paraId="75616935" w14:textId="70F770A0" w:rsidR="00600C79" w:rsidRPr="00207CAD"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004FD7">
        <w:rPr>
          <w:rFonts w:ascii="Times New Roman" w:eastAsia="Times New Roman" w:hAnsi="Times New Roman" w:cs="Times New Roman"/>
          <w:sz w:val="28"/>
          <w:szCs w:val="28"/>
          <w:lang w:val="en-US"/>
        </w:rPr>
        <w:t xml:space="preserve">Evidence from multiple country contexts suggests that student engagement in research, innovation, and entrepreneurship during university correlates with improved employment outcomes. Participation in research teams, prototype </w:t>
      </w:r>
      <w:r w:rsidRPr="00207CAD">
        <w:rPr>
          <w:rFonts w:ascii="Times New Roman" w:eastAsia="Times New Roman" w:hAnsi="Times New Roman" w:cs="Times New Roman"/>
          <w:sz w:val="28"/>
          <w:szCs w:val="28"/>
          <w:lang w:val="en-US"/>
        </w:rPr>
        <w:t xml:space="preserve">development, or student startup incubators builds competencies aligned with employer expectations—problem-solving, adaptability, and collaboration </w:t>
      </w:r>
      <w:r w:rsidR="005E5835">
        <w:rPr>
          <w:rFonts w:ascii="Times New Roman" w:eastAsia="Times New Roman" w:hAnsi="Times New Roman" w:cs="Times New Roman"/>
          <w:sz w:val="28"/>
          <w:szCs w:val="28"/>
          <w:lang w:val="en-US"/>
        </w:rPr>
        <w:t>[37</w:t>
      </w:r>
      <w:r w:rsidR="009C0DDF">
        <w:rPr>
          <w:rFonts w:ascii="Times New Roman" w:eastAsia="Times New Roman" w:hAnsi="Times New Roman" w:cs="Times New Roman"/>
          <w:sz w:val="28"/>
          <w:szCs w:val="28"/>
          <w:lang w:val="kk-KZ"/>
        </w:rPr>
        <w:t>7</w:t>
      </w:r>
      <w:r w:rsidRPr="005E5835">
        <w:rPr>
          <w:rFonts w:ascii="Times New Roman" w:eastAsia="Times New Roman" w:hAnsi="Times New Roman" w:cs="Times New Roman"/>
          <w:sz w:val="28"/>
          <w:szCs w:val="28"/>
          <w:lang w:val="en-US"/>
        </w:rPr>
        <w:t>, p. 10</w:t>
      </w:r>
      <w:r w:rsidR="005E5835" w:rsidRPr="005E5835">
        <w:rPr>
          <w:rFonts w:ascii="Times New Roman" w:eastAsia="Times New Roman" w:hAnsi="Times New Roman" w:cs="Times New Roman"/>
          <w:sz w:val="28"/>
          <w:szCs w:val="28"/>
          <w:lang w:val="en-US"/>
        </w:rPr>
        <w:t>]</w:t>
      </w:r>
      <w:r w:rsidRPr="005E5835">
        <w:rPr>
          <w:rFonts w:ascii="Times New Roman" w:eastAsia="Times New Roman" w:hAnsi="Times New Roman" w:cs="Times New Roman"/>
          <w:sz w:val="28"/>
          <w:szCs w:val="28"/>
          <w:lang w:val="en-US"/>
        </w:rPr>
        <w:t>.</w:t>
      </w:r>
      <w:r w:rsidR="005E5835">
        <w:rPr>
          <w:rFonts w:ascii="Times New Roman" w:eastAsia="Times New Roman" w:hAnsi="Times New Roman" w:cs="Times New Roman"/>
          <w:sz w:val="28"/>
          <w:szCs w:val="28"/>
          <w:lang w:val="en-US"/>
        </w:rPr>
        <w:t xml:space="preserve"> </w:t>
      </w:r>
      <w:r w:rsidRPr="00207CAD">
        <w:rPr>
          <w:rFonts w:ascii="Times New Roman" w:eastAsia="Times New Roman" w:hAnsi="Times New Roman" w:cs="Times New Roman"/>
          <w:sz w:val="28"/>
          <w:szCs w:val="28"/>
          <w:lang w:val="en-US"/>
        </w:rPr>
        <w:t>In economies aiming to shift toward high-value-added sectors, these competencies become critical.</w:t>
      </w:r>
    </w:p>
    <w:p w14:paraId="350E11A9" w14:textId="322D6F41" w:rsidR="00600C79" w:rsidRPr="00207CAD"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5E5835">
        <w:rPr>
          <w:rFonts w:ascii="Times New Roman" w:eastAsia="Times New Roman" w:hAnsi="Times New Roman" w:cs="Times New Roman"/>
          <w:sz w:val="28"/>
          <w:szCs w:val="28"/>
          <w:lang w:val="en-US"/>
        </w:rPr>
        <w:t>Belin et al.</w:t>
      </w:r>
      <w:r w:rsidR="005E5835">
        <w:rPr>
          <w:rFonts w:ascii="Times New Roman" w:eastAsia="Times New Roman" w:hAnsi="Times New Roman" w:cs="Times New Roman"/>
          <w:sz w:val="28"/>
          <w:szCs w:val="28"/>
          <w:lang w:val="en-US"/>
        </w:rPr>
        <w:t xml:space="preserve"> </w:t>
      </w:r>
      <w:r w:rsidRPr="00207CAD">
        <w:rPr>
          <w:rFonts w:ascii="Times New Roman" w:eastAsia="Times New Roman" w:hAnsi="Times New Roman" w:cs="Times New Roman"/>
          <w:sz w:val="28"/>
          <w:szCs w:val="28"/>
          <w:lang w:val="en-US"/>
        </w:rPr>
        <w:t xml:space="preserve">observed that firms in France’s </w:t>
      </w:r>
      <w:proofErr w:type="spellStart"/>
      <w:r w:rsidRPr="00207CAD">
        <w:rPr>
          <w:rFonts w:ascii="Times New Roman" w:eastAsia="Times New Roman" w:hAnsi="Times New Roman" w:cs="Times New Roman"/>
          <w:sz w:val="28"/>
          <w:szCs w:val="28"/>
          <w:lang w:val="en-US"/>
        </w:rPr>
        <w:t>defence</w:t>
      </w:r>
      <w:proofErr w:type="spellEnd"/>
      <w:r w:rsidRPr="00207CAD">
        <w:rPr>
          <w:rFonts w:ascii="Times New Roman" w:eastAsia="Times New Roman" w:hAnsi="Times New Roman" w:cs="Times New Roman"/>
          <w:sz w:val="28"/>
          <w:szCs w:val="28"/>
          <w:lang w:val="en-US"/>
        </w:rPr>
        <w:t xml:space="preserve"> sector adapted to funding shifts by enhancing collaboration with universities and absorbing research-trained graduates into innovation teams</w:t>
      </w:r>
      <w:r w:rsidR="005E5835">
        <w:rPr>
          <w:rFonts w:ascii="Times New Roman" w:eastAsia="Times New Roman" w:hAnsi="Times New Roman" w:cs="Times New Roman"/>
          <w:sz w:val="28"/>
          <w:szCs w:val="28"/>
          <w:lang w:val="en-US"/>
        </w:rPr>
        <w:t xml:space="preserve"> [38</w:t>
      </w:r>
      <w:r w:rsidR="009C0DDF">
        <w:rPr>
          <w:rFonts w:ascii="Times New Roman" w:eastAsia="Times New Roman" w:hAnsi="Times New Roman" w:cs="Times New Roman"/>
          <w:sz w:val="28"/>
          <w:szCs w:val="28"/>
          <w:lang w:val="kk-KZ"/>
        </w:rPr>
        <w:t>1</w:t>
      </w:r>
      <w:r w:rsidR="005E5835">
        <w:rPr>
          <w:rFonts w:ascii="Times New Roman" w:eastAsia="Times New Roman" w:hAnsi="Times New Roman" w:cs="Times New Roman"/>
          <w:sz w:val="28"/>
          <w:szCs w:val="28"/>
          <w:lang w:val="en-US"/>
        </w:rPr>
        <w:t xml:space="preserve">, </w:t>
      </w:r>
      <w:r w:rsidRPr="005E5835">
        <w:rPr>
          <w:rFonts w:ascii="Times New Roman" w:eastAsia="Times New Roman" w:hAnsi="Times New Roman" w:cs="Times New Roman"/>
          <w:sz w:val="28"/>
          <w:szCs w:val="28"/>
          <w:lang w:val="en-US"/>
        </w:rPr>
        <w:t>pp. 147–150</w:t>
      </w:r>
      <w:r w:rsidR="005E5835" w:rsidRPr="005E5835">
        <w:rPr>
          <w:rFonts w:ascii="Times New Roman" w:eastAsia="Times New Roman" w:hAnsi="Times New Roman" w:cs="Times New Roman"/>
          <w:sz w:val="28"/>
          <w:szCs w:val="28"/>
          <w:lang w:val="en-US"/>
        </w:rPr>
        <w:t>]</w:t>
      </w:r>
      <w:r w:rsidRPr="005E5835">
        <w:rPr>
          <w:rFonts w:ascii="Times New Roman" w:eastAsia="Times New Roman" w:hAnsi="Times New Roman" w:cs="Times New Roman"/>
          <w:sz w:val="28"/>
          <w:szCs w:val="28"/>
          <w:lang w:val="en-US"/>
        </w:rPr>
        <w:t>.</w:t>
      </w:r>
      <w:r w:rsidRPr="00207CAD">
        <w:rPr>
          <w:rFonts w:ascii="Times New Roman" w:eastAsia="Times New Roman" w:hAnsi="Times New Roman" w:cs="Times New Roman"/>
          <w:sz w:val="28"/>
          <w:szCs w:val="28"/>
          <w:lang w:val="en-US"/>
        </w:rPr>
        <w:t xml:space="preserve"> Similarly, </w:t>
      </w:r>
      <w:r w:rsidRPr="005E5835">
        <w:rPr>
          <w:rFonts w:ascii="Times New Roman" w:eastAsia="Times New Roman" w:hAnsi="Times New Roman" w:cs="Times New Roman"/>
          <w:sz w:val="28"/>
          <w:szCs w:val="28"/>
          <w:lang w:val="en-US"/>
        </w:rPr>
        <w:t>Li and Wu</w:t>
      </w:r>
      <w:r w:rsidRPr="00207CAD">
        <w:rPr>
          <w:rFonts w:ascii="Times New Roman" w:eastAsia="Times New Roman" w:hAnsi="Times New Roman" w:cs="Times New Roman"/>
          <w:sz w:val="28"/>
          <w:szCs w:val="28"/>
          <w:lang w:val="en-US"/>
        </w:rPr>
        <w:t xml:space="preserve"> found that Chinese municipalities with higher R&amp;D absorption capacity saw better labor market outcomes among innovation-active youth </w:t>
      </w:r>
      <w:r w:rsidR="005E5835">
        <w:rPr>
          <w:rFonts w:ascii="Times New Roman" w:eastAsia="Times New Roman" w:hAnsi="Times New Roman" w:cs="Times New Roman"/>
          <w:sz w:val="28"/>
          <w:szCs w:val="28"/>
          <w:lang w:val="en-US"/>
        </w:rPr>
        <w:t>[3</w:t>
      </w:r>
      <w:r w:rsidR="009C0DDF">
        <w:rPr>
          <w:rFonts w:ascii="Times New Roman" w:eastAsia="Times New Roman" w:hAnsi="Times New Roman" w:cs="Times New Roman"/>
          <w:sz w:val="28"/>
          <w:szCs w:val="28"/>
          <w:lang w:val="kk-KZ"/>
        </w:rPr>
        <w:t>79</w:t>
      </w:r>
      <w:r w:rsidR="005E5835">
        <w:rPr>
          <w:rFonts w:ascii="Times New Roman" w:eastAsia="Times New Roman" w:hAnsi="Times New Roman" w:cs="Times New Roman"/>
          <w:sz w:val="28"/>
          <w:szCs w:val="28"/>
          <w:lang w:val="en-US"/>
        </w:rPr>
        <w:t xml:space="preserve">, </w:t>
      </w:r>
      <w:r w:rsidRPr="005E5835">
        <w:rPr>
          <w:rFonts w:ascii="Times New Roman" w:eastAsia="Times New Roman" w:hAnsi="Times New Roman" w:cs="Times New Roman"/>
          <w:sz w:val="28"/>
          <w:szCs w:val="28"/>
          <w:lang w:val="en-US"/>
        </w:rPr>
        <w:t>p. 6</w:t>
      </w:r>
      <w:r w:rsidR="005E5835">
        <w:rPr>
          <w:rFonts w:ascii="Times New Roman" w:eastAsia="Times New Roman" w:hAnsi="Times New Roman" w:cs="Times New Roman"/>
          <w:sz w:val="28"/>
          <w:szCs w:val="28"/>
          <w:lang w:val="en-US"/>
        </w:rPr>
        <w:t>]</w:t>
      </w:r>
      <w:r w:rsidRPr="005E5835">
        <w:rPr>
          <w:rFonts w:ascii="Times New Roman" w:eastAsia="Times New Roman" w:hAnsi="Times New Roman" w:cs="Times New Roman"/>
          <w:sz w:val="28"/>
          <w:szCs w:val="28"/>
          <w:lang w:val="en-US"/>
        </w:rPr>
        <w:t>.</w:t>
      </w:r>
      <w:r w:rsidR="005E5835">
        <w:rPr>
          <w:rFonts w:ascii="Times New Roman" w:eastAsia="Times New Roman" w:hAnsi="Times New Roman" w:cs="Times New Roman"/>
          <w:sz w:val="28"/>
          <w:szCs w:val="28"/>
          <w:lang w:val="en-US"/>
        </w:rPr>
        <w:t xml:space="preserve"> </w:t>
      </w:r>
    </w:p>
    <w:p w14:paraId="77C86086" w14:textId="77777777" w:rsidR="00600C79" w:rsidRPr="00207CAD" w:rsidRDefault="00600C79" w:rsidP="00600C79">
      <w:pPr>
        <w:spacing w:after="0" w:line="240" w:lineRule="auto"/>
        <w:ind w:firstLine="720"/>
        <w:contextualSpacing/>
        <w:jc w:val="both"/>
        <w:rPr>
          <w:rFonts w:ascii="Times New Roman" w:eastAsia="Times New Roman" w:hAnsi="Times New Roman" w:cs="Times New Roman"/>
          <w:sz w:val="28"/>
          <w:szCs w:val="28"/>
          <w:lang w:val="en-US"/>
        </w:rPr>
      </w:pPr>
      <w:r w:rsidRPr="00207CAD">
        <w:rPr>
          <w:rFonts w:ascii="Times New Roman" w:eastAsia="Times New Roman" w:hAnsi="Times New Roman" w:cs="Times New Roman"/>
          <w:sz w:val="28"/>
          <w:szCs w:val="28"/>
          <w:lang w:val="en-US"/>
        </w:rPr>
        <w:t>In Kazakhstan, strengthening the research and entrepreneurship environment within universities would advance national innovation goals and directly contribute to graduate employability. Current gaps—such as limited seed funding, lack of commercialization training, and fragmented university-industry partnerships—can be addressed through mission-driven grants and incubation support that prioritizes student participation.</w:t>
      </w:r>
    </w:p>
    <w:p w14:paraId="0F030648" w14:textId="0DFD5A15" w:rsidR="00021F3D" w:rsidRPr="00021F3D" w:rsidRDefault="00600C79" w:rsidP="00C02FF7">
      <w:pPr>
        <w:spacing w:after="0" w:line="240" w:lineRule="auto"/>
        <w:ind w:firstLine="720"/>
        <w:contextualSpacing/>
        <w:jc w:val="both"/>
        <w:rPr>
          <w:rStyle w:val="a6"/>
          <w:rFonts w:ascii="Times New Roman" w:eastAsia="Times New Roman" w:hAnsi="Times New Roman" w:cs="Times New Roman"/>
          <w:b w:val="0"/>
          <w:bCs w:val="0"/>
          <w:sz w:val="28"/>
          <w:szCs w:val="28"/>
          <w:lang w:val="en-US"/>
        </w:rPr>
      </w:pPr>
      <w:r w:rsidRPr="00207CAD">
        <w:rPr>
          <w:rFonts w:ascii="Times New Roman" w:eastAsia="Times New Roman" w:hAnsi="Times New Roman" w:cs="Times New Roman"/>
          <w:sz w:val="28"/>
          <w:szCs w:val="28"/>
          <w:lang w:val="en-US"/>
        </w:rPr>
        <w:t xml:space="preserve">Internationally, models like Singapore’s One-North hub or Korea’s ITR&amp;D programs show how governments can support university-led ecosystems where </w:t>
      </w:r>
      <w:r w:rsidRPr="00207CAD">
        <w:rPr>
          <w:rFonts w:ascii="Times New Roman" w:eastAsia="Times New Roman" w:hAnsi="Times New Roman" w:cs="Times New Roman"/>
          <w:sz w:val="28"/>
          <w:szCs w:val="28"/>
          <w:lang w:val="en-US"/>
        </w:rPr>
        <w:lastRenderedPageBreak/>
        <w:t xml:space="preserve">innovation becomes a career-launching platform </w:t>
      </w:r>
      <w:r w:rsidR="00402A17">
        <w:rPr>
          <w:rFonts w:ascii="Times New Roman" w:eastAsia="Times New Roman" w:hAnsi="Times New Roman" w:cs="Times New Roman"/>
          <w:sz w:val="28"/>
          <w:szCs w:val="28"/>
          <w:lang w:val="en-US"/>
        </w:rPr>
        <w:t>[37</w:t>
      </w:r>
      <w:r w:rsidR="009C0DDF">
        <w:rPr>
          <w:rFonts w:ascii="Times New Roman" w:eastAsia="Times New Roman" w:hAnsi="Times New Roman" w:cs="Times New Roman"/>
          <w:sz w:val="28"/>
          <w:szCs w:val="28"/>
          <w:lang w:val="kk-KZ"/>
        </w:rPr>
        <w:t>7</w:t>
      </w:r>
      <w:r w:rsidR="00402A17">
        <w:rPr>
          <w:rFonts w:ascii="Times New Roman" w:eastAsia="Times New Roman" w:hAnsi="Times New Roman" w:cs="Times New Roman"/>
          <w:sz w:val="28"/>
          <w:szCs w:val="28"/>
          <w:lang w:val="en-US"/>
        </w:rPr>
        <w:t xml:space="preserve">, pp. 11-12]. </w:t>
      </w:r>
      <w:r w:rsidRPr="00207CAD">
        <w:rPr>
          <w:rFonts w:ascii="Times New Roman" w:eastAsia="Times New Roman" w:hAnsi="Times New Roman" w:cs="Times New Roman"/>
          <w:sz w:val="28"/>
          <w:szCs w:val="28"/>
          <w:lang w:val="en-US"/>
        </w:rPr>
        <w:t>Adapting these lessons to Kazakhstan’s institutional context could accelerate the alignment between academic innovation and labor market inclusion</w:t>
      </w:r>
    </w:p>
    <w:p w14:paraId="7AA070F2" w14:textId="32DEE757" w:rsidR="00600C79" w:rsidRPr="00C02FF7" w:rsidRDefault="00600C79" w:rsidP="00600C79">
      <w:pPr>
        <w:spacing w:after="0" w:line="240" w:lineRule="auto"/>
        <w:ind w:firstLine="720"/>
        <w:contextualSpacing/>
        <w:jc w:val="both"/>
        <w:rPr>
          <w:rFonts w:ascii="Times New Roman" w:hAnsi="Times New Roman" w:cs="Times New Roman"/>
          <w:b/>
          <w:bCs/>
          <w:i/>
          <w:iCs/>
          <w:sz w:val="28"/>
          <w:szCs w:val="28"/>
          <w:lang w:val="en-US"/>
        </w:rPr>
      </w:pPr>
      <w:r w:rsidRPr="00C02FF7">
        <w:rPr>
          <w:rStyle w:val="a6"/>
          <w:rFonts w:ascii="Times New Roman" w:hAnsi="Times New Roman" w:cs="Times New Roman"/>
          <w:b w:val="0"/>
          <w:bCs w:val="0"/>
          <w:i/>
          <w:iCs/>
          <w:sz w:val="28"/>
          <w:szCs w:val="28"/>
          <w:lang w:val="en-US"/>
        </w:rPr>
        <w:t>Conclusion and Policy Recommendations</w:t>
      </w:r>
    </w:p>
    <w:p w14:paraId="7819EF8B" w14:textId="52D54BD5" w:rsidR="00600C79" w:rsidRPr="00207CAD" w:rsidRDefault="00600C79" w:rsidP="00600C79">
      <w:pPr>
        <w:spacing w:after="0" w:line="240" w:lineRule="auto"/>
        <w:ind w:firstLine="720"/>
        <w:contextualSpacing/>
        <w:jc w:val="both"/>
        <w:rPr>
          <w:rFonts w:ascii="Times New Roman" w:hAnsi="Times New Roman" w:cs="Times New Roman"/>
          <w:sz w:val="28"/>
          <w:szCs w:val="28"/>
          <w:lang w:val="en-US"/>
        </w:rPr>
      </w:pPr>
      <w:r w:rsidRPr="00207CAD">
        <w:rPr>
          <w:rFonts w:ascii="Times New Roman" w:hAnsi="Times New Roman" w:cs="Times New Roman"/>
          <w:sz w:val="28"/>
          <w:szCs w:val="28"/>
          <w:lang w:val="en-US"/>
        </w:rPr>
        <w:t xml:space="preserve">The changing function of universities inside national innovation systems emphasizes the requirement of cohesive government policies combining academic innovation with labor market development. As the Triple Helix model advises, sustainable innovation results from the dynamic interplay of universities, business, and government </w:t>
      </w:r>
      <w:r w:rsidR="00402A17">
        <w:rPr>
          <w:rFonts w:ascii="Times New Roman" w:hAnsi="Times New Roman" w:cs="Times New Roman"/>
          <w:sz w:val="28"/>
          <w:szCs w:val="28"/>
          <w:lang w:val="en-US"/>
        </w:rPr>
        <w:t xml:space="preserve">[28, pp. 112-113]. </w:t>
      </w:r>
      <w:r w:rsidRPr="00207CAD">
        <w:rPr>
          <w:rFonts w:ascii="Times New Roman" w:hAnsi="Times New Roman" w:cs="Times New Roman"/>
          <w:sz w:val="28"/>
          <w:szCs w:val="28"/>
          <w:lang w:val="en-US"/>
        </w:rPr>
        <w:t>In Kazakhstan, while policy efforts have increased R&amp;D investment and sought to enhance graduate employability, key challenges remain—particularly in aligning educational outputs with labor market demands and developing institutional support systems for student innovation and entrepreneurship.</w:t>
      </w:r>
    </w:p>
    <w:p w14:paraId="16079C9D" w14:textId="49FB025E" w:rsidR="00600C79" w:rsidRDefault="00600C79" w:rsidP="00600C79">
      <w:pPr>
        <w:spacing w:after="0" w:line="240" w:lineRule="auto"/>
        <w:ind w:firstLine="720"/>
        <w:contextualSpacing/>
        <w:jc w:val="both"/>
        <w:rPr>
          <w:rFonts w:ascii="Times New Roman" w:hAnsi="Times New Roman" w:cs="Times New Roman"/>
          <w:sz w:val="28"/>
          <w:szCs w:val="28"/>
          <w:lang w:val="en-US"/>
        </w:rPr>
      </w:pPr>
      <w:r w:rsidRPr="00207CAD">
        <w:rPr>
          <w:rFonts w:ascii="Times New Roman" w:hAnsi="Times New Roman" w:cs="Times New Roman"/>
          <w:sz w:val="28"/>
          <w:szCs w:val="28"/>
          <w:lang w:val="en-US"/>
        </w:rPr>
        <w:t xml:space="preserve">Public policy must address structural gaps that weaken innovation capacity and hinder graduate transition into employment. International examples provide valuable insight: the clustering of R&amp;D and employment strategies in regional innovation </w:t>
      </w:r>
      <w:r w:rsidRPr="00402A17">
        <w:rPr>
          <w:rFonts w:ascii="Times New Roman" w:hAnsi="Times New Roman" w:cs="Times New Roman"/>
          <w:sz w:val="28"/>
          <w:szCs w:val="28"/>
          <w:lang w:val="en-US"/>
        </w:rPr>
        <w:t xml:space="preserve">hubs </w:t>
      </w:r>
      <w:r w:rsidR="00402A17" w:rsidRPr="00402A17">
        <w:rPr>
          <w:rFonts w:ascii="Times New Roman" w:hAnsi="Times New Roman" w:cs="Times New Roman"/>
          <w:sz w:val="28"/>
          <w:szCs w:val="28"/>
          <w:lang w:val="en-US"/>
        </w:rPr>
        <w:t>[3</w:t>
      </w:r>
      <w:r w:rsidR="009C0DDF">
        <w:rPr>
          <w:rFonts w:ascii="Times New Roman" w:hAnsi="Times New Roman" w:cs="Times New Roman"/>
          <w:sz w:val="28"/>
          <w:szCs w:val="28"/>
          <w:lang w:val="kk-KZ"/>
        </w:rPr>
        <w:t>79</w:t>
      </w:r>
      <w:r w:rsidR="00402A17" w:rsidRPr="00402A17">
        <w:rPr>
          <w:rFonts w:ascii="Times New Roman" w:hAnsi="Times New Roman" w:cs="Times New Roman"/>
          <w:sz w:val="28"/>
          <w:szCs w:val="28"/>
          <w:lang w:val="en-US"/>
        </w:rPr>
        <w:t>, pp. 4-6]</w:t>
      </w:r>
      <w:r w:rsidRPr="00207CAD">
        <w:rPr>
          <w:rFonts w:ascii="Times New Roman" w:hAnsi="Times New Roman" w:cs="Times New Roman"/>
          <w:sz w:val="28"/>
          <w:szCs w:val="28"/>
          <w:lang w:val="en-US"/>
        </w:rPr>
        <w:t xml:space="preserve">, coordinated funding across institutional boundaries </w:t>
      </w:r>
      <w:r w:rsidR="00402A17">
        <w:rPr>
          <w:rFonts w:ascii="Times New Roman" w:hAnsi="Times New Roman" w:cs="Times New Roman"/>
          <w:sz w:val="28"/>
          <w:szCs w:val="28"/>
          <w:lang w:val="en-US"/>
        </w:rPr>
        <w:t>[37</w:t>
      </w:r>
      <w:r w:rsidR="009C0DDF">
        <w:rPr>
          <w:rFonts w:ascii="Times New Roman" w:hAnsi="Times New Roman" w:cs="Times New Roman"/>
          <w:sz w:val="28"/>
          <w:szCs w:val="28"/>
          <w:lang w:val="kk-KZ"/>
        </w:rPr>
        <w:t>5</w:t>
      </w:r>
      <w:r w:rsidRPr="00402A17">
        <w:rPr>
          <w:rFonts w:ascii="Times New Roman" w:hAnsi="Times New Roman" w:cs="Times New Roman"/>
          <w:sz w:val="28"/>
          <w:szCs w:val="28"/>
          <w:lang w:val="en-US"/>
        </w:rPr>
        <w:t>, p. 103</w:t>
      </w:r>
      <w:r w:rsidR="00402A17" w:rsidRPr="00402A17">
        <w:rPr>
          <w:rFonts w:ascii="Times New Roman" w:hAnsi="Times New Roman" w:cs="Times New Roman"/>
          <w:sz w:val="28"/>
          <w:szCs w:val="28"/>
          <w:lang w:val="en-US"/>
        </w:rPr>
        <w:t>]</w:t>
      </w:r>
      <w:r w:rsidRPr="00402A17">
        <w:rPr>
          <w:rFonts w:ascii="Times New Roman" w:hAnsi="Times New Roman" w:cs="Times New Roman"/>
          <w:sz w:val="28"/>
          <w:szCs w:val="28"/>
          <w:lang w:val="en-US"/>
        </w:rPr>
        <w:t>,</w:t>
      </w:r>
      <w:r w:rsidRPr="00207CAD">
        <w:rPr>
          <w:rFonts w:ascii="Times New Roman" w:hAnsi="Times New Roman" w:cs="Times New Roman"/>
          <w:sz w:val="28"/>
          <w:szCs w:val="28"/>
          <w:lang w:val="en-US"/>
        </w:rPr>
        <w:t xml:space="preserve"> and institutional incentives for university-based commercialization and graduate startups </w:t>
      </w:r>
      <w:r w:rsidR="00402A17">
        <w:rPr>
          <w:rFonts w:ascii="Times New Roman" w:hAnsi="Times New Roman" w:cs="Times New Roman"/>
          <w:sz w:val="28"/>
          <w:szCs w:val="28"/>
          <w:lang w:val="en-US"/>
        </w:rPr>
        <w:t>[37</w:t>
      </w:r>
      <w:r w:rsidR="009C0DDF">
        <w:rPr>
          <w:rFonts w:ascii="Times New Roman" w:hAnsi="Times New Roman" w:cs="Times New Roman"/>
          <w:sz w:val="28"/>
          <w:szCs w:val="28"/>
          <w:lang w:val="kk-KZ"/>
        </w:rPr>
        <w:t>7</w:t>
      </w:r>
      <w:r w:rsidRPr="00402A17">
        <w:rPr>
          <w:rFonts w:ascii="Times New Roman" w:hAnsi="Times New Roman" w:cs="Times New Roman"/>
          <w:sz w:val="28"/>
          <w:szCs w:val="28"/>
          <w:lang w:val="en-US"/>
        </w:rPr>
        <w:t>, p. 11</w:t>
      </w:r>
      <w:r w:rsidR="00402A17">
        <w:rPr>
          <w:rFonts w:ascii="Times New Roman" w:hAnsi="Times New Roman" w:cs="Times New Roman"/>
          <w:sz w:val="28"/>
          <w:szCs w:val="28"/>
          <w:lang w:val="en-US"/>
        </w:rPr>
        <w:t xml:space="preserve">] </w:t>
      </w:r>
      <w:r w:rsidRPr="00207CAD">
        <w:rPr>
          <w:rFonts w:ascii="Times New Roman" w:hAnsi="Times New Roman" w:cs="Times New Roman"/>
          <w:sz w:val="28"/>
          <w:szCs w:val="28"/>
          <w:lang w:val="en-US"/>
        </w:rPr>
        <w:t>all illustrate effective mechanisms for aligning innovation ecosystems with human capital development.</w:t>
      </w:r>
    </w:p>
    <w:p w14:paraId="3D0FE2EA" w14:textId="77777777" w:rsidR="00600C79" w:rsidRPr="00BB75CA" w:rsidRDefault="00600C79" w:rsidP="00600C79">
      <w:pPr>
        <w:spacing w:after="0" w:line="240" w:lineRule="auto"/>
        <w:ind w:firstLine="720"/>
        <w:contextualSpacing/>
        <w:jc w:val="both"/>
        <w:rPr>
          <w:rStyle w:val="a6"/>
          <w:rFonts w:ascii="Times New Roman" w:hAnsi="Times New Roman" w:cs="Times New Roman"/>
          <w:b w:val="0"/>
          <w:bCs w:val="0"/>
          <w:i/>
          <w:iCs/>
          <w:sz w:val="28"/>
          <w:szCs w:val="28"/>
          <w:lang w:val="en-US"/>
        </w:rPr>
      </w:pPr>
      <w:r w:rsidRPr="00BB75CA">
        <w:rPr>
          <w:rStyle w:val="a6"/>
          <w:rFonts w:ascii="Times New Roman" w:hAnsi="Times New Roman" w:cs="Times New Roman"/>
          <w:b w:val="0"/>
          <w:bCs w:val="0"/>
          <w:i/>
          <w:iCs/>
          <w:sz w:val="28"/>
          <w:szCs w:val="28"/>
          <w:lang w:val="en-US"/>
        </w:rPr>
        <w:t xml:space="preserve">Policy Recommendations for Kazakhstan: </w:t>
      </w:r>
    </w:p>
    <w:p w14:paraId="25810779" w14:textId="77777777" w:rsidR="00600C79" w:rsidRPr="00BB75CA" w:rsidRDefault="00600C79" w:rsidP="001B500C">
      <w:pPr>
        <w:pStyle w:val="ad"/>
        <w:numPr>
          <w:ilvl w:val="0"/>
          <w:numId w:val="15"/>
        </w:numPr>
        <w:spacing w:after="0" w:line="240" w:lineRule="auto"/>
        <w:jc w:val="both"/>
        <w:rPr>
          <w:rFonts w:ascii="Times New Roman" w:hAnsi="Times New Roman" w:cs="Times New Roman"/>
          <w:b/>
          <w:bCs/>
          <w:i/>
          <w:iCs/>
          <w:sz w:val="28"/>
          <w:szCs w:val="28"/>
          <w:lang w:val="en-US"/>
        </w:rPr>
      </w:pPr>
      <w:r w:rsidRPr="00BB75CA">
        <w:rPr>
          <w:rStyle w:val="a6"/>
          <w:rFonts w:ascii="Times New Roman" w:hAnsi="Times New Roman" w:cs="Times New Roman"/>
          <w:b w:val="0"/>
          <w:bCs w:val="0"/>
          <w:i/>
          <w:iCs/>
          <w:color w:val="0E101A"/>
          <w:sz w:val="28"/>
          <w:szCs w:val="28"/>
          <w:lang w:val="en-US"/>
        </w:rPr>
        <w:t>Institutionalize Work-Integrated Learning Across Universities</w:t>
      </w:r>
    </w:p>
    <w:p w14:paraId="620865FA" w14:textId="51ACFBF7" w:rsidR="00600C79" w:rsidRDefault="00600C79" w:rsidP="00600C79">
      <w:pPr>
        <w:pStyle w:val="a4"/>
        <w:spacing w:before="0" w:beforeAutospacing="0" w:after="0" w:afterAutospacing="0"/>
        <w:ind w:firstLine="720"/>
        <w:contextualSpacing/>
        <w:jc w:val="both"/>
        <w:rPr>
          <w:color w:val="0E101A"/>
          <w:sz w:val="28"/>
          <w:szCs w:val="28"/>
          <w:lang w:val="en-US"/>
        </w:rPr>
      </w:pPr>
      <w:r w:rsidRPr="00207CAD">
        <w:rPr>
          <w:color w:val="0E101A"/>
          <w:sz w:val="28"/>
          <w:szCs w:val="28"/>
          <w:lang w:val="en-US"/>
        </w:rPr>
        <w:t xml:space="preserve">Government policy should require universities to include organized internships and cooperative learning in degrees. Apart from extending programs like public internship grants, laws should encourage private companies to offer student placements through tax credits or subsidies. This corresponds with examples in Germany and Singapore, where similar systems have successfully improved graduate preparation </w:t>
      </w:r>
      <w:r w:rsidR="00402A17">
        <w:rPr>
          <w:color w:val="0E101A"/>
          <w:sz w:val="28"/>
          <w:szCs w:val="28"/>
          <w:lang w:val="en-US"/>
        </w:rPr>
        <w:t>[37</w:t>
      </w:r>
      <w:r w:rsidR="00530634">
        <w:rPr>
          <w:color w:val="0E101A"/>
          <w:sz w:val="28"/>
          <w:szCs w:val="28"/>
          <w:lang w:val="kk-KZ"/>
        </w:rPr>
        <w:t>7</w:t>
      </w:r>
      <w:r w:rsidRPr="00402A17">
        <w:rPr>
          <w:color w:val="0E101A"/>
          <w:sz w:val="28"/>
          <w:szCs w:val="28"/>
          <w:lang w:val="en-US"/>
        </w:rPr>
        <w:t>, p. 11</w:t>
      </w:r>
      <w:r w:rsidR="00402A17" w:rsidRPr="00402A17">
        <w:rPr>
          <w:color w:val="0E101A"/>
          <w:sz w:val="28"/>
          <w:szCs w:val="28"/>
          <w:lang w:val="en-US"/>
        </w:rPr>
        <w:t>]</w:t>
      </w:r>
      <w:r w:rsidRPr="00402A17">
        <w:rPr>
          <w:color w:val="0E101A"/>
          <w:sz w:val="28"/>
          <w:szCs w:val="28"/>
          <w:lang w:val="en-US"/>
        </w:rPr>
        <w:t>.</w:t>
      </w:r>
    </w:p>
    <w:p w14:paraId="773D0A6C" w14:textId="77777777" w:rsidR="00600C79" w:rsidRPr="00BB75CA" w:rsidRDefault="00600C79" w:rsidP="001B500C">
      <w:pPr>
        <w:pStyle w:val="a4"/>
        <w:numPr>
          <w:ilvl w:val="0"/>
          <w:numId w:val="15"/>
        </w:numPr>
        <w:spacing w:before="0" w:beforeAutospacing="0" w:after="0" w:afterAutospacing="0"/>
        <w:contextualSpacing/>
        <w:jc w:val="both"/>
        <w:rPr>
          <w:b/>
          <w:bCs/>
          <w:i/>
          <w:iCs/>
          <w:color w:val="0E101A"/>
          <w:sz w:val="28"/>
          <w:szCs w:val="28"/>
          <w:lang w:val="en-US"/>
        </w:rPr>
      </w:pPr>
      <w:r w:rsidRPr="00BB75CA">
        <w:rPr>
          <w:rStyle w:val="a6"/>
          <w:b w:val="0"/>
          <w:bCs w:val="0"/>
          <w:i/>
          <w:iCs/>
          <w:color w:val="0E101A"/>
          <w:sz w:val="28"/>
          <w:szCs w:val="28"/>
          <w:lang w:val="en-US"/>
        </w:rPr>
        <w:t>Enhance Regional Innovation Clusters and Graduate Absorptive Capacity</w:t>
      </w:r>
    </w:p>
    <w:p w14:paraId="7BC5D2EF" w14:textId="741BF931" w:rsidR="00600C79" w:rsidRDefault="00600C79" w:rsidP="00600C79">
      <w:pPr>
        <w:pStyle w:val="a4"/>
        <w:spacing w:before="0" w:beforeAutospacing="0" w:after="0" w:afterAutospacing="0"/>
        <w:ind w:firstLine="720"/>
        <w:contextualSpacing/>
        <w:jc w:val="both"/>
        <w:rPr>
          <w:color w:val="0E101A"/>
          <w:sz w:val="28"/>
          <w:szCs w:val="28"/>
          <w:lang w:val="en-US"/>
        </w:rPr>
      </w:pPr>
      <w:r w:rsidRPr="00207CAD">
        <w:rPr>
          <w:color w:val="0E101A"/>
          <w:sz w:val="28"/>
          <w:szCs w:val="28"/>
          <w:lang w:val="en-US"/>
        </w:rPr>
        <w:t xml:space="preserve">Kazakhstan should deepen investment in regional innovation hubs linked to local universities. These should focus on local strengths (e.g., agriculture, mining, green energy) and integrate graduates into applied research and entrepreneurship programs. Based on China’s regional R&amp;D strategies, targeted funding mechanisms can drive job creation while fostering place-based innovation </w:t>
      </w:r>
      <w:r w:rsidR="009406D0">
        <w:rPr>
          <w:color w:val="0E101A"/>
          <w:sz w:val="28"/>
          <w:szCs w:val="28"/>
          <w:lang w:val="en-US"/>
        </w:rPr>
        <w:t>[3</w:t>
      </w:r>
      <w:r w:rsidR="00530634">
        <w:rPr>
          <w:color w:val="0E101A"/>
          <w:sz w:val="28"/>
          <w:szCs w:val="28"/>
          <w:lang w:val="kk-KZ"/>
        </w:rPr>
        <w:t>79</w:t>
      </w:r>
      <w:r w:rsidRPr="009406D0">
        <w:rPr>
          <w:color w:val="0E101A"/>
          <w:sz w:val="28"/>
          <w:szCs w:val="28"/>
          <w:lang w:val="en-US"/>
        </w:rPr>
        <w:t>, pp. 5–6</w:t>
      </w:r>
      <w:r w:rsidR="009406D0" w:rsidRPr="009406D0">
        <w:rPr>
          <w:color w:val="0E101A"/>
          <w:sz w:val="28"/>
          <w:szCs w:val="28"/>
          <w:lang w:val="en-US"/>
        </w:rPr>
        <w:t>]</w:t>
      </w:r>
      <w:r w:rsidRPr="009406D0">
        <w:rPr>
          <w:color w:val="0E101A"/>
          <w:sz w:val="28"/>
          <w:szCs w:val="28"/>
          <w:lang w:val="en-US"/>
        </w:rPr>
        <w:t>.</w:t>
      </w:r>
    </w:p>
    <w:p w14:paraId="6F3A04D8" w14:textId="77777777" w:rsidR="00600C79" w:rsidRPr="00BB75CA" w:rsidRDefault="00600C79" w:rsidP="001B500C">
      <w:pPr>
        <w:pStyle w:val="a4"/>
        <w:numPr>
          <w:ilvl w:val="0"/>
          <w:numId w:val="15"/>
        </w:numPr>
        <w:spacing w:before="0" w:beforeAutospacing="0" w:after="0" w:afterAutospacing="0"/>
        <w:contextualSpacing/>
        <w:jc w:val="both"/>
        <w:rPr>
          <w:b/>
          <w:bCs/>
          <w:i/>
          <w:iCs/>
          <w:color w:val="0E101A"/>
          <w:sz w:val="28"/>
          <w:szCs w:val="28"/>
          <w:lang w:val="en-US"/>
        </w:rPr>
      </w:pPr>
      <w:r w:rsidRPr="00BB75CA">
        <w:rPr>
          <w:rStyle w:val="a6"/>
          <w:b w:val="0"/>
          <w:bCs w:val="0"/>
          <w:i/>
          <w:iCs/>
          <w:color w:val="0E101A"/>
          <w:sz w:val="28"/>
          <w:szCs w:val="28"/>
          <w:lang w:val="en-US"/>
        </w:rPr>
        <w:t>Strengthen Career Centers and Digital Job Matching Infrastructure</w:t>
      </w:r>
    </w:p>
    <w:p w14:paraId="1FD8D393" w14:textId="0CCB4271" w:rsidR="00600C79" w:rsidRPr="00207CAD" w:rsidRDefault="00600C79" w:rsidP="00600C79">
      <w:pPr>
        <w:pStyle w:val="a4"/>
        <w:spacing w:before="0" w:beforeAutospacing="0" w:after="0" w:afterAutospacing="0"/>
        <w:ind w:firstLine="720"/>
        <w:contextualSpacing/>
        <w:jc w:val="both"/>
        <w:rPr>
          <w:color w:val="0E101A"/>
          <w:sz w:val="28"/>
          <w:szCs w:val="28"/>
          <w:lang w:val="en-US"/>
        </w:rPr>
      </w:pPr>
      <w:r w:rsidRPr="00207CAD">
        <w:rPr>
          <w:color w:val="0E101A"/>
          <w:sz w:val="28"/>
          <w:szCs w:val="28"/>
          <w:lang w:val="en-US"/>
        </w:rPr>
        <w:t xml:space="preserve">Universities should be mandated and helped to provide official career services with employer networks and </w:t>
      </w:r>
      <w:proofErr w:type="spellStart"/>
      <w:r w:rsidRPr="00207CAD">
        <w:rPr>
          <w:color w:val="0E101A"/>
          <w:sz w:val="28"/>
          <w:szCs w:val="28"/>
          <w:lang w:val="en-US"/>
        </w:rPr>
        <w:t>labour</w:t>
      </w:r>
      <w:proofErr w:type="spellEnd"/>
      <w:r w:rsidRPr="00207CAD">
        <w:rPr>
          <w:color w:val="0E101A"/>
          <w:sz w:val="28"/>
          <w:szCs w:val="28"/>
          <w:lang w:val="en-US"/>
        </w:rPr>
        <w:t xml:space="preserve"> market intelligence. The government should improve digital employment systems to guarantee fair access over all areas. This will lessen reliance on unofficial employment channels and open merit-based routes for every graduate </w:t>
      </w:r>
      <w:r w:rsidR="009406D0" w:rsidRPr="009406D0">
        <w:rPr>
          <w:color w:val="0E101A"/>
          <w:sz w:val="28"/>
          <w:szCs w:val="28"/>
          <w:lang w:val="en-US"/>
        </w:rPr>
        <w:t>[37</w:t>
      </w:r>
      <w:r w:rsidR="00530634">
        <w:rPr>
          <w:color w:val="0E101A"/>
          <w:sz w:val="28"/>
          <w:szCs w:val="28"/>
          <w:lang w:val="kk-KZ"/>
        </w:rPr>
        <w:t>5</w:t>
      </w:r>
      <w:r w:rsidR="009406D0" w:rsidRPr="009406D0">
        <w:rPr>
          <w:color w:val="0E101A"/>
          <w:sz w:val="28"/>
          <w:szCs w:val="28"/>
          <w:lang w:val="en-US"/>
        </w:rPr>
        <w:t xml:space="preserve">, </w:t>
      </w:r>
      <w:r w:rsidRPr="009406D0">
        <w:rPr>
          <w:color w:val="0E101A"/>
          <w:sz w:val="28"/>
          <w:szCs w:val="28"/>
          <w:lang w:val="en-US"/>
        </w:rPr>
        <w:t>p. 105</w:t>
      </w:r>
      <w:r w:rsidR="009406D0" w:rsidRPr="009406D0">
        <w:rPr>
          <w:color w:val="0E101A"/>
          <w:sz w:val="28"/>
          <w:szCs w:val="28"/>
          <w:lang w:val="en-US"/>
        </w:rPr>
        <w:t>]</w:t>
      </w:r>
      <w:r w:rsidRPr="009406D0">
        <w:rPr>
          <w:color w:val="0E101A"/>
          <w:sz w:val="28"/>
          <w:szCs w:val="28"/>
          <w:lang w:val="en-US"/>
        </w:rPr>
        <w:t>.</w:t>
      </w:r>
    </w:p>
    <w:p w14:paraId="5C3960AE" w14:textId="77777777" w:rsidR="00600C79" w:rsidRPr="00BB75CA" w:rsidRDefault="00600C79" w:rsidP="001B500C">
      <w:pPr>
        <w:pStyle w:val="a4"/>
        <w:numPr>
          <w:ilvl w:val="0"/>
          <w:numId w:val="15"/>
        </w:numPr>
        <w:spacing w:before="0" w:beforeAutospacing="0" w:after="0" w:afterAutospacing="0"/>
        <w:contextualSpacing/>
        <w:jc w:val="both"/>
        <w:rPr>
          <w:b/>
          <w:bCs/>
          <w:i/>
          <w:iCs/>
          <w:color w:val="0E101A"/>
          <w:sz w:val="28"/>
          <w:szCs w:val="28"/>
          <w:lang w:val="en-US"/>
        </w:rPr>
      </w:pPr>
      <w:r w:rsidRPr="00BB75CA">
        <w:rPr>
          <w:rStyle w:val="a6"/>
          <w:b w:val="0"/>
          <w:bCs w:val="0"/>
          <w:i/>
          <w:iCs/>
          <w:color w:val="0E101A"/>
          <w:sz w:val="28"/>
          <w:szCs w:val="28"/>
          <w:lang w:val="en-US"/>
        </w:rPr>
        <w:t>Increase Support for Research Commercialization and Student Innovation</w:t>
      </w:r>
    </w:p>
    <w:p w14:paraId="203EC87B" w14:textId="77777777" w:rsidR="00600C79" w:rsidRPr="00207CAD" w:rsidRDefault="00600C79" w:rsidP="00600C79">
      <w:pPr>
        <w:pStyle w:val="a4"/>
        <w:spacing w:before="0" w:beforeAutospacing="0" w:after="0" w:afterAutospacing="0"/>
        <w:ind w:firstLine="720"/>
        <w:contextualSpacing/>
        <w:jc w:val="both"/>
        <w:rPr>
          <w:color w:val="0E101A"/>
          <w:sz w:val="28"/>
          <w:szCs w:val="28"/>
          <w:lang w:val="en-US"/>
        </w:rPr>
      </w:pPr>
      <w:r w:rsidRPr="00207CAD">
        <w:rPr>
          <w:color w:val="0E101A"/>
          <w:sz w:val="28"/>
          <w:szCs w:val="28"/>
          <w:lang w:val="en-US"/>
        </w:rPr>
        <w:t xml:space="preserve">Dedicated government funds should target student-led innovation and faculty–industry partnerships. This includes grants for early-stage commercialization, startup incubation, and university-based research involving </w:t>
      </w:r>
      <w:r w:rsidRPr="00207CAD">
        <w:rPr>
          <w:color w:val="0E101A"/>
          <w:sz w:val="28"/>
          <w:szCs w:val="28"/>
          <w:lang w:val="en-US"/>
        </w:rPr>
        <w:lastRenderedPageBreak/>
        <w:t xml:space="preserve">students. France’s adaptation of </w:t>
      </w:r>
      <w:proofErr w:type="spellStart"/>
      <w:r w:rsidRPr="00207CAD">
        <w:rPr>
          <w:color w:val="0E101A"/>
          <w:sz w:val="28"/>
          <w:szCs w:val="28"/>
          <w:lang w:val="en-US"/>
        </w:rPr>
        <w:t>defence</w:t>
      </w:r>
      <w:proofErr w:type="spellEnd"/>
      <w:r w:rsidRPr="00207CAD">
        <w:rPr>
          <w:color w:val="0E101A"/>
          <w:sz w:val="28"/>
          <w:szCs w:val="28"/>
          <w:lang w:val="en-US"/>
        </w:rPr>
        <w:t xml:space="preserve"> R&amp;D into collaborative models (Belin et al., 2018, p. 148) offers a model for integrating graduates into real-world innovation systems.</w:t>
      </w:r>
    </w:p>
    <w:p w14:paraId="239DE549" w14:textId="77777777" w:rsidR="00600C79" w:rsidRPr="00BB75CA" w:rsidRDefault="00600C79" w:rsidP="001B500C">
      <w:pPr>
        <w:pStyle w:val="a4"/>
        <w:numPr>
          <w:ilvl w:val="0"/>
          <w:numId w:val="16"/>
        </w:numPr>
        <w:spacing w:before="0" w:beforeAutospacing="0" w:after="0" w:afterAutospacing="0"/>
        <w:contextualSpacing/>
        <w:jc w:val="both"/>
        <w:rPr>
          <w:b/>
          <w:bCs/>
          <w:i/>
          <w:iCs/>
          <w:color w:val="0E101A"/>
          <w:sz w:val="28"/>
          <w:szCs w:val="28"/>
          <w:lang w:val="en-US"/>
        </w:rPr>
      </w:pPr>
      <w:r w:rsidRPr="00BB75CA">
        <w:rPr>
          <w:rStyle w:val="a6"/>
          <w:b w:val="0"/>
          <w:bCs w:val="0"/>
          <w:i/>
          <w:iCs/>
          <w:color w:val="0E101A"/>
          <w:sz w:val="28"/>
          <w:szCs w:val="28"/>
          <w:lang w:val="en-US"/>
        </w:rPr>
        <w:t>Align Ministry Strategies through a National Innovation Coordination Council</w:t>
      </w:r>
    </w:p>
    <w:p w14:paraId="6D6012A6" w14:textId="37835336" w:rsidR="001F13ED" w:rsidRDefault="00600C79" w:rsidP="00493A5C">
      <w:pPr>
        <w:pStyle w:val="a4"/>
        <w:spacing w:before="0" w:beforeAutospacing="0" w:after="0" w:afterAutospacing="0"/>
        <w:ind w:firstLine="720"/>
        <w:contextualSpacing/>
        <w:jc w:val="both"/>
        <w:rPr>
          <w:color w:val="0E101A"/>
          <w:sz w:val="28"/>
          <w:szCs w:val="28"/>
          <w:lang w:val="en-US"/>
        </w:rPr>
      </w:pPr>
      <w:r w:rsidRPr="00207CAD">
        <w:rPr>
          <w:color w:val="0E101A"/>
          <w:sz w:val="28"/>
          <w:szCs w:val="28"/>
          <w:lang w:val="en-US"/>
        </w:rPr>
        <w:t>Kazakhstan should institutionalize coordination across the Ministries of Science, Education, Labor, and Industry to unify innovation policy, funding decisions, and workforce planning. Such a body would ensure that employment, innovation, and education policies are synchronized with Triple Helix principles</w:t>
      </w:r>
      <w:r w:rsidR="00177407">
        <w:rPr>
          <w:color w:val="0E101A"/>
          <w:sz w:val="28"/>
          <w:szCs w:val="28"/>
          <w:lang w:val="en-US"/>
        </w:rPr>
        <w:t xml:space="preserve"> [37</w:t>
      </w:r>
      <w:r w:rsidR="00530634">
        <w:rPr>
          <w:color w:val="0E101A"/>
          <w:sz w:val="28"/>
          <w:szCs w:val="28"/>
          <w:lang w:val="kk-KZ"/>
        </w:rPr>
        <w:t>7</w:t>
      </w:r>
      <w:r w:rsidR="00177407">
        <w:rPr>
          <w:color w:val="0E101A"/>
          <w:sz w:val="28"/>
          <w:szCs w:val="28"/>
          <w:lang w:val="en-US"/>
        </w:rPr>
        <w:t>, pp. 8-10]</w:t>
      </w:r>
      <w:r w:rsidRPr="00177407">
        <w:rPr>
          <w:color w:val="0E101A"/>
          <w:sz w:val="28"/>
          <w:szCs w:val="28"/>
          <w:lang w:val="en-US"/>
        </w:rPr>
        <w:t>.</w:t>
      </w:r>
    </w:p>
    <w:p w14:paraId="118893D3" w14:textId="3F9BC006" w:rsidR="00493A5C" w:rsidRDefault="00493A5C" w:rsidP="00493A5C">
      <w:pPr>
        <w:pStyle w:val="a4"/>
        <w:spacing w:before="0" w:beforeAutospacing="0" w:after="0" w:afterAutospacing="0"/>
        <w:ind w:firstLine="720"/>
        <w:contextualSpacing/>
        <w:jc w:val="both"/>
        <w:rPr>
          <w:color w:val="0E101A"/>
          <w:sz w:val="28"/>
          <w:szCs w:val="28"/>
          <w:lang w:val="en-US"/>
        </w:rPr>
      </w:pPr>
    </w:p>
    <w:p w14:paraId="55226CC3" w14:textId="24B352BA" w:rsidR="00493A5C" w:rsidRDefault="00493A5C" w:rsidP="00493A5C">
      <w:pPr>
        <w:pStyle w:val="a4"/>
        <w:spacing w:before="0" w:beforeAutospacing="0" w:after="0" w:afterAutospacing="0"/>
        <w:ind w:firstLine="720"/>
        <w:contextualSpacing/>
        <w:jc w:val="both"/>
        <w:rPr>
          <w:color w:val="0E101A"/>
          <w:sz w:val="28"/>
          <w:szCs w:val="28"/>
          <w:lang w:val="en-US"/>
        </w:rPr>
      </w:pPr>
    </w:p>
    <w:p w14:paraId="0E7973E7" w14:textId="64601F96" w:rsidR="00493A5C" w:rsidRDefault="00493A5C" w:rsidP="00493A5C">
      <w:pPr>
        <w:pStyle w:val="a4"/>
        <w:spacing w:before="0" w:beforeAutospacing="0" w:after="0" w:afterAutospacing="0"/>
        <w:ind w:firstLine="720"/>
        <w:contextualSpacing/>
        <w:jc w:val="both"/>
        <w:rPr>
          <w:color w:val="0E101A"/>
          <w:sz w:val="28"/>
          <w:szCs w:val="28"/>
          <w:lang w:val="en-US"/>
        </w:rPr>
      </w:pPr>
    </w:p>
    <w:p w14:paraId="56A89FF2" w14:textId="1E0CFAAE" w:rsidR="00493A5C" w:rsidRDefault="00493A5C" w:rsidP="00493A5C">
      <w:pPr>
        <w:pStyle w:val="a4"/>
        <w:spacing w:before="0" w:beforeAutospacing="0" w:after="0" w:afterAutospacing="0"/>
        <w:ind w:firstLine="720"/>
        <w:contextualSpacing/>
        <w:jc w:val="both"/>
        <w:rPr>
          <w:color w:val="0E101A"/>
          <w:sz w:val="28"/>
          <w:szCs w:val="28"/>
          <w:lang w:val="en-US"/>
        </w:rPr>
      </w:pPr>
    </w:p>
    <w:p w14:paraId="72F9B109" w14:textId="70099F93" w:rsidR="00493A5C" w:rsidRDefault="00493A5C" w:rsidP="00493A5C">
      <w:pPr>
        <w:pStyle w:val="a4"/>
        <w:spacing w:before="0" w:beforeAutospacing="0" w:after="0" w:afterAutospacing="0"/>
        <w:ind w:firstLine="720"/>
        <w:contextualSpacing/>
        <w:jc w:val="both"/>
        <w:rPr>
          <w:color w:val="0E101A"/>
          <w:sz w:val="28"/>
          <w:szCs w:val="28"/>
          <w:lang w:val="en-US"/>
        </w:rPr>
      </w:pPr>
    </w:p>
    <w:p w14:paraId="3C3BCD9A" w14:textId="5D4B68E2" w:rsidR="00493A5C" w:rsidRDefault="00493A5C" w:rsidP="00493A5C">
      <w:pPr>
        <w:pStyle w:val="a4"/>
        <w:spacing w:before="0" w:beforeAutospacing="0" w:after="0" w:afterAutospacing="0"/>
        <w:ind w:firstLine="720"/>
        <w:contextualSpacing/>
        <w:jc w:val="both"/>
        <w:rPr>
          <w:color w:val="0E101A"/>
          <w:sz w:val="28"/>
          <w:szCs w:val="28"/>
          <w:lang w:val="en-US"/>
        </w:rPr>
      </w:pPr>
    </w:p>
    <w:p w14:paraId="31037B12" w14:textId="6D953AA0" w:rsidR="00493A5C" w:rsidRDefault="00493A5C" w:rsidP="00493A5C">
      <w:pPr>
        <w:pStyle w:val="a4"/>
        <w:spacing w:before="0" w:beforeAutospacing="0" w:after="0" w:afterAutospacing="0"/>
        <w:ind w:firstLine="720"/>
        <w:contextualSpacing/>
        <w:jc w:val="both"/>
        <w:rPr>
          <w:color w:val="0E101A"/>
          <w:sz w:val="28"/>
          <w:szCs w:val="28"/>
          <w:lang w:val="en-US"/>
        </w:rPr>
      </w:pPr>
    </w:p>
    <w:p w14:paraId="10F70B35" w14:textId="7075A620" w:rsidR="00493A5C" w:rsidRDefault="00493A5C" w:rsidP="00493A5C">
      <w:pPr>
        <w:pStyle w:val="a4"/>
        <w:spacing w:before="0" w:beforeAutospacing="0" w:after="0" w:afterAutospacing="0"/>
        <w:ind w:firstLine="720"/>
        <w:contextualSpacing/>
        <w:jc w:val="both"/>
        <w:rPr>
          <w:color w:val="0E101A"/>
          <w:sz w:val="28"/>
          <w:szCs w:val="28"/>
          <w:lang w:val="en-US"/>
        </w:rPr>
      </w:pPr>
    </w:p>
    <w:p w14:paraId="6C730A77" w14:textId="1465665A" w:rsidR="00493A5C" w:rsidRDefault="00493A5C" w:rsidP="00493A5C">
      <w:pPr>
        <w:pStyle w:val="a4"/>
        <w:spacing w:before="0" w:beforeAutospacing="0" w:after="0" w:afterAutospacing="0"/>
        <w:ind w:firstLine="720"/>
        <w:contextualSpacing/>
        <w:jc w:val="both"/>
        <w:rPr>
          <w:color w:val="0E101A"/>
          <w:sz w:val="28"/>
          <w:szCs w:val="28"/>
          <w:lang w:val="en-US"/>
        </w:rPr>
      </w:pPr>
    </w:p>
    <w:p w14:paraId="11144C8F" w14:textId="52C9D6D3" w:rsidR="00493A5C" w:rsidRDefault="00493A5C" w:rsidP="00493A5C">
      <w:pPr>
        <w:pStyle w:val="a4"/>
        <w:spacing w:before="0" w:beforeAutospacing="0" w:after="0" w:afterAutospacing="0"/>
        <w:ind w:firstLine="720"/>
        <w:contextualSpacing/>
        <w:jc w:val="both"/>
        <w:rPr>
          <w:color w:val="0E101A"/>
          <w:sz w:val="28"/>
          <w:szCs w:val="28"/>
          <w:lang w:val="en-US"/>
        </w:rPr>
      </w:pPr>
    </w:p>
    <w:p w14:paraId="2443446E" w14:textId="43A4F964" w:rsidR="00493A5C" w:rsidRDefault="00493A5C" w:rsidP="00493A5C">
      <w:pPr>
        <w:pStyle w:val="a4"/>
        <w:spacing w:before="0" w:beforeAutospacing="0" w:after="0" w:afterAutospacing="0"/>
        <w:ind w:firstLine="720"/>
        <w:contextualSpacing/>
        <w:jc w:val="both"/>
        <w:rPr>
          <w:color w:val="0E101A"/>
          <w:sz w:val="28"/>
          <w:szCs w:val="28"/>
          <w:lang w:val="en-US"/>
        </w:rPr>
      </w:pPr>
    </w:p>
    <w:p w14:paraId="2B004B78" w14:textId="455C01C7" w:rsidR="00493A5C" w:rsidRDefault="00493A5C" w:rsidP="00493A5C">
      <w:pPr>
        <w:pStyle w:val="a4"/>
        <w:spacing w:before="0" w:beforeAutospacing="0" w:after="0" w:afterAutospacing="0"/>
        <w:ind w:firstLine="720"/>
        <w:contextualSpacing/>
        <w:jc w:val="both"/>
        <w:rPr>
          <w:color w:val="0E101A"/>
          <w:sz w:val="28"/>
          <w:szCs w:val="28"/>
          <w:lang w:val="en-US"/>
        </w:rPr>
      </w:pPr>
    </w:p>
    <w:p w14:paraId="75BCF832" w14:textId="6D8A8C40" w:rsidR="00493A5C" w:rsidRDefault="00493A5C" w:rsidP="00493A5C">
      <w:pPr>
        <w:pStyle w:val="a4"/>
        <w:spacing w:before="0" w:beforeAutospacing="0" w:after="0" w:afterAutospacing="0"/>
        <w:ind w:firstLine="720"/>
        <w:contextualSpacing/>
        <w:jc w:val="both"/>
        <w:rPr>
          <w:color w:val="0E101A"/>
          <w:sz w:val="28"/>
          <w:szCs w:val="28"/>
          <w:lang w:val="en-US"/>
        </w:rPr>
      </w:pPr>
    </w:p>
    <w:p w14:paraId="77335747" w14:textId="07A82B85" w:rsidR="00493A5C" w:rsidRDefault="00493A5C" w:rsidP="00493A5C">
      <w:pPr>
        <w:pStyle w:val="a4"/>
        <w:spacing w:before="0" w:beforeAutospacing="0" w:after="0" w:afterAutospacing="0"/>
        <w:ind w:firstLine="720"/>
        <w:contextualSpacing/>
        <w:jc w:val="both"/>
        <w:rPr>
          <w:color w:val="0E101A"/>
          <w:sz w:val="28"/>
          <w:szCs w:val="28"/>
          <w:lang w:val="en-US"/>
        </w:rPr>
      </w:pPr>
    </w:p>
    <w:p w14:paraId="599A3002" w14:textId="0B309A64" w:rsidR="00493A5C" w:rsidRDefault="00493A5C" w:rsidP="00493A5C">
      <w:pPr>
        <w:pStyle w:val="a4"/>
        <w:spacing w:before="0" w:beforeAutospacing="0" w:after="0" w:afterAutospacing="0"/>
        <w:ind w:firstLine="720"/>
        <w:contextualSpacing/>
        <w:jc w:val="both"/>
        <w:rPr>
          <w:color w:val="0E101A"/>
          <w:sz w:val="28"/>
          <w:szCs w:val="28"/>
          <w:lang w:val="en-US"/>
        </w:rPr>
      </w:pPr>
    </w:p>
    <w:p w14:paraId="629FA3C0" w14:textId="2159EA26" w:rsidR="00493A5C" w:rsidRDefault="00493A5C" w:rsidP="00493A5C">
      <w:pPr>
        <w:pStyle w:val="a4"/>
        <w:spacing w:before="0" w:beforeAutospacing="0" w:after="0" w:afterAutospacing="0"/>
        <w:ind w:firstLine="720"/>
        <w:contextualSpacing/>
        <w:jc w:val="both"/>
        <w:rPr>
          <w:color w:val="0E101A"/>
          <w:sz w:val="28"/>
          <w:szCs w:val="28"/>
          <w:lang w:val="en-US"/>
        </w:rPr>
      </w:pPr>
    </w:p>
    <w:p w14:paraId="11786EC7" w14:textId="543E79E5" w:rsidR="00493A5C" w:rsidRDefault="00493A5C" w:rsidP="00493A5C">
      <w:pPr>
        <w:pStyle w:val="a4"/>
        <w:spacing w:before="0" w:beforeAutospacing="0" w:after="0" w:afterAutospacing="0"/>
        <w:ind w:firstLine="720"/>
        <w:contextualSpacing/>
        <w:jc w:val="both"/>
        <w:rPr>
          <w:color w:val="0E101A"/>
          <w:sz w:val="28"/>
          <w:szCs w:val="28"/>
          <w:lang w:val="en-US"/>
        </w:rPr>
      </w:pPr>
    </w:p>
    <w:p w14:paraId="7BD72978" w14:textId="085ED449" w:rsidR="00493A5C" w:rsidRDefault="00493A5C" w:rsidP="00493A5C">
      <w:pPr>
        <w:pStyle w:val="a4"/>
        <w:spacing w:before="0" w:beforeAutospacing="0" w:after="0" w:afterAutospacing="0"/>
        <w:ind w:firstLine="720"/>
        <w:contextualSpacing/>
        <w:jc w:val="both"/>
        <w:rPr>
          <w:color w:val="0E101A"/>
          <w:sz w:val="28"/>
          <w:szCs w:val="28"/>
          <w:lang w:val="en-US"/>
        </w:rPr>
      </w:pPr>
    </w:p>
    <w:p w14:paraId="3902B961" w14:textId="388E954E" w:rsidR="00493A5C" w:rsidRDefault="00493A5C" w:rsidP="00493A5C">
      <w:pPr>
        <w:pStyle w:val="a4"/>
        <w:spacing w:before="0" w:beforeAutospacing="0" w:after="0" w:afterAutospacing="0"/>
        <w:ind w:firstLine="720"/>
        <w:contextualSpacing/>
        <w:jc w:val="both"/>
        <w:rPr>
          <w:color w:val="0E101A"/>
          <w:sz w:val="28"/>
          <w:szCs w:val="28"/>
          <w:lang w:val="en-US"/>
        </w:rPr>
      </w:pPr>
    </w:p>
    <w:p w14:paraId="5102ADB9" w14:textId="6ECF6A9F" w:rsidR="00493A5C" w:rsidRDefault="00493A5C" w:rsidP="00493A5C">
      <w:pPr>
        <w:pStyle w:val="a4"/>
        <w:spacing w:before="0" w:beforeAutospacing="0" w:after="0" w:afterAutospacing="0"/>
        <w:ind w:firstLine="720"/>
        <w:contextualSpacing/>
        <w:jc w:val="both"/>
        <w:rPr>
          <w:color w:val="0E101A"/>
          <w:sz w:val="28"/>
          <w:szCs w:val="28"/>
          <w:lang w:val="en-US"/>
        </w:rPr>
      </w:pPr>
    </w:p>
    <w:p w14:paraId="263A3C7E" w14:textId="232F6273" w:rsidR="00493A5C" w:rsidRDefault="00493A5C" w:rsidP="00493A5C">
      <w:pPr>
        <w:pStyle w:val="a4"/>
        <w:spacing w:before="0" w:beforeAutospacing="0" w:after="0" w:afterAutospacing="0"/>
        <w:ind w:firstLine="720"/>
        <w:contextualSpacing/>
        <w:jc w:val="both"/>
        <w:rPr>
          <w:color w:val="0E101A"/>
          <w:sz w:val="28"/>
          <w:szCs w:val="28"/>
          <w:lang w:val="en-US"/>
        </w:rPr>
      </w:pPr>
    </w:p>
    <w:p w14:paraId="6BE0A3DA" w14:textId="23FAC660" w:rsidR="00493A5C" w:rsidRDefault="00493A5C" w:rsidP="00493A5C">
      <w:pPr>
        <w:pStyle w:val="a4"/>
        <w:spacing w:before="0" w:beforeAutospacing="0" w:after="0" w:afterAutospacing="0"/>
        <w:ind w:firstLine="720"/>
        <w:contextualSpacing/>
        <w:jc w:val="both"/>
        <w:rPr>
          <w:color w:val="0E101A"/>
          <w:sz w:val="28"/>
          <w:szCs w:val="28"/>
          <w:lang w:val="en-US"/>
        </w:rPr>
      </w:pPr>
    </w:p>
    <w:p w14:paraId="6699252B" w14:textId="1C33C9BA" w:rsidR="00493A5C" w:rsidRDefault="00493A5C" w:rsidP="00493A5C">
      <w:pPr>
        <w:pStyle w:val="a4"/>
        <w:spacing w:before="0" w:beforeAutospacing="0" w:after="0" w:afterAutospacing="0"/>
        <w:ind w:firstLine="720"/>
        <w:contextualSpacing/>
        <w:jc w:val="both"/>
        <w:rPr>
          <w:color w:val="0E101A"/>
          <w:sz w:val="28"/>
          <w:szCs w:val="28"/>
          <w:lang w:val="en-US"/>
        </w:rPr>
      </w:pPr>
    </w:p>
    <w:p w14:paraId="09CE95A7" w14:textId="554FDA2B" w:rsidR="00493A5C" w:rsidRDefault="00493A5C" w:rsidP="00493A5C">
      <w:pPr>
        <w:pStyle w:val="a4"/>
        <w:spacing w:before="0" w:beforeAutospacing="0" w:after="0" w:afterAutospacing="0"/>
        <w:ind w:firstLine="720"/>
        <w:contextualSpacing/>
        <w:jc w:val="both"/>
        <w:rPr>
          <w:color w:val="0E101A"/>
          <w:sz w:val="28"/>
          <w:szCs w:val="28"/>
          <w:lang w:val="en-US"/>
        </w:rPr>
      </w:pPr>
    </w:p>
    <w:p w14:paraId="73718DCB" w14:textId="66598D58" w:rsidR="00493A5C" w:rsidRDefault="00493A5C" w:rsidP="00493A5C">
      <w:pPr>
        <w:pStyle w:val="a4"/>
        <w:spacing w:before="0" w:beforeAutospacing="0" w:after="0" w:afterAutospacing="0"/>
        <w:ind w:firstLine="720"/>
        <w:contextualSpacing/>
        <w:jc w:val="both"/>
        <w:rPr>
          <w:color w:val="0E101A"/>
          <w:sz w:val="28"/>
          <w:szCs w:val="28"/>
          <w:lang w:val="en-US"/>
        </w:rPr>
      </w:pPr>
    </w:p>
    <w:p w14:paraId="149058B1" w14:textId="00A72B1D" w:rsidR="00493A5C" w:rsidRDefault="00493A5C" w:rsidP="00493A5C">
      <w:pPr>
        <w:pStyle w:val="a4"/>
        <w:spacing w:before="0" w:beforeAutospacing="0" w:after="0" w:afterAutospacing="0"/>
        <w:ind w:firstLine="720"/>
        <w:contextualSpacing/>
        <w:jc w:val="both"/>
        <w:rPr>
          <w:color w:val="0E101A"/>
          <w:sz w:val="28"/>
          <w:szCs w:val="28"/>
          <w:lang w:val="en-US"/>
        </w:rPr>
      </w:pPr>
    </w:p>
    <w:p w14:paraId="282D9C7A" w14:textId="78D8BCD9" w:rsidR="00493A5C" w:rsidRDefault="00493A5C" w:rsidP="00493A5C">
      <w:pPr>
        <w:pStyle w:val="a4"/>
        <w:spacing w:before="0" w:beforeAutospacing="0" w:after="0" w:afterAutospacing="0"/>
        <w:ind w:firstLine="720"/>
        <w:contextualSpacing/>
        <w:jc w:val="both"/>
        <w:rPr>
          <w:color w:val="0E101A"/>
          <w:sz w:val="28"/>
          <w:szCs w:val="28"/>
          <w:lang w:val="en-US"/>
        </w:rPr>
      </w:pPr>
    </w:p>
    <w:p w14:paraId="2DD1D5F2" w14:textId="66095F95" w:rsidR="00493A5C" w:rsidRDefault="00493A5C" w:rsidP="00493A5C">
      <w:pPr>
        <w:pStyle w:val="a4"/>
        <w:spacing w:before="0" w:beforeAutospacing="0" w:after="0" w:afterAutospacing="0"/>
        <w:ind w:firstLine="720"/>
        <w:contextualSpacing/>
        <w:jc w:val="both"/>
        <w:rPr>
          <w:color w:val="0E101A"/>
          <w:sz w:val="28"/>
          <w:szCs w:val="28"/>
          <w:lang w:val="en-US"/>
        </w:rPr>
      </w:pPr>
    </w:p>
    <w:p w14:paraId="10A4B997" w14:textId="1A707CE5" w:rsidR="00493A5C" w:rsidRDefault="00493A5C" w:rsidP="00493A5C">
      <w:pPr>
        <w:pStyle w:val="a4"/>
        <w:spacing w:before="0" w:beforeAutospacing="0" w:after="0" w:afterAutospacing="0"/>
        <w:ind w:firstLine="720"/>
        <w:contextualSpacing/>
        <w:jc w:val="both"/>
        <w:rPr>
          <w:color w:val="0E101A"/>
          <w:sz w:val="28"/>
          <w:szCs w:val="28"/>
          <w:lang w:val="en-US"/>
        </w:rPr>
      </w:pPr>
    </w:p>
    <w:p w14:paraId="68742904" w14:textId="4B5677C3" w:rsidR="00493A5C" w:rsidRDefault="00493A5C" w:rsidP="00493A5C">
      <w:pPr>
        <w:pStyle w:val="a4"/>
        <w:spacing w:before="0" w:beforeAutospacing="0" w:after="0" w:afterAutospacing="0"/>
        <w:ind w:firstLine="720"/>
        <w:contextualSpacing/>
        <w:jc w:val="both"/>
        <w:rPr>
          <w:color w:val="0E101A"/>
          <w:sz w:val="28"/>
          <w:szCs w:val="28"/>
          <w:lang w:val="en-US"/>
        </w:rPr>
      </w:pPr>
    </w:p>
    <w:p w14:paraId="4F3D509A" w14:textId="7E49F8D6" w:rsidR="00493A5C" w:rsidRDefault="00493A5C" w:rsidP="00493A5C">
      <w:pPr>
        <w:pStyle w:val="a4"/>
        <w:spacing w:before="0" w:beforeAutospacing="0" w:after="0" w:afterAutospacing="0"/>
        <w:ind w:firstLine="720"/>
        <w:contextualSpacing/>
        <w:jc w:val="both"/>
        <w:rPr>
          <w:color w:val="0E101A"/>
          <w:sz w:val="28"/>
          <w:szCs w:val="28"/>
          <w:lang w:val="en-US"/>
        </w:rPr>
      </w:pPr>
    </w:p>
    <w:p w14:paraId="76DC2239" w14:textId="7619E7E7" w:rsidR="00493A5C" w:rsidRDefault="00493A5C" w:rsidP="00493A5C">
      <w:pPr>
        <w:pStyle w:val="a4"/>
        <w:spacing w:before="0" w:beforeAutospacing="0" w:after="0" w:afterAutospacing="0"/>
        <w:ind w:firstLine="720"/>
        <w:contextualSpacing/>
        <w:jc w:val="both"/>
        <w:rPr>
          <w:color w:val="0E101A"/>
          <w:sz w:val="28"/>
          <w:szCs w:val="28"/>
          <w:lang w:val="en-US"/>
        </w:rPr>
      </w:pPr>
    </w:p>
    <w:p w14:paraId="5AE28B38" w14:textId="3B670427" w:rsidR="00493A5C" w:rsidRDefault="00493A5C" w:rsidP="00493A5C">
      <w:pPr>
        <w:pStyle w:val="a4"/>
        <w:spacing w:before="0" w:beforeAutospacing="0" w:after="0" w:afterAutospacing="0"/>
        <w:ind w:firstLine="720"/>
        <w:contextualSpacing/>
        <w:jc w:val="both"/>
        <w:rPr>
          <w:color w:val="0E101A"/>
          <w:sz w:val="28"/>
          <w:szCs w:val="28"/>
          <w:lang w:val="en-US"/>
        </w:rPr>
      </w:pPr>
    </w:p>
    <w:p w14:paraId="44739427" w14:textId="77777777" w:rsidR="00C02FF7" w:rsidRPr="00493A5C" w:rsidRDefault="00C02FF7" w:rsidP="00D95302">
      <w:pPr>
        <w:pStyle w:val="a4"/>
        <w:spacing w:before="0" w:beforeAutospacing="0" w:after="0" w:afterAutospacing="0"/>
        <w:contextualSpacing/>
        <w:jc w:val="both"/>
        <w:rPr>
          <w:color w:val="0E101A"/>
          <w:sz w:val="28"/>
          <w:szCs w:val="28"/>
          <w:lang w:val="en-US"/>
        </w:rPr>
      </w:pPr>
    </w:p>
    <w:p w14:paraId="47E2E07B" w14:textId="77777777" w:rsidR="00600C79" w:rsidRPr="00244343" w:rsidRDefault="00600C79" w:rsidP="00600C79">
      <w:pPr>
        <w:spacing w:after="0" w:line="240" w:lineRule="auto"/>
        <w:contextualSpacing/>
        <w:jc w:val="center"/>
        <w:rPr>
          <w:rFonts w:ascii="Times New Roman" w:hAnsi="Times New Roman" w:cs="Times New Roman"/>
          <w:b/>
          <w:bCs/>
          <w:sz w:val="28"/>
          <w:szCs w:val="28"/>
          <w:lang w:val="en-US"/>
        </w:rPr>
      </w:pPr>
      <w:r w:rsidRPr="00244343">
        <w:rPr>
          <w:rFonts w:ascii="Times New Roman" w:hAnsi="Times New Roman" w:cs="Times New Roman"/>
          <w:b/>
          <w:bCs/>
          <w:sz w:val="28"/>
          <w:szCs w:val="28"/>
          <w:lang w:val="en-US"/>
        </w:rPr>
        <w:lastRenderedPageBreak/>
        <w:t>CONCLUSION</w:t>
      </w:r>
    </w:p>
    <w:p w14:paraId="49E37BBD" w14:textId="77777777" w:rsidR="00F40BBC" w:rsidRDefault="00F40BBC" w:rsidP="00600C79">
      <w:pPr>
        <w:spacing w:after="0" w:line="240" w:lineRule="auto"/>
        <w:contextualSpacing/>
        <w:jc w:val="both"/>
        <w:rPr>
          <w:rFonts w:ascii="Times New Roman" w:hAnsi="Times New Roman" w:cs="Times New Roman"/>
          <w:b/>
          <w:bCs/>
          <w:sz w:val="28"/>
          <w:szCs w:val="28"/>
          <w:lang w:val="en-US"/>
        </w:rPr>
      </w:pPr>
    </w:p>
    <w:p w14:paraId="2CC0D68F" w14:textId="2CF18E0E" w:rsidR="00600C79" w:rsidRPr="00244343" w:rsidRDefault="00600C79" w:rsidP="00F40BBC">
      <w:pPr>
        <w:pStyle w:val="a4"/>
        <w:spacing w:before="0" w:beforeAutospacing="0" w:after="0" w:afterAutospacing="0"/>
        <w:ind w:firstLine="720"/>
        <w:contextualSpacing/>
        <w:jc w:val="both"/>
        <w:rPr>
          <w:sz w:val="28"/>
          <w:szCs w:val="28"/>
          <w:lang w:val="en-US"/>
        </w:rPr>
      </w:pPr>
      <w:r w:rsidRPr="00244343">
        <w:rPr>
          <w:sz w:val="28"/>
          <w:szCs w:val="28"/>
          <w:lang w:val="en-US"/>
        </w:rPr>
        <w:t>This study provides recommendations for enhancing innovation management at universities in Kazakhstan using the triple helix innovation model. Additionally, it offers solutions for the employment of university graduates within the framework of this innovation model. This dissertation presents the following key scientific results and recommendations derived from the research conducted in pursuit of the stated aims and objectives:</w:t>
      </w:r>
    </w:p>
    <w:p w14:paraId="7CF3E7F7"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1. This research posits that university innovation management is implemented through the Triple Helix model, driven by entrepreneurial development and a dual university-business collaboration spiral. It presents a novel conceptual trajectory for innovation management, grounded in Triple Helix principles and university-based entrepreneurship. </w:t>
      </w:r>
    </w:p>
    <w:p w14:paraId="3416DB87"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study delineates the author's conceptual trajectory of innovation management within universities, advocating for a transformation of innovation concept idea in the university setting. A theoretical literature review was executed through a three-stage methodology, encompassing database searches (Web of Science, Scopus, Google Scholar, commencing February 1, 2021) utilizing designated keywords pertinent to the Triple Helix model and university-industry collaboration, succeeded by abstract and keyword screening, and culminating in full-text analysis.  MAXQDA2020 was utilized for coding and evaluating chosen papers and books, emphasizing the keywords on principal themes such as university innovation management, entrepreneurship and Triple Helix Model, with a temporal analysis of publications from 1980-2000 and 2001-2020. The concept of innovation management within a university setting emerges from the intersection of several key areas.  Specifically, it integrates innovation management principles with entrepreneurial activity, leveraging the Triple Helix model's collaborative framework between universities, industry, and government and focusing on the synergistic potential of university-industry partnerships to drive technological development and commercialization.  This integrated approach fosters a dynamic ecosystem that enables universities to manage and capitalize on innovation.</w:t>
      </w:r>
    </w:p>
    <w:p w14:paraId="6BF099FD"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A novel framework, U-S-C Spirals, has been proposed to elucidate university-based innovation. This framework encompasses: U-spirals (university-led activities such as learning programs and career centers); S-spirals (student entrepreneurship and knowledge creation); and C-spirals (collaborative activities between universities and companies, including training programs and opportunity creation). The dissertation contends that these U-S-C spirals, both separately and collectively, provide concrete innovation outputs, such as novel products and services. It further asserts that universities, even without express acknowledgement, are already involved in innovation management and that properly managing their products is essential. </w:t>
      </w:r>
    </w:p>
    <w:p w14:paraId="085077D9"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successful implementation of university-industry collaboration (UIC) or THM frameworks is posited as a driver of high-innovation cluster development and the growth of regional ecosystems. This research lays the groundwork for an in-</w:t>
      </w:r>
      <w:r w:rsidRPr="00244343">
        <w:rPr>
          <w:rFonts w:ascii="Times New Roman" w:hAnsi="Times New Roman" w:cs="Times New Roman"/>
          <w:sz w:val="28"/>
          <w:szCs w:val="28"/>
          <w:lang w:val="en-US"/>
        </w:rPr>
        <w:lastRenderedPageBreak/>
        <w:t xml:space="preserve">depth examination of innovation management in universities, highlighting the importance of the THM and entrepreneurial initiatives in generating innovation outputs and fostering regional economic growth. The proposed U-S-C spirals paradigm offers a new framework for examining these processes within the academic setting. Based on these findings, this dissertation recommends leveraging the U-S-C </w:t>
      </w:r>
      <w:proofErr w:type="spellStart"/>
      <w:r w:rsidRPr="00244343">
        <w:rPr>
          <w:rFonts w:ascii="Times New Roman" w:hAnsi="Times New Roman" w:cs="Times New Roman"/>
          <w:sz w:val="28"/>
          <w:szCs w:val="28"/>
          <w:lang w:val="en-US"/>
        </w:rPr>
        <w:t>spiralled</w:t>
      </w:r>
      <w:proofErr w:type="spellEnd"/>
      <w:r w:rsidRPr="00244343">
        <w:rPr>
          <w:rFonts w:ascii="Times New Roman" w:hAnsi="Times New Roman" w:cs="Times New Roman"/>
          <w:sz w:val="28"/>
          <w:szCs w:val="28"/>
          <w:lang w:val="en-US"/>
        </w:rPr>
        <w:t xml:space="preserve"> interaction to strengthen and enhance innovation management practices within the university.</w:t>
      </w:r>
    </w:p>
    <w:p w14:paraId="121279E8"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2. The research posits that the Triple Helix mechanism is implemented by strengthening university-industry collaboration and fostering regional cluster development.  Analysis of thematic trends and Triple Helix evolution identifies key factors driving innovation and the "double spiral" of university-business collaboration within regional development.</w:t>
      </w:r>
    </w:p>
    <w:p w14:paraId="69DB63FD"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This study investigated the characteristics and thematic evolution of research on the Triple Helix Model (THM) and university-industry collaboration (UIC), considering both global trends and the specific context of Kazakhstan.    Data were obtained from Scopus and </w:t>
      </w:r>
      <w:proofErr w:type="spellStart"/>
      <w:r w:rsidRPr="00244343">
        <w:rPr>
          <w:rFonts w:ascii="Times New Roman" w:hAnsi="Times New Roman" w:cs="Times New Roman"/>
          <w:sz w:val="28"/>
          <w:szCs w:val="28"/>
          <w:lang w:val="en-US"/>
        </w:rPr>
        <w:t>WoS</w:t>
      </w:r>
      <w:proofErr w:type="spellEnd"/>
      <w:r w:rsidRPr="00244343">
        <w:rPr>
          <w:rFonts w:ascii="Times New Roman" w:hAnsi="Times New Roman" w:cs="Times New Roman"/>
          <w:sz w:val="28"/>
          <w:szCs w:val="28"/>
          <w:lang w:val="en-US"/>
        </w:rPr>
        <w:t xml:space="preserve"> databases using the keywords "Triple Helix" and "Regional Innovation."  </w:t>
      </w:r>
      <w:r w:rsidRPr="00F40BBC">
        <w:rPr>
          <w:rFonts w:ascii="Times New Roman" w:hAnsi="Times New Roman" w:cs="Times New Roman"/>
          <w:sz w:val="28"/>
          <w:szCs w:val="28"/>
          <w:lang w:val="en-US"/>
        </w:rPr>
        <w:t>For "Triple Helix," the global dataset comprised 416 Web of Science documents and 347 Scopus documents, compared to one and five documents for Kazakhstan.  For "Regional Innovation," the global dataset included 4,982 Web of Science documents and 16,328 Scopus documents, while the Kazakhstan dataset contained 52 and 100 documents.</w:t>
      </w:r>
      <w:r w:rsidRPr="00244343">
        <w:rPr>
          <w:rFonts w:ascii="Times New Roman" w:hAnsi="Times New Roman" w:cs="Times New Roman"/>
          <w:sz w:val="28"/>
          <w:szCs w:val="28"/>
          <w:lang w:val="en-US"/>
        </w:rPr>
        <w:t xml:space="preserve">  </w:t>
      </w:r>
      <w:proofErr w:type="spellStart"/>
      <w:r w:rsidRPr="00244343">
        <w:rPr>
          <w:rFonts w:ascii="Times New Roman" w:hAnsi="Times New Roman" w:cs="Times New Roman"/>
          <w:sz w:val="28"/>
          <w:szCs w:val="28"/>
          <w:lang w:val="en-US"/>
        </w:rPr>
        <w:t>VOSviewer</w:t>
      </w:r>
      <w:proofErr w:type="spellEnd"/>
      <w:r w:rsidRPr="00244343">
        <w:rPr>
          <w:rFonts w:ascii="Times New Roman" w:hAnsi="Times New Roman" w:cs="Times New Roman"/>
          <w:sz w:val="28"/>
          <w:szCs w:val="28"/>
          <w:lang w:val="en-US"/>
        </w:rPr>
        <w:t xml:space="preserve"> and </w:t>
      </w:r>
      <w:proofErr w:type="spellStart"/>
      <w:r w:rsidRPr="00244343">
        <w:rPr>
          <w:rFonts w:ascii="Times New Roman" w:hAnsi="Times New Roman" w:cs="Times New Roman"/>
          <w:sz w:val="28"/>
          <w:szCs w:val="28"/>
          <w:lang w:val="en-US"/>
        </w:rPr>
        <w:t>Biblioshiny</w:t>
      </w:r>
      <w:proofErr w:type="spellEnd"/>
      <w:r w:rsidRPr="00244343">
        <w:rPr>
          <w:rFonts w:ascii="Times New Roman" w:hAnsi="Times New Roman" w:cs="Times New Roman"/>
          <w:sz w:val="28"/>
          <w:szCs w:val="28"/>
          <w:lang w:val="en-US"/>
        </w:rPr>
        <w:t xml:space="preserve"> in R-studio were used for analysis.</w:t>
      </w:r>
    </w:p>
    <w:p w14:paraId="2097CF48"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A co-occurrence cluster analysis of "Regional Innovation" publications in Scopus (2018-2024, filtered to 2012-2018) using </w:t>
      </w:r>
      <w:proofErr w:type="spellStart"/>
      <w:r w:rsidRPr="00244343">
        <w:rPr>
          <w:rFonts w:ascii="Times New Roman" w:hAnsi="Times New Roman" w:cs="Times New Roman"/>
          <w:sz w:val="28"/>
          <w:szCs w:val="28"/>
          <w:lang w:val="en-US"/>
        </w:rPr>
        <w:t>VOSviewer</w:t>
      </w:r>
      <w:proofErr w:type="spellEnd"/>
      <w:r w:rsidRPr="00244343">
        <w:rPr>
          <w:rFonts w:ascii="Times New Roman" w:hAnsi="Times New Roman" w:cs="Times New Roman"/>
          <w:sz w:val="28"/>
          <w:szCs w:val="28"/>
          <w:lang w:val="en-US"/>
        </w:rPr>
        <w:t xml:space="preserve">, identified 1,000 key terms (from 3,456 meeting a minimum frequency of 5 within 40,057 total publications). Analysis revealed China's dominance in this research area, with overlay visualizations highlighting strong links between "innovation," "regional planning," "knowledge," and "R&amp;D" from 2014-2017, emphasizing the importance of a knowledge-based economy. Conversely, for Kazakhstan, the analysis showed limited keyword co-occurrences and weak connections within this domain. Furthermore, Kazakhstani research primarily focuses on regional </w:t>
      </w:r>
      <w:r w:rsidRPr="00244343">
        <w:rPr>
          <w:rStyle w:val="a3"/>
          <w:rFonts w:ascii="Times New Roman" w:hAnsi="Times New Roman" w:cs="Times New Roman"/>
          <w:sz w:val="28"/>
          <w:szCs w:val="28"/>
          <w:lang w:val="en-US"/>
        </w:rPr>
        <w:t>economic</w:t>
      </w:r>
      <w:r w:rsidRPr="00244343">
        <w:rPr>
          <w:rFonts w:ascii="Times New Roman" w:hAnsi="Times New Roman" w:cs="Times New Roman"/>
          <w:sz w:val="28"/>
          <w:szCs w:val="28"/>
          <w:lang w:val="en-US"/>
        </w:rPr>
        <w:t xml:space="preserve"> development. This suggests a prioritization of economic growth over the integration of innovation frameworks, such as the Triple Helix, into broader regional development strategies.</w:t>
      </w:r>
    </w:p>
    <w:p w14:paraId="7AF7C5FC"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sample selection and data collection for R-</w:t>
      </w:r>
      <w:proofErr w:type="spellStart"/>
      <w:r w:rsidRPr="00244343">
        <w:rPr>
          <w:rFonts w:ascii="Times New Roman" w:hAnsi="Times New Roman" w:cs="Times New Roman"/>
          <w:sz w:val="28"/>
          <w:szCs w:val="28"/>
          <w:lang w:val="en-US"/>
        </w:rPr>
        <w:t>Rstudio</w:t>
      </w:r>
      <w:proofErr w:type="spellEnd"/>
      <w:r w:rsidRPr="00244343">
        <w:rPr>
          <w:rFonts w:ascii="Times New Roman" w:hAnsi="Times New Roman" w:cs="Times New Roman"/>
          <w:sz w:val="28"/>
          <w:szCs w:val="28"/>
          <w:lang w:val="en-US"/>
        </w:rPr>
        <w:t xml:space="preserve"> – </w:t>
      </w:r>
      <w:proofErr w:type="spellStart"/>
      <w:r w:rsidRPr="00244343">
        <w:rPr>
          <w:rFonts w:ascii="Times New Roman" w:hAnsi="Times New Roman" w:cs="Times New Roman"/>
          <w:sz w:val="28"/>
          <w:szCs w:val="28"/>
          <w:lang w:val="en-US"/>
        </w:rPr>
        <w:t>Biblioshiny</w:t>
      </w:r>
      <w:proofErr w:type="spellEnd"/>
      <w:r w:rsidRPr="00244343">
        <w:rPr>
          <w:rFonts w:ascii="Times New Roman" w:hAnsi="Times New Roman" w:cs="Times New Roman"/>
          <w:sz w:val="28"/>
          <w:szCs w:val="28"/>
          <w:lang w:val="en-US"/>
        </w:rPr>
        <w:t xml:space="preserve"> software were exclusively derived from the Web of Science database. However, exporting from Scopus failed due to an excessive volume of international documents. The comprehensive dataset about the terms "UIC" within global and Kazakhstani contexts yielded 2,536 articles from 1978 to 2024. </w:t>
      </w:r>
    </w:p>
    <w:p w14:paraId="0E7343AB"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Global analysis (1978-2024) included thematic evolution, co-occurrence networks, factorial analysis, annual scientific production, average citations, trending keyword analysis, and </w:t>
      </w:r>
      <w:proofErr w:type="spellStart"/>
      <w:r w:rsidRPr="00244343">
        <w:rPr>
          <w:rFonts w:ascii="Times New Roman" w:hAnsi="Times New Roman" w:cs="Times New Roman"/>
          <w:sz w:val="28"/>
          <w:szCs w:val="28"/>
          <w:lang w:val="en-US"/>
        </w:rPr>
        <w:t>treemaps</w:t>
      </w:r>
      <w:proofErr w:type="spellEnd"/>
      <w:r w:rsidRPr="00244343">
        <w:rPr>
          <w:rFonts w:ascii="Times New Roman" w:hAnsi="Times New Roman" w:cs="Times New Roman"/>
          <w:sz w:val="28"/>
          <w:szCs w:val="28"/>
          <w:lang w:val="en-US"/>
        </w:rPr>
        <w:t xml:space="preserve"> of frequent terms.  Due to limited data (14 results from Web of Science), the Kazakhstan analysis focused on annual scientific production, </w:t>
      </w:r>
      <w:proofErr w:type="spellStart"/>
      <w:r w:rsidRPr="00244343">
        <w:rPr>
          <w:rFonts w:ascii="Times New Roman" w:hAnsi="Times New Roman" w:cs="Times New Roman"/>
          <w:sz w:val="28"/>
          <w:szCs w:val="28"/>
          <w:lang w:val="en-US"/>
        </w:rPr>
        <w:t>treemaps</w:t>
      </w:r>
      <w:proofErr w:type="spellEnd"/>
      <w:r w:rsidRPr="00244343">
        <w:rPr>
          <w:rFonts w:ascii="Times New Roman" w:hAnsi="Times New Roman" w:cs="Times New Roman"/>
          <w:sz w:val="28"/>
          <w:szCs w:val="28"/>
          <w:lang w:val="en-US"/>
        </w:rPr>
        <w:t xml:space="preserve">, trending keywords, co-occurrence networks, thematic maps, </w:t>
      </w:r>
      <w:r w:rsidRPr="00244343">
        <w:rPr>
          <w:rFonts w:ascii="Times New Roman" w:hAnsi="Times New Roman" w:cs="Times New Roman"/>
          <w:sz w:val="28"/>
          <w:szCs w:val="28"/>
          <w:lang w:val="en-US"/>
        </w:rPr>
        <w:lastRenderedPageBreak/>
        <w:t xml:space="preserve">and factorial analysis, precluding thematic evolution analysis.  Global thematic evolution (six time periods) revealed the consistent use of "University-Industry Collaboration," with "collaboration" evolving to encompass related terms like "cooperation" and "linkages" after 2019.  The importance of "entrepreneurship" emerged around 2012, while "Triple Helix," "Management," and "barriers" appeared after 2019, highlighting the growing relevance of these concepts in UIC research. </w:t>
      </w:r>
    </w:p>
    <w:p w14:paraId="76F7B8FB" w14:textId="1B68675D"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This dissertation proposes a context-specific mechanism based on identified factors and a comprehensive bibliometric and systematic literature review analysis of the Triple Helix Model (THM) and university-industry collaboration (UIC) challenges in Kazakhstan.  This mechanism outlines the structure, instruments, forms and structures essential for establishing a </w:t>
      </w:r>
      <w:proofErr w:type="spellStart"/>
      <w:r w:rsidRPr="00244343">
        <w:rPr>
          <w:rFonts w:ascii="Times New Roman" w:hAnsi="Times New Roman" w:cs="Times New Roman"/>
          <w:sz w:val="28"/>
          <w:szCs w:val="28"/>
          <w:lang w:val="en-US"/>
        </w:rPr>
        <w:t>favourable</w:t>
      </w:r>
      <w:proofErr w:type="spellEnd"/>
      <w:r w:rsidRPr="00244343">
        <w:rPr>
          <w:rFonts w:ascii="Times New Roman" w:hAnsi="Times New Roman" w:cs="Times New Roman"/>
          <w:sz w:val="28"/>
          <w:szCs w:val="28"/>
          <w:lang w:val="en-US"/>
        </w:rPr>
        <w:t xml:space="preserve"> atmosphere for the efficacy of THM-UIC-cluster interactions.  Drawing on Chinese case studies, the importance of institutional support and university-run enterprises (UREs) in fostering innovative institutions is highlighted, and its applicability to Kazakhstan is explored.</w:t>
      </w:r>
      <w:r w:rsidR="00BB0AD8" w:rsidRPr="00BB0AD8">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Dealing with previously noted obstacles, including low SMEs' involvement and trust gaps, this study emphasizes the need for more institutional support to drive high-impact research production within Kazakhstan's UIC area.</w:t>
      </w:r>
    </w:p>
    <w:p w14:paraId="1880686D"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Inspired by worldwide models, most notably those in Brazil, China, and Silicon Valley, Kazakhstan's growing innovation economy boasts many business incubators.  Supported by governmental bodies like "</w:t>
      </w:r>
      <w:proofErr w:type="spellStart"/>
      <w:r w:rsidRPr="00244343">
        <w:rPr>
          <w:rFonts w:ascii="Times New Roman" w:hAnsi="Times New Roman" w:cs="Times New Roman"/>
          <w:sz w:val="28"/>
          <w:szCs w:val="28"/>
          <w:lang w:val="en-US"/>
        </w:rPr>
        <w:t>QazInnovations</w:t>
      </w:r>
      <w:proofErr w:type="spellEnd"/>
      <w:r w:rsidRPr="00244343">
        <w:rPr>
          <w:rFonts w:ascii="Times New Roman" w:hAnsi="Times New Roman" w:cs="Times New Roman"/>
          <w:sz w:val="28"/>
          <w:szCs w:val="28"/>
          <w:lang w:val="en-US"/>
        </w:rPr>
        <w:t>" JSC, which offers analytical help, these incubators—including well-known ones like MOST, Astana Hub, and university-based projects—also support each other.  Further research on optimizing the triple helix model is crucial for effectively implementing such frameworks and fostering innovation in Kazakhstan.</w:t>
      </w:r>
    </w:p>
    <w:p w14:paraId="5099C007" w14:textId="77777777" w:rsidR="0045502E" w:rsidRDefault="00600C79" w:rsidP="0045502E">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The findings suggest a strategic approach is crucial for implementing the THM in Kazakhstan, addressing the nation's specific needs and challenges. A suggested mechanism for enhancing University-Industry Collaboration (UIC), based on several bibliometric evaluations, encompasses collaborative research initiatives, effective Technology Transfer Offices (TTOs), industry-funded research, talent cultivation programs, and incubation and acceleration initiatives. These projects seek to close the discrepancy between academics and industry, cultivating a collaborative atmosphere for innovation.</w:t>
      </w:r>
    </w:p>
    <w:p w14:paraId="6A5D19E8" w14:textId="4136063A" w:rsidR="00F40BBC" w:rsidRDefault="00600C79" w:rsidP="0045502E">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3.This dissertation has examined the implementation of the Triple Helix model, drawing insights from </w:t>
      </w:r>
      <w:r w:rsidR="00501AA7">
        <w:rPr>
          <w:rFonts w:ascii="Times New Roman" w:hAnsi="Times New Roman" w:cs="Times New Roman"/>
          <w:sz w:val="28"/>
          <w:szCs w:val="28"/>
          <w:lang w:val="en-US"/>
        </w:rPr>
        <w:t xml:space="preserve">international practices and </w:t>
      </w:r>
      <w:r w:rsidRPr="00244343">
        <w:rPr>
          <w:rFonts w:ascii="Times New Roman" w:hAnsi="Times New Roman" w:cs="Times New Roman"/>
          <w:sz w:val="28"/>
          <w:szCs w:val="28"/>
          <w:lang w:val="en-US"/>
        </w:rPr>
        <w:t xml:space="preserve">inform recommendations for Kazakhstan. This research investigates the influence of political stability on the double spiral of university-industry collaboration and regional cluster development, drawing on international examples.  Correlation analysis reveals a relationship between political stability and business initiatives, encompassing industry-university collaboration on regional cluster development and entrepreneurial activity.  This research presents a new comparative examination of political stability and regional cluster development differentially impact new business ventures and university-industry research collaboration across diverse economies. A novel comparative analysis of political stability and regional cluster development </w:t>
      </w:r>
      <w:r w:rsidRPr="00244343">
        <w:rPr>
          <w:rFonts w:ascii="Times New Roman" w:hAnsi="Times New Roman" w:cs="Times New Roman"/>
          <w:sz w:val="28"/>
          <w:szCs w:val="28"/>
          <w:lang w:val="en-US"/>
        </w:rPr>
        <w:lastRenderedPageBreak/>
        <w:t>differentially influence new business ventures and university-industry research collaboration across diverse economies.</w:t>
      </w:r>
    </w:p>
    <w:p w14:paraId="32F87F3D" w14:textId="0D5754CE" w:rsidR="00600C79" w:rsidRPr="00244343" w:rsidRDefault="00600C79" w:rsidP="00F40BBC">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A systematic literature review explored historical perspectives, the presence and nature of university-industry (U-I) relationships within Triple Helix (TH) data, TH performance results, the dynamics of TH connections, and the alignment of national innovation systems (NIS) with the TH model.  Data sources included Scopus, Web of Science, Google Scholar, and national government websites.  Complementary secondary data on innovation output (starting a business, U-I research collaboration, cluster presence, and political stability) were extracted from GII reports (2008-2023).  Political stability indices were derived from GII reports (2010-2023) using a ranked average of each country's political ranking.</w:t>
      </w:r>
    </w:p>
    <w:p w14:paraId="02360F18" w14:textId="09C40D45"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Correlation analysis reveals a strong negative relationship between political instability and new business ventures, exemplified by correlation coefficients of -0.86 for China and -0.84 for Italy.  Though weaker, Japan and Kazakhstan also exhibited negative correlations at -0.11 and -0.18, respectively.  Conversely, a strong positive association emerged between regional cluster development and university-industry (UI) research collaboration, with coefficients of 0.81 for China and 0.78 for Japan.  Italy and Kazakhstan showed weaker positive relationships at 0.04 and 0.10, respectively.</w:t>
      </w:r>
      <w:r w:rsidR="00A6210F">
        <w:rPr>
          <w:rFonts w:ascii="Times New Roman" w:hAnsi="Times New Roman" w:cs="Times New Roman"/>
          <w:sz w:val="28"/>
          <w:szCs w:val="28"/>
          <w:lang w:val="en-US"/>
        </w:rPr>
        <w:t xml:space="preserve"> </w:t>
      </w:r>
      <w:r w:rsidR="00B77529" w:rsidRPr="00A6210F">
        <w:rPr>
          <w:rFonts w:ascii="Times New Roman" w:hAnsi="Times New Roman" w:cs="Times New Roman"/>
          <w:sz w:val="28"/>
          <w:szCs w:val="28"/>
          <w:lang w:val="en-US"/>
        </w:rPr>
        <w:t>These results highlight that the role of political stability in fostering innovation and entrepreneurship varies by country, exerting a stronger influence in contexts like China and Italy, while in Kazakhstan and Japan other institutional factors play a more prominent role</w:t>
      </w:r>
      <w:r w:rsidRPr="00244343">
        <w:rPr>
          <w:rFonts w:ascii="Times New Roman" w:hAnsi="Times New Roman" w:cs="Times New Roman"/>
          <w:sz w:val="28"/>
          <w:szCs w:val="28"/>
          <w:lang w:val="en-US"/>
        </w:rPr>
        <w:t>.</w:t>
      </w:r>
      <w:r w:rsidR="00A6210F">
        <w:rPr>
          <w:rFonts w:ascii="Times New Roman" w:hAnsi="Times New Roman" w:cs="Times New Roman"/>
          <w:sz w:val="28"/>
          <w:szCs w:val="28"/>
          <w:lang w:val="en-US"/>
        </w:rPr>
        <w:t xml:space="preserve"> </w:t>
      </w:r>
    </w:p>
    <w:p w14:paraId="6EEDCD94"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This study underlines the following leading suggestions for Kazakhstan: </w:t>
      </w:r>
    </w:p>
    <w:p w14:paraId="19B1547F" w14:textId="1A7EF12C" w:rsidR="00E364BB" w:rsidRPr="00E364BB" w:rsidRDefault="005C7865" w:rsidP="00E364BB">
      <w:pPr>
        <w:pStyle w:val="ad"/>
        <w:numPr>
          <w:ilvl w:val="0"/>
          <w:numId w:val="11"/>
        </w:numPr>
        <w:spacing w:after="0" w:line="240" w:lineRule="auto"/>
        <w:ind w:firstLine="709"/>
        <w:jc w:val="both"/>
        <w:rPr>
          <w:rFonts w:ascii="Times New Roman" w:hAnsi="Times New Roman" w:cs="Times New Roman"/>
          <w:sz w:val="28"/>
          <w:szCs w:val="28"/>
          <w:lang w:val="en-US"/>
        </w:rPr>
      </w:pPr>
      <w:r w:rsidRPr="005C7865">
        <w:rPr>
          <w:rFonts w:ascii="Times New Roman" w:hAnsi="Times New Roman" w:cs="Times New Roman"/>
          <w:sz w:val="28"/>
          <w:szCs w:val="28"/>
          <w:lang w:val="en-US"/>
        </w:rPr>
        <w:t>While the correlation analysis indicates a relatively weak statistical relationship between political stability and new business ventures in Kazakhstan, the study highlights that political stability still plays a foundational role in addressing systemic risks and building the trust necessary for long-term investment and entrepreneurial ecosystem development.</w:t>
      </w:r>
    </w:p>
    <w:p w14:paraId="49C51737" w14:textId="4C39E9F2" w:rsidR="00600C79" w:rsidRPr="00244343" w:rsidRDefault="00600C79" w:rsidP="00E364BB">
      <w:pPr>
        <w:pStyle w:val="ad"/>
        <w:numPr>
          <w:ilvl w:val="0"/>
          <w:numId w:val="11"/>
        </w:numPr>
        <w:spacing w:after="0" w:line="240" w:lineRule="auto"/>
        <w:ind w:firstLine="709"/>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Developing stronger University-Industry Relationships: The good interaction between UI research projects and cluster growth emphasizes the necessity of closing the gap between academics and business. Kazakhstan should give projects promoting these important links top priority. </w:t>
      </w:r>
    </w:p>
    <w:p w14:paraId="291886AD"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It can be achieved through several concrete steps: </w:t>
      </w:r>
    </w:p>
    <w:p w14:paraId="2CF371B1" w14:textId="282813D7" w:rsidR="00600C79" w:rsidRPr="00244343" w:rsidRDefault="00600C79" w:rsidP="00E364BB">
      <w:pPr>
        <w:pStyle w:val="ad"/>
        <w:numPr>
          <w:ilvl w:val="0"/>
          <w:numId w:val="11"/>
        </w:numPr>
        <w:spacing w:after="0" w:line="240" w:lineRule="auto"/>
        <w:ind w:firstLine="709"/>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Incentivizing joint research projects through targeted funding and resources; empowering Technology Transfer Offices (TTOs) to commercialize university research effectively; </w:t>
      </w:r>
    </w:p>
    <w:p w14:paraId="125D5AC9" w14:textId="33AB2BA6" w:rsidR="00600C79" w:rsidRPr="00244343" w:rsidRDefault="00600C79" w:rsidP="00E364BB">
      <w:pPr>
        <w:pStyle w:val="ad"/>
        <w:numPr>
          <w:ilvl w:val="0"/>
          <w:numId w:val="11"/>
        </w:numPr>
        <w:spacing w:after="0" w:line="240" w:lineRule="auto"/>
        <w:ind w:firstLine="709"/>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Actively promoting industry-sponsored research aligned with business needs;  </w:t>
      </w:r>
    </w:p>
    <w:p w14:paraId="22708F70" w14:textId="5DB7245D" w:rsidR="00600C79" w:rsidRPr="00244343" w:rsidRDefault="00600C79" w:rsidP="00E364BB">
      <w:pPr>
        <w:pStyle w:val="ad"/>
        <w:numPr>
          <w:ilvl w:val="0"/>
          <w:numId w:val="11"/>
        </w:numPr>
        <w:spacing w:after="0" w:line="240" w:lineRule="auto"/>
        <w:ind w:firstLine="709"/>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Developing talent mobility programs that facilitate the exchange of expertise between universities and businesses. For example, combining UI cooperation projects with tax benefits for new start-ups might significantly increase these initiatives. </w:t>
      </w:r>
    </w:p>
    <w:p w14:paraId="533B7AED" w14:textId="62E70DBD" w:rsidR="00600C79" w:rsidRPr="0045502E" w:rsidRDefault="0045502E" w:rsidP="0045502E">
      <w:pPr>
        <w:spacing w:after="0" w:line="240" w:lineRule="auto"/>
        <w:ind w:firstLine="720"/>
        <w:jc w:val="both"/>
        <w:rPr>
          <w:rFonts w:ascii="Times New Roman" w:hAnsi="Times New Roman" w:cs="Times New Roman"/>
          <w:sz w:val="28"/>
          <w:szCs w:val="28"/>
          <w:lang w:val="en-US"/>
        </w:rPr>
      </w:pPr>
      <w:r w:rsidRPr="0045502E">
        <w:rPr>
          <w:rFonts w:ascii="Times New Roman" w:hAnsi="Times New Roman" w:cs="Times New Roman"/>
          <w:sz w:val="28"/>
          <w:szCs w:val="28"/>
          <w:lang w:val="en-US"/>
        </w:rPr>
        <w:t>4.</w:t>
      </w:r>
      <w:r>
        <w:rPr>
          <w:rFonts w:ascii="Times New Roman" w:hAnsi="Times New Roman" w:cs="Times New Roman"/>
          <w:sz w:val="28"/>
          <w:szCs w:val="28"/>
          <w:lang w:val="en-US"/>
        </w:rPr>
        <w:t xml:space="preserve"> </w:t>
      </w:r>
      <w:r w:rsidR="00600C79" w:rsidRPr="0045502E">
        <w:rPr>
          <w:rFonts w:ascii="Times New Roman" w:hAnsi="Times New Roman" w:cs="Times New Roman"/>
          <w:sz w:val="28"/>
          <w:szCs w:val="28"/>
          <w:lang w:val="en-US"/>
        </w:rPr>
        <w:t xml:space="preserve">The fourth objective empirically looks at how education and the university surroundings affect Kazakhstani students' entrepreneurial intentions and activity.  It </w:t>
      </w:r>
      <w:r w:rsidR="00600C79" w:rsidRPr="0045502E">
        <w:rPr>
          <w:rFonts w:ascii="Times New Roman" w:hAnsi="Times New Roman" w:cs="Times New Roman"/>
          <w:sz w:val="28"/>
          <w:szCs w:val="28"/>
          <w:lang w:val="en-US"/>
        </w:rPr>
        <w:lastRenderedPageBreak/>
        <w:t xml:space="preserve">mainly examines how locus of control and self-efficacy affect these entrepreneurial actions. Furthermore, the study analyzes how social networking, technological development, and entrepreneurship education influence students' successful employment outcomes. There were analyzed the determinants affecting Kazakhstan's student entrepreneurship and graduate employment outcomes. The study revealed that locus of control and entrepreneurial self-efficacy directly influence entrepreneurial intention, but the university environment and program learning indirectly affect locus of control. A survey of 2,791 students from over 30 Kazakhstani universities, predominantly female (67.32%) and unmarried (84.81%) aged 18-20 (58.56%), explored student perspectives.  Respondents represented diverse academic disciplines, including natural sciences (14.98%), engineering (13.5%), and arts and humanities (13.4%), and were geographically distributed across Kazakhstan, primarily from the Southern (65.7%) and Central (33.93%) regions.  M. </w:t>
      </w:r>
      <w:proofErr w:type="spellStart"/>
      <w:r w:rsidR="00600C79" w:rsidRPr="0045502E">
        <w:rPr>
          <w:rFonts w:ascii="Times New Roman" w:hAnsi="Times New Roman" w:cs="Times New Roman"/>
          <w:sz w:val="28"/>
          <w:szCs w:val="28"/>
          <w:lang w:val="en-US"/>
        </w:rPr>
        <w:t>Dulaty</w:t>
      </w:r>
      <w:proofErr w:type="spellEnd"/>
      <w:r w:rsidR="00600C79" w:rsidRPr="0045502E">
        <w:rPr>
          <w:rFonts w:ascii="Times New Roman" w:hAnsi="Times New Roman" w:cs="Times New Roman"/>
          <w:sz w:val="28"/>
          <w:szCs w:val="28"/>
          <w:lang w:val="en-US"/>
        </w:rPr>
        <w:t xml:space="preserve"> </w:t>
      </w:r>
      <w:proofErr w:type="spellStart"/>
      <w:r w:rsidR="00600C79" w:rsidRPr="0045502E">
        <w:rPr>
          <w:rFonts w:ascii="Times New Roman" w:hAnsi="Times New Roman" w:cs="Times New Roman"/>
          <w:sz w:val="28"/>
          <w:szCs w:val="28"/>
          <w:lang w:val="en-US"/>
        </w:rPr>
        <w:t>Taraz</w:t>
      </w:r>
      <w:proofErr w:type="spellEnd"/>
      <w:r w:rsidR="00600C79" w:rsidRPr="0045502E">
        <w:rPr>
          <w:rFonts w:ascii="Times New Roman" w:hAnsi="Times New Roman" w:cs="Times New Roman"/>
          <w:sz w:val="28"/>
          <w:szCs w:val="28"/>
          <w:lang w:val="en-US"/>
        </w:rPr>
        <w:t xml:space="preserve"> State University, L.N. </w:t>
      </w:r>
      <w:proofErr w:type="spellStart"/>
      <w:r w:rsidR="00600C79" w:rsidRPr="0045502E">
        <w:rPr>
          <w:rFonts w:ascii="Times New Roman" w:hAnsi="Times New Roman" w:cs="Times New Roman"/>
          <w:sz w:val="28"/>
          <w:szCs w:val="28"/>
          <w:lang w:val="en-US"/>
        </w:rPr>
        <w:t>Gumilyov</w:t>
      </w:r>
      <w:proofErr w:type="spellEnd"/>
      <w:r w:rsidR="00600C79" w:rsidRPr="0045502E">
        <w:rPr>
          <w:rFonts w:ascii="Times New Roman" w:hAnsi="Times New Roman" w:cs="Times New Roman"/>
          <w:sz w:val="28"/>
          <w:szCs w:val="28"/>
          <w:lang w:val="en-US"/>
        </w:rPr>
        <w:t xml:space="preserve"> Eurasian National University, </w:t>
      </w:r>
      <w:proofErr w:type="spellStart"/>
      <w:r w:rsidR="00600C79" w:rsidRPr="0045502E">
        <w:rPr>
          <w:rFonts w:ascii="Times New Roman" w:hAnsi="Times New Roman" w:cs="Times New Roman"/>
          <w:sz w:val="28"/>
          <w:szCs w:val="28"/>
          <w:lang w:val="en-US"/>
        </w:rPr>
        <w:t>Abai</w:t>
      </w:r>
      <w:proofErr w:type="spellEnd"/>
      <w:r w:rsidR="00600C79" w:rsidRPr="0045502E">
        <w:rPr>
          <w:rFonts w:ascii="Times New Roman" w:hAnsi="Times New Roman" w:cs="Times New Roman"/>
          <w:sz w:val="28"/>
          <w:szCs w:val="28"/>
          <w:lang w:val="en-US"/>
        </w:rPr>
        <w:t xml:space="preserve"> Kazakh National Pedagogical University, </w:t>
      </w:r>
      <w:proofErr w:type="spellStart"/>
      <w:r w:rsidR="00600C79" w:rsidRPr="0045502E">
        <w:rPr>
          <w:rFonts w:ascii="Times New Roman" w:hAnsi="Times New Roman" w:cs="Times New Roman"/>
          <w:sz w:val="28"/>
          <w:szCs w:val="28"/>
          <w:lang w:val="en-US"/>
        </w:rPr>
        <w:t>Turan</w:t>
      </w:r>
      <w:proofErr w:type="spellEnd"/>
      <w:r w:rsidR="00600C79" w:rsidRPr="0045502E">
        <w:rPr>
          <w:rFonts w:ascii="Times New Roman" w:hAnsi="Times New Roman" w:cs="Times New Roman"/>
          <w:sz w:val="28"/>
          <w:szCs w:val="28"/>
          <w:lang w:val="en-US"/>
        </w:rPr>
        <w:t xml:space="preserve"> University, and </w:t>
      </w:r>
      <w:proofErr w:type="spellStart"/>
      <w:r w:rsidR="00600C79" w:rsidRPr="0045502E">
        <w:rPr>
          <w:rFonts w:ascii="Times New Roman" w:hAnsi="Times New Roman" w:cs="Times New Roman"/>
          <w:sz w:val="28"/>
          <w:szCs w:val="28"/>
          <w:lang w:val="en-US"/>
        </w:rPr>
        <w:t>Taraz</w:t>
      </w:r>
      <w:proofErr w:type="spellEnd"/>
      <w:r w:rsidR="00600C79" w:rsidRPr="0045502E">
        <w:rPr>
          <w:rFonts w:ascii="Times New Roman" w:hAnsi="Times New Roman" w:cs="Times New Roman"/>
          <w:sz w:val="28"/>
          <w:szCs w:val="28"/>
          <w:lang w:val="en-US"/>
        </w:rPr>
        <w:t xml:space="preserve"> State Pedagogical University had the highest student participation rates.</w:t>
      </w:r>
    </w:p>
    <w:p w14:paraId="2BE7BBA1"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 Following data cleaning, the GUESSS survey sample of Kazakhstani university students comprised 713 participants. The majority (88.8%, n=633) were undergraduates, while 11% (n=78) pursued graduate degrees. The sample was predominantly female (70%, n=499), with 29% (n=207) identifying as male and 1% (n=7) as other. Structural equation modelling (SEM) using </w:t>
      </w:r>
      <w:proofErr w:type="spellStart"/>
      <w:r w:rsidRPr="00244343">
        <w:rPr>
          <w:rFonts w:ascii="Times New Roman" w:hAnsi="Times New Roman" w:cs="Times New Roman"/>
          <w:sz w:val="28"/>
          <w:szCs w:val="28"/>
          <w:lang w:val="en-US"/>
        </w:rPr>
        <w:t>Jamovi</w:t>
      </w:r>
      <w:proofErr w:type="spellEnd"/>
      <w:r w:rsidRPr="00244343">
        <w:rPr>
          <w:rFonts w:ascii="Times New Roman" w:hAnsi="Times New Roman" w:cs="Times New Roman"/>
          <w:sz w:val="28"/>
          <w:szCs w:val="28"/>
          <w:lang w:val="en-US"/>
        </w:rPr>
        <w:t xml:space="preserve"> was employed to test model fit and hypotheses. Before SEM, correlation analysis confirmed significant inter-variable relationships below the .90 multicollinearity threshold, ranging from .151 to .803. Initial model testing revealed poor fit indices (χ²/df &gt; 5, SRMR &gt; .10, RMSEA &gt; .80), necessitating model modification through the addition of a covariance link. Path analysis (using β, z, and significance values) was used to evaluate the 20 proposed hypotheses, of which 13 were supported. After removing unsupported hypotheses, the revised model showed that entrepreneurial intention (R² = .542) was directly influenced by locus of control and self-efficacy, with indirect effects from the university environment and program learning. Similarly, entrepreneurial attitude (R² = .477) was directly influenced by self-efficacy and locus of control, with indirect effects from the university environment and program learning. Self-efficacy is the most significant indicator of both entrepreneurial intention and attitude. </w:t>
      </w:r>
    </w:p>
    <w:p w14:paraId="7415C7AF"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A logistic regression model based on primary data from 300 Kazakhstani university graduates (determined via sample size calculation and non-random sampling) explored factors influencing employment likelihood.  The model, analyzing responses from an online questionnaire (Cronbach's Alpha = 0.723), examined the impact of practical experience, job availability in one's </w:t>
      </w:r>
      <w:proofErr w:type="spellStart"/>
      <w:r w:rsidRPr="00244343">
        <w:rPr>
          <w:rFonts w:ascii="Times New Roman" w:hAnsi="Times New Roman" w:cs="Times New Roman"/>
          <w:sz w:val="28"/>
          <w:szCs w:val="28"/>
          <w:lang w:val="en-US"/>
        </w:rPr>
        <w:t>speciality</w:t>
      </w:r>
      <w:proofErr w:type="spellEnd"/>
      <w:r w:rsidRPr="00244343">
        <w:rPr>
          <w:rFonts w:ascii="Times New Roman" w:hAnsi="Times New Roman" w:cs="Times New Roman"/>
          <w:sz w:val="28"/>
          <w:szCs w:val="28"/>
          <w:lang w:val="en-US"/>
        </w:rPr>
        <w:t xml:space="preserve">, social connections, and the development of research, technology, innovation, and entrepreneurship.  Results indicated that lack of experience and limited job offers negatively correlated with employment likelihood, while social connections and the development of research, technology, and innovation showed positive associations.  Social connections emerged as the most influential factor.  This model, </w:t>
      </w:r>
      <w:r w:rsidRPr="00244343">
        <w:rPr>
          <w:rFonts w:ascii="Times New Roman" w:hAnsi="Times New Roman" w:cs="Times New Roman"/>
          <w:sz w:val="28"/>
          <w:szCs w:val="28"/>
          <w:lang w:val="en-US"/>
        </w:rPr>
        <w:lastRenderedPageBreak/>
        <w:t>demonstrating good predictive properties, can be utilized by employment or university career centers to assess graduate employability.</w:t>
      </w:r>
    </w:p>
    <w:p w14:paraId="029A6742"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As an effort in innovation and, entrepreneurship, technology development, Kazakhstan is actively cultivating a vibrant startup ecosystem through a range of initiatives, including technology parks like Astana Hub, university-based accelerators such as ABC Quick Start (NU), and programs like Founder Institute and Kazakhstan Digital Accelerator, alongside venture funds like MOST Ventures, all of which aim to stimulate student entrepreneurship, facilitate university-industry collaboration, and ultimately drive economic growth and enhance employment opportunities by nurturing startups from ideation to global expansion.</w:t>
      </w:r>
    </w:p>
    <w:p w14:paraId="78780AFE"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This evidence assists in making the following suggestions:  Although courses like "Fundamentals of Entrepreneurship" are offered, a more thorough integration of entrepreneurial education is required. Incorporating the previously described curricular and experiential learning recommendations, alongside the identified employability characteristics, could substantially assist organizations such as "</w:t>
      </w:r>
      <w:proofErr w:type="spellStart"/>
      <w:r w:rsidRPr="00244343">
        <w:rPr>
          <w:rFonts w:ascii="Times New Roman" w:hAnsi="Times New Roman" w:cs="Times New Roman"/>
          <w:sz w:val="28"/>
          <w:szCs w:val="28"/>
          <w:lang w:val="en-US"/>
        </w:rPr>
        <w:t>Atameken</w:t>
      </w:r>
      <w:proofErr w:type="spellEnd"/>
      <w:r w:rsidRPr="00244343">
        <w:rPr>
          <w:rFonts w:ascii="Times New Roman" w:hAnsi="Times New Roman" w:cs="Times New Roman"/>
          <w:sz w:val="28"/>
          <w:szCs w:val="28"/>
          <w:lang w:val="en-US"/>
        </w:rPr>
        <w:t xml:space="preserve">" in formulating professional standards suited to the context of Kazakhstan. International documents such as the OECD Guidelines for Entrepreneurs and SMEs (which emphasize sustainable entrepreneurship, ethics, and innovation) and ISO Standards (such as ISO 56002 for Innovation Management) offer essential frameworks for establishing these professional standards. Their collective </w:t>
      </w:r>
      <w:proofErr w:type="spellStart"/>
      <w:r w:rsidRPr="00244343">
        <w:rPr>
          <w:rFonts w:ascii="Times New Roman" w:hAnsi="Times New Roman" w:cs="Times New Roman"/>
          <w:sz w:val="28"/>
          <w:szCs w:val="28"/>
          <w:lang w:val="en-US"/>
        </w:rPr>
        <w:t>endeavours</w:t>
      </w:r>
      <w:proofErr w:type="spellEnd"/>
      <w:r w:rsidRPr="00244343">
        <w:rPr>
          <w:rFonts w:ascii="Times New Roman" w:hAnsi="Times New Roman" w:cs="Times New Roman"/>
          <w:sz w:val="28"/>
          <w:szCs w:val="28"/>
          <w:lang w:val="en-US"/>
        </w:rPr>
        <w:t xml:space="preserve"> seek to cultivate a more resilient entrepreneurial ecosystem at Kazakhstani universities, enhance graduate employability, and foster national economic development.</w:t>
      </w:r>
    </w:p>
    <w:p w14:paraId="304A9F13"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5. This research proposes practical recommendations for implementing the Triple Helix model within Kazakhstani university innovation management systems.  These recommendations include integrating goal-gradient effect tools into educational platforms and establishing an AI-integrated Career Centre platform.  This study offers novel recommendations, grounded in behavioral psychology and AI, to enhance students' entrepreneurial skills and employment success.  </w:t>
      </w:r>
    </w:p>
    <w:p w14:paraId="39C55C91" w14:textId="77777777" w:rsidR="00600C79"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Grounded in behavioral economics, goal-gradient effect tools leverage the concept that proximity to a goal enhances the motivation to organize learning with clear progress indicators, augmenting student engagement. AI-integrated platforms in university career </w:t>
      </w:r>
      <w:proofErr w:type="spellStart"/>
      <w:r w:rsidRPr="00244343">
        <w:rPr>
          <w:rFonts w:ascii="Times New Roman" w:hAnsi="Times New Roman" w:cs="Times New Roman"/>
          <w:sz w:val="28"/>
          <w:szCs w:val="28"/>
          <w:lang w:val="en-US"/>
        </w:rPr>
        <w:t>centres</w:t>
      </w:r>
      <w:proofErr w:type="spellEnd"/>
      <w:r w:rsidRPr="00244343">
        <w:rPr>
          <w:rFonts w:ascii="Times New Roman" w:hAnsi="Times New Roman" w:cs="Times New Roman"/>
          <w:sz w:val="28"/>
          <w:szCs w:val="28"/>
          <w:lang w:val="en-US"/>
        </w:rPr>
        <w:t xml:space="preserve"> can provide personalized career guidance, automate job-matching processes, and analyze </w:t>
      </w:r>
      <w:proofErr w:type="spellStart"/>
      <w:r w:rsidRPr="00244343">
        <w:rPr>
          <w:rFonts w:ascii="Times New Roman" w:hAnsi="Times New Roman" w:cs="Times New Roman"/>
          <w:sz w:val="28"/>
          <w:szCs w:val="28"/>
          <w:lang w:val="en-US"/>
        </w:rPr>
        <w:t>labour</w:t>
      </w:r>
      <w:proofErr w:type="spellEnd"/>
      <w:r w:rsidRPr="00244343">
        <w:rPr>
          <w:rFonts w:ascii="Times New Roman" w:hAnsi="Times New Roman" w:cs="Times New Roman"/>
          <w:sz w:val="28"/>
          <w:szCs w:val="28"/>
          <w:lang w:val="en-US"/>
        </w:rPr>
        <w:t xml:space="preserve"> market trends to enhance student employment outcomes. They also streamline administrative tasks, allowing career advisors to focus on strategic counselling and mentorship.</w:t>
      </w:r>
      <w:r>
        <w:rPr>
          <w:rFonts w:ascii="Times New Roman" w:hAnsi="Times New Roman" w:cs="Times New Roman"/>
          <w:sz w:val="28"/>
          <w:szCs w:val="28"/>
          <w:lang w:val="en-US"/>
        </w:rPr>
        <w:t xml:space="preserve"> </w:t>
      </w:r>
      <w:r w:rsidRPr="00244343">
        <w:rPr>
          <w:rFonts w:ascii="Times New Roman" w:hAnsi="Times New Roman" w:cs="Times New Roman"/>
          <w:sz w:val="28"/>
          <w:szCs w:val="28"/>
          <w:lang w:val="en-US"/>
        </w:rPr>
        <w:t>These tools leverage heightened incentives to enhance perseverance and performance.</w:t>
      </w:r>
    </w:p>
    <w:p w14:paraId="610F11E2" w14:textId="77777777" w:rsidR="00C02FF7" w:rsidRDefault="00C02FF7" w:rsidP="00600C79">
      <w:pPr>
        <w:spacing w:after="0" w:line="240" w:lineRule="auto"/>
        <w:ind w:firstLine="720"/>
        <w:contextualSpacing/>
        <w:jc w:val="both"/>
        <w:rPr>
          <w:rFonts w:ascii="Times New Roman" w:hAnsi="Times New Roman" w:cs="Times New Roman"/>
          <w:sz w:val="28"/>
          <w:szCs w:val="28"/>
          <w:lang w:val="en-US"/>
        </w:rPr>
      </w:pPr>
      <w:r w:rsidRPr="0033062D">
        <w:rPr>
          <w:rFonts w:ascii="Times New Roman" w:hAnsi="Times New Roman" w:cs="Times New Roman"/>
          <w:sz w:val="28"/>
          <w:szCs w:val="28"/>
          <w:lang w:val="en-US"/>
        </w:rPr>
        <w:t xml:space="preserve">To verify the practical relevance of the proposed strategy, we developed </w:t>
      </w:r>
      <w:proofErr w:type="spellStart"/>
      <w:r w:rsidRPr="00C02FF7">
        <w:rPr>
          <w:rFonts w:ascii="Times New Roman" w:hAnsi="Times New Roman" w:cs="Times New Roman"/>
          <w:sz w:val="28"/>
          <w:szCs w:val="28"/>
          <w:lang w:val="en-US"/>
        </w:rPr>
        <w:t>UniChecker</w:t>
      </w:r>
      <w:proofErr w:type="spellEnd"/>
      <w:r w:rsidRPr="0033062D">
        <w:rPr>
          <w:rFonts w:ascii="Times New Roman" w:hAnsi="Times New Roman" w:cs="Times New Roman"/>
          <w:sz w:val="28"/>
          <w:szCs w:val="28"/>
          <w:lang w:val="en-US"/>
        </w:rPr>
        <w:t xml:space="preserve">, a Python-based tool that audited the digital environments of over 100 Kazakhstani universities. The results revealed that fewer than 14% use digital career solutions, fewer than 5% apply AI technologies, and more than 80% lack visualized educational or career progress. These findings confirm that the current digital ecosystems of most universities do not sufficiently reinforce the behavioral and </w:t>
      </w:r>
      <w:r w:rsidRPr="0033062D">
        <w:rPr>
          <w:rFonts w:ascii="Times New Roman" w:hAnsi="Times New Roman" w:cs="Times New Roman"/>
          <w:sz w:val="28"/>
          <w:szCs w:val="28"/>
          <w:lang w:val="en-US"/>
        </w:rPr>
        <w:lastRenderedPageBreak/>
        <w:t>institutional variables essential for enhancing graduate employability and fostering entrepreneurship.</w:t>
      </w:r>
    </w:p>
    <w:p w14:paraId="4C2249CA" w14:textId="5ECC5CC0"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secondary data was obtained from scientific databases including Scopus and the Web of Science. Furthermore, the official websites, educational programs, platforms, behavioral psychology literature, courses, online banking services, e-learning platforms, and the competence framework online platform (EICAA) of the following benchmarked businesses were examined at the respective universities and companies: Western University for Applied Sciences (Innovation course at Bergen University College), Starbucks, Uber, Yandex, Coursera, LinkedIn, </w:t>
      </w:r>
      <w:proofErr w:type="spellStart"/>
      <w:r w:rsidRPr="00244343">
        <w:rPr>
          <w:rFonts w:ascii="Times New Roman" w:hAnsi="Times New Roman" w:cs="Times New Roman"/>
          <w:sz w:val="28"/>
          <w:szCs w:val="28"/>
          <w:lang w:val="en-US"/>
        </w:rPr>
        <w:t>DuoLingo</w:t>
      </w:r>
      <w:proofErr w:type="spellEnd"/>
      <w:r w:rsidRPr="00244343">
        <w:rPr>
          <w:rFonts w:ascii="Times New Roman" w:hAnsi="Times New Roman" w:cs="Times New Roman"/>
          <w:sz w:val="28"/>
          <w:szCs w:val="28"/>
          <w:lang w:val="en-US"/>
        </w:rPr>
        <w:t xml:space="preserve">, and Moodle. It was found that only Coursera and </w:t>
      </w:r>
      <w:proofErr w:type="spellStart"/>
      <w:r w:rsidRPr="00244343">
        <w:rPr>
          <w:rFonts w:ascii="Times New Roman" w:hAnsi="Times New Roman" w:cs="Times New Roman"/>
          <w:sz w:val="28"/>
          <w:szCs w:val="28"/>
          <w:lang w:val="en-US"/>
        </w:rPr>
        <w:t>DuoLingo</w:t>
      </w:r>
      <w:proofErr w:type="spellEnd"/>
      <w:r w:rsidRPr="00244343">
        <w:rPr>
          <w:rFonts w:ascii="Times New Roman" w:hAnsi="Times New Roman" w:cs="Times New Roman"/>
          <w:sz w:val="28"/>
          <w:szCs w:val="28"/>
          <w:lang w:val="en-US"/>
        </w:rPr>
        <w:t xml:space="preserve"> among educational e-learning sites employed the goal-gradient effect. Moodle has the opportunity to manually configure the goal progress bar block. As a result, the interplay between the goal-gradient effect and education was outlined, and the mechanism for utilizing the goal-gradient effect to enhance student entrepreneurship at the university is presented.</w:t>
      </w:r>
    </w:p>
    <w:p w14:paraId="573B628C" w14:textId="77777777" w:rsidR="00C02FF7" w:rsidRDefault="00600C79" w:rsidP="00C02FF7">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The investigation focused on the Career </w:t>
      </w:r>
      <w:proofErr w:type="spellStart"/>
      <w:r w:rsidRPr="00244343">
        <w:rPr>
          <w:rFonts w:ascii="Times New Roman" w:hAnsi="Times New Roman" w:cs="Times New Roman"/>
          <w:sz w:val="28"/>
          <w:szCs w:val="28"/>
          <w:lang w:val="en-US"/>
        </w:rPr>
        <w:t>Centres</w:t>
      </w:r>
      <w:proofErr w:type="spellEnd"/>
      <w:r w:rsidRPr="00244343">
        <w:rPr>
          <w:rFonts w:ascii="Times New Roman" w:hAnsi="Times New Roman" w:cs="Times New Roman"/>
          <w:sz w:val="28"/>
          <w:szCs w:val="28"/>
          <w:lang w:val="en-US"/>
        </w:rPr>
        <w:t xml:space="preserve"> of global and Kazakhstani universities, utilizing their AI-integrated Career Centre platform applications as secondary data for benchmarking analysis. The analysis included the Sabah program, </w:t>
      </w:r>
      <w:proofErr w:type="spellStart"/>
      <w:r w:rsidRPr="00244343">
        <w:rPr>
          <w:rFonts w:ascii="Times New Roman" w:hAnsi="Times New Roman" w:cs="Times New Roman"/>
          <w:sz w:val="28"/>
          <w:szCs w:val="28"/>
          <w:lang w:val="en-US"/>
        </w:rPr>
        <w:t>Narxoz</w:t>
      </w:r>
      <w:proofErr w:type="spellEnd"/>
      <w:r w:rsidRPr="00244343">
        <w:rPr>
          <w:rFonts w:ascii="Times New Roman" w:hAnsi="Times New Roman" w:cs="Times New Roman"/>
          <w:sz w:val="28"/>
          <w:szCs w:val="28"/>
          <w:lang w:val="en-US"/>
        </w:rPr>
        <w:t xml:space="preserve"> University, NU (Career </w:t>
      </w:r>
      <w:proofErr w:type="spellStart"/>
      <w:r w:rsidRPr="00244343">
        <w:rPr>
          <w:rFonts w:ascii="Times New Roman" w:hAnsi="Times New Roman" w:cs="Times New Roman"/>
          <w:sz w:val="28"/>
          <w:szCs w:val="28"/>
          <w:lang w:val="en-US"/>
        </w:rPr>
        <w:t>Centres</w:t>
      </w:r>
      <w:proofErr w:type="spellEnd"/>
      <w:r w:rsidRPr="00244343">
        <w:rPr>
          <w:rFonts w:ascii="Times New Roman" w:hAnsi="Times New Roman" w:cs="Times New Roman"/>
          <w:sz w:val="28"/>
          <w:szCs w:val="28"/>
          <w:lang w:val="en-US"/>
        </w:rPr>
        <w:t xml:space="preserve"> and </w:t>
      </w:r>
      <w:proofErr w:type="spellStart"/>
      <w:r w:rsidRPr="00244343">
        <w:rPr>
          <w:rFonts w:ascii="Times New Roman" w:hAnsi="Times New Roman" w:cs="Times New Roman"/>
          <w:sz w:val="28"/>
          <w:szCs w:val="28"/>
          <w:lang w:val="en-US"/>
        </w:rPr>
        <w:t>programmes</w:t>
      </w:r>
      <w:proofErr w:type="spellEnd"/>
      <w:r w:rsidRPr="00244343">
        <w:rPr>
          <w:rFonts w:ascii="Times New Roman" w:hAnsi="Times New Roman" w:cs="Times New Roman"/>
          <w:sz w:val="28"/>
          <w:szCs w:val="28"/>
          <w:lang w:val="en-US"/>
        </w:rPr>
        <w:t>), as well as Carnegie Mellon University, the University of California, the University of Sheffield, the University of Melbourne, the University of Sydney, and the University of Waterloo's AI-integrated Career Centre platforms. Benchmarking research has led to the proposal of an AI-integrated CC platform mechanism for Kazakhstani universities.</w:t>
      </w:r>
    </w:p>
    <w:p w14:paraId="7FC79218" w14:textId="5C878D0F" w:rsidR="00BB75CA" w:rsidRPr="00BB75CA" w:rsidRDefault="00BB75CA" w:rsidP="00C02FF7">
      <w:pPr>
        <w:spacing w:after="0" w:line="240" w:lineRule="auto"/>
        <w:ind w:firstLine="720"/>
        <w:contextualSpacing/>
        <w:jc w:val="both"/>
        <w:rPr>
          <w:rFonts w:ascii="Times New Roman" w:hAnsi="Times New Roman" w:cs="Times New Roman"/>
          <w:sz w:val="28"/>
          <w:szCs w:val="28"/>
          <w:lang w:val="en-US"/>
        </w:rPr>
      </w:pPr>
      <w:r w:rsidRPr="00BB75CA">
        <w:rPr>
          <w:rFonts w:ascii="Times New Roman" w:hAnsi="Times New Roman" w:cs="Times New Roman"/>
          <w:sz w:val="28"/>
          <w:szCs w:val="28"/>
          <w:lang w:val="en-US"/>
        </w:rPr>
        <w:t>This dissertation successfully developed a holistic model that integrates academic innovation, graduate employment strategies, and university–industry–government collaboration to support sustainable national development in Kazakhstan. Through a dual-method approach—comprising empirical analysis of graduate employability and a review of international innovation policies—it identified structural gaps and transferable solutions. The regression analysis highlighted four key factors influencing graduate employment: lack of practical experience, limited jobs in graduate specialties, reliance on informal networks, and positive impacts of engagement in research and innovation. These findings were then mapped onto global policy models from countries such as China, Singapore, and France.</w:t>
      </w:r>
    </w:p>
    <w:p w14:paraId="263CADCA" w14:textId="77777777" w:rsidR="00BB75CA" w:rsidRPr="00BB75CA" w:rsidRDefault="00BB75CA" w:rsidP="00BB75CA">
      <w:pPr>
        <w:spacing w:after="0" w:line="240" w:lineRule="auto"/>
        <w:ind w:firstLine="720"/>
        <w:contextualSpacing/>
        <w:jc w:val="both"/>
        <w:rPr>
          <w:rFonts w:ascii="Times New Roman" w:hAnsi="Times New Roman" w:cs="Times New Roman"/>
          <w:sz w:val="28"/>
          <w:szCs w:val="28"/>
          <w:lang w:val="en-US"/>
        </w:rPr>
      </w:pPr>
      <w:r w:rsidRPr="00BB75CA">
        <w:rPr>
          <w:rFonts w:ascii="Times New Roman" w:hAnsi="Times New Roman" w:cs="Times New Roman"/>
          <w:sz w:val="28"/>
          <w:szCs w:val="28"/>
          <w:lang w:val="en-US"/>
        </w:rPr>
        <w:t>The analysis was framed within the Triple Helix model, emphasizing the need for institutionalized coordination between universities, industry, and government. The final model proposed consists of five interdependent pillars: embedded work-integrated learning, alignment of education with labor market needs, expansion of equitable career services, support for university-based innovation ecosystems, and promotion of graduate entrepreneurship. Each pillar is supported by international best practices and tailored to Kazakhstan’s institutional context.</w:t>
      </w:r>
    </w:p>
    <w:p w14:paraId="0F5E0D41" w14:textId="00E3D6A8" w:rsidR="00BB75CA" w:rsidRPr="00BB75CA" w:rsidRDefault="00BB75CA" w:rsidP="00BB75CA">
      <w:pPr>
        <w:spacing w:after="0" w:line="240" w:lineRule="auto"/>
        <w:ind w:firstLine="720"/>
        <w:contextualSpacing/>
        <w:jc w:val="both"/>
        <w:rPr>
          <w:rFonts w:ascii="Times New Roman" w:hAnsi="Times New Roman" w:cs="Times New Roman"/>
          <w:sz w:val="28"/>
          <w:szCs w:val="28"/>
          <w:lang w:val="en-US"/>
        </w:rPr>
      </w:pPr>
      <w:r w:rsidRPr="00BB75CA">
        <w:rPr>
          <w:rFonts w:ascii="Times New Roman" w:hAnsi="Times New Roman" w:cs="Times New Roman"/>
          <w:sz w:val="28"/>
          <w:szCs w:val="28"/>
          <w:lang w:val="en-US"/>
        </w:rPr>
        <w:t xml:space="preserve">The dissertation recommends the creation of a national coordination body for innovation and employability, mandatory internship policies, regional innovation </w:t>
      </w:r>
      <w:r w:rsidRPr="00BB75CA">
        <w:rPr>
          <w:rFonts w:ascii="Times New Roman" w:hAnsi="Times New Roman" w:cs="Times New Roman"/>
          <w:sz w:val="28"/>
          <w:szCs w:val="28"/>
          <w:lang w:val="en-US"/>
        </w:rPr>
        <w:lastRenderedPageBreak/>
        <w:t>labs, and co-financed commercialization funds. The model offers a systemic, scalable solution by embedding employability within the structure of academic innovation and policy governance. Ultimately, this research contributes to theory and practice by aligning innovation policy with labor market development through strategic co-creation among key national stakeholders.</w:t>
      </w:r>
    </w:p>
    <w:p w14:paraId="708E34D4"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This research presents a useful framework for improving cooperation among governments, businesses, and universities by using top-down and bottom-up management strategies. Emphasizing creative and pragmatic ideas for establishing and advancing university projects and programs, the results provide necessary recommendations for education policymakers and UI collaboration. This clears the course of forthcoming </w:t>
      </w:r>
      <w:proofErr w:type="spellStart"/>
      <w:r w:rsidRPr="00244343">
        <w:rPr>
          <w:rFonts w:ascii="Times New Roman" w:hAnsi="Times New Roman" w:cs="Times New Roman"/>
          <w:sz w:val="28"/>
          <w:szCs w:val="28"/>
          <w:lang w:val="en-US"/>
        </w:rPr>
        <w:t>initatitives</w:t>
      </w:r>
      <w:proofErr w:type="spellEnd"/>
      <w:r w:rsidRPr="00244343">
        <w:rPr>
          <w:rFonts w:ascii="Times New Roman" w:hAnsi="Times New Roman" w:cs="Times New Roman"/>
          <w:sz w:val="28"/>
          <w:szCs w:val="28"/>
          <w:lang w:val="en-US"/>
        </w:rPr>
        <w:t>.</w:t>
      </w:r>
    </w:p>
    <w:p w14:paraId="1A8DAD57"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 Consequently, scientific findings can be utilized in the </w:t>
      </w:r>
      <w:proofErr w:type="spellStart"/>
      <w:r w:rsidRPr="00244343">
        <w:rPr>
          <w:rFonts w:ascii="Times New Roman" w:hAnsi="Times New Roman" w:cs="Times New Roman"/>
          <w:sz w:val="28"/>
          <w:szCs w:val="28"/>
          <w:lang w:val="en-US"/>
        </w:rPr>
        <w:t>endeavours</w:t>
      </w:r>
      <w:proofErr w:type="spellEnd"/>
      <w:r w:rsidRPr="00244343">
        <w:rPr>
          <w:rFonts w:ascii="Times New Roman" w:hAnsi="Times New Roman" w:cs="Times New Roman"/>
          <w:sz w:val="28"/>
          <w:szCs w:val="28"/>
          <w:lang w:val="en-US"/>
        </w:rPr>
        <w:t xml:space="preserve"> of educational administrators, including those in universities. The dissertation's elements apply to the educational process for the preparation of bachelor's degrees in programs such as management, economics, finance, and others.</w:t>
      </w:r>
    </w:p>
    <w:p w14:paraId="483FB40D" w14:textId="77777777" w:rsidR="00600C79" w:rsidRPr="00244343" w:rsidRDefault="00600C79" w:rsidP="00600C79">
      <w:pPr>
        <w:spacing w:after="0" w:line="240" w:lineRule="auto"/>
        <w:ind w:firstLine="720"/>
        <w:contextualSpacing/>
        <w:jc w:val="both"/>
        <w:rPr>
          <w:rFonts w:ascii="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This dissertation is significant for several reasons: </w:t>
      </w:r>
      <w:r w:rsidRPr="00244343">
        <w:rPr>
          <w:rFonts w:ascii="Times New Roman" w:eastAsia="Times New Roman" w:hAnsi="Times New Roman" w:cs="Times New Roman"/>
          <w:i/>
          <w:iCs/>
          <w:sz w:val="28"/>
          <w:szCs w:val="28"/>
          <w:lang w:val="en-US"/>
        </w:rPr>
        <w:t>Firstly</w:t>
      </w:r>
      <w:r w:rsidRPr="00244343">
        <w:rPr>
          <w:rFonts w:ascii="Times New Roman" w:eastAsia="Times New Roman" w:hAnsi="Times New Roman" w:cs="Times New Roman"/>
          <w:sz w:val="28"/>
          <w:szCs w:val="28"/>
          <w:lang w:val="en-US"/>
        </w:rPr>
        <w:t xml:space="preserve">, it fills a critical knowledge gap by providing a comprehensive examination of the management practices of the Triple Helix model in Kazakhstan and globally, and thematic evaluation and evolution globally vs in Kazakhstan. </w:t>
      </w:r>
      <w:r w:rsidRPr="00244343">
        <w:rPr>
          <w:rFonts w:ascii="Times New Roman" w:eastAsia="Times New Roman" w:hAnsi="Times New Roman" w:cs="Times New Roman"/>
          <w:i/>
          <w:iCs/>
          <w:sz w:val="28"/>
          <w:szCs w:val="28"/>
          <w:lang w:val="en-US"/>
        </w:rPr>
        <w:t>Secondly,</w:t>
      </w:r>
      <w:r w:rsidRPr="00244343">
        <w:rPr>
          <w:rFonts w:ascii="Times New Roman" w:eastAsia="Times New Roman" w:hAnsi="Times New Roman" w:cs="Times New Roman"/>
          <w:sz w:val="28"/>
          <w:szCs w:val="28"/>
          <w:lang w:val="en-US"/>
        </w:rPr>
        <w:t xml:space="preserve"> the study offers valuable insights and evidence-based recommendations that can inform policymakers, university administrators, and other stakeholders in designing and implementing policies and initiatives to foster innovation and strengthen the knowledge-based economy.</w:t>
      </w:r>
      <w:r w:rsidRPr="00244343">
        <w:rPr>
          <w:rFonts w:ascii="Times New Roman" w:hAnsi="Times New Roman" w:cs="Times New Roman"/>
          <w:sz w:val="28"/>
          <w:szCs w:val="28"/>
          <w:lang w:val="en-US"/>
        </w:rPr>
        <w:t xml:space="preserve"> </w:t>
      </w:r>
      <w:r w:rsidRPr="00244343">
        <w:rPr>
          <w:rFonts w:ascii="Times New Roman" w:hAnsi="Times New Roman" w:cs="Times New Roman"/>
          <w:i/>
          <w:sz w:val="28"/>
          <w:szCs w:val="28"/>
          <w:lang w:val="en-US"/>
        </w:rPr>
        <w:t>Thirdly</w:t>
      </w:r>
      <w:r w:rsidRPr="00244343">
        <w:rPr>
          <w:rFonts w:ascii="Times New Roman" w:hAnsi="Times New Roman" w:cs="Times New Roman"/>
          <w:sz w:val="28"/>
          <w:szCs w:val="28"/>
          <w:lang w:val="en-US"/>
        </w:rPr>
        <w:t xml:space="preserve">, the research contributes to the broader academic literature on the Triple Helix model, particularly in the context of regional development, UIC and in emerging economies. Fourthly, the study develops awareness and the level of graduate employment and the factors of entrepreneurial success of the university students. </w:t>
      </w:r>
    </w:p>
    <w:p w14:paraId="4308324B" w14:textId="2C7E2D3B" w:rsidR="00F40BBC" w:rsidRDefault="00F40BBC" w:rsidP="00F40BBC">
      <w:pPr>
        <w:spacing w:after="0" w:line="240" w:lineRule="auto"/>
        <w:contextualSpacing/>
        <w:jc w:val="both"/>
        <w:rPr>
          <w:rFonts w:ascii="Times New Roman" w:hAnsi="Times New Roman" w:cs="Times New Roman"/>
          <w:sz w:val="28"/>
          <w:szCs w:val="28"/>
          <w:lang w:val="en-US"/>
        </w:rPr>
      </w:pPr>
    </w:p>
    <w:p w14:paraId="7F99FCEF" w14:textId="5189481F" w:rsidR="00F40BBC" w:rsidRDefault="00F40BBC" w:rsidP="00F40BBC">
      <w:pPr>
        <w:spacing w:after="0" w:line="240" w:lineRule="auto"/>
        <w:contextualSpacing/>
        <w:jc w:val="both"/>
        <w:rPr>
          <w:rFonts w:ascii="Times New Roman" w:hAnsi="Times New Roman" w:cs="Times New Roman"/>
          <w:sz w:val="28"/>
          <w:szCs w:val="28"/>
          <w:lang w:val="en-US"/>
        </w:rPr>
      </w:pPr>
    </w:p>
    <w:p w14:paraId="1AA0AB4D" w14:textId="20D85AE1" w:rsidR="00F40BBC" w:rsidRDefault="00F40BBC" w:rsidP="00F40BBC">
      <w:pPr>
        <w:spacing w:after="0" w:line="240" w:lineRule="auto"/>
        <w:contextualSpacing/>
        <w:jc w:val="both"/>
        <w:rPr>
          <w:rFonts w:ascii="Times New Roman" w:hAnsi="Times New Roman" w:cs="Times New Roman"/>
          <w:sz w:val="28"/>
          <w:szCs w:val="28"/>
          <w:lang w:val="en-US"/>
        </w:rPr>
      </w:pPr>
    </w:p>
    <w:p w14:paraId="27231C2B" w14:textId="08FC5A77" w:rsidR="00F40BBC" w:rsidRDefault="00F40BBC" w:rsidP="00F40BBC">
      <w:pPr>
        <w:spacing w:after="0" w:line="240" w:lineRule="auto"/>
        <w:contextualSpacing/>
        <w:jc w:val="both"/>
        <w:rPr>
          <w:rFonts w:ascii="Times New Roman" w:hAnsi="Times New Roman" w:cs="Times New Roman"/>
          <w:sz w:val="28"/>
          <w:szCs w:val="28"/>
          <w:lang w:val="en-US"/>
        </w:rPr>
      </w:pPr>
    </w:p>
    <w:p w14:paraId="54274D96" w14:textId="02D862D7" w:rsidR="00F40BBC" w:rsidRDefault="00F40BBC" w:rsidP="00F40BBC">
      <w:pPr>
        <w:spacing w:after="0" w:line="240" w:lineRule="auto"/>
        <w:contextualSpacing/>
        <w:jc w:val="both"/>
        <w:rPr>
          <w:rFonts w:ascii="Times New Roman" w:hAnsi="Times New Roman" w:cs="Times New Roman"/>
          <w:sz w:val="28"/>
          <w:szCs w:val="28"/>
          <w:lang w:val="en-US"/>
        </w:rPr>
      </w:pPr>
    </w:p>
    <w:p w14:paraId="4254826F" w14:textId="3F1CBC3C" w:rsidR="00F40BBC" w:rsidRDefault="00F40BBC" w:rsidP="00F40BBC">
      <w:pPr>
        <w:spacing w:after="0" w:line="240" w:lineRule="auto"/>
        <w:contextualSpacing/>
        <w:jc w:val="both"/>
        <w:rPr>
          <w:rFonts w:ascii="Times New Roman" w:hAnsi="Times New Roman" w:cs="Times New Roman"/>
          <w:sz w:val="28"/>
          <w:szCs w:val="28"/>
          <w:lang w:val="en-US"/>
        </w:rPr>
      </w:pPr>
    </w:p>
    <w:p w14:paraId="4C6E2775" w14:textId="38EC8F4B" w:rsidR="00F40BBC" w:rsidRDefault="00F40BBC" w:rsidP="00F40BBC">
      <w:pPr>
        <w:spacing w:after="0" w:line="240" w:lineRule="auto"/>
        <w:contextualSpacing/>
        <w:jc w:val="both"/>
        <w:rPr>
          <w:rFonts w:ascii="Times New Roman" w:hAnsi="Times New Roman" w:cs="Times New Roman"/>
          <w:sz w:val="28"/>
          <w:szCs w:val="28"/>
          <w:lang w:val="en-US"/>
        </w:rPr>
      </w:pPr>
    </w:p>
    <w:p w14:paraId="6641F747" w14:textId="0BB84021" w:rsidR="00F40BBC" w:rsidRDefault="00F40BBC" w:rsidP="00F40BBC">
      <w:pPr>
        <w:spacing w:after="0" w:line="240" w:lineRule="auto"/>
        <w:contextualSpacing/>
        <w:jc w:val="both"/>
        <w:rPr>
          <w:rFonts w:ascii="Times New Roman" w:hAnsi="Times New Roman" w:cs="Times New Roman"/>
          <w:sz w:val="28"/>
          <w:szCs w:val="28"/>
          <w:lang w:val="en-US"/>
        </w:rPr>
      </w:pPr>
    </w:p>
    <w:p w14:paraId="3680E397" w14:textId="09A7FB24" w:rsidR="00F40BBC" w:rsidRDefault="00F40BBC" w:rsidP="00F40BBC">
      <w:pPr>
        <w:spacing w:after="0" w:line="240" w:lineRule="auto"/>
        <w:contextualSpacing/>
        <w:jc w:val="both"/>
        <w:rPr>
          <w:rFonts w:ascii="Times New Roman" w:hAnsi="Times New Roman" w:cs="Times New Roman"/>
          <w:sz w:val="28"/>
          <w:szCs w:val="28"/>
          <w:lang w:val="en-US"/>
        </w:rPr>
      </w:pPr>
    </w:p>
    <w:p w14:paraId="0C5A3B0B" w14:textId="7C97D9DA" w:rsidR="00F40BBC" w:rsidRDefault="00F40BBC" w:rsidP="00F40BBC">
      <w:pPr>
        <w:spacing w:after="0" w:line="240" w:lineRule="auto"/>
        <w:contextualSpacing/>
        <w:jc w:val="both"/>
        <w:rPr>
          <w:rFonts w:ascii="Times New Roman" w:hAnsi="Times New Roman" w:cs="Times New Roman"/>
          <w:sz w:val="28"/>
          <w:szCs w:val="28"/>
          <w:lang w:val="en-US"/>
        </w:rPr>
      </w:pPr>
    </w:p>
    <w:p w14:paraId="688D7DA0" w14:textId="17193FAA" w:rsidR="00F40BBC" w:rsidRDefault="00F40BBC" w:rsidP="00F40BBC">
      <w:pPr>
        <w:spacing w:after="0" w:line="240" w:lineRule="auto"/>
        <w:contextualSpacing/>
        <w:jc w:val="both"/>
        <w:rPr>
          <w:rFonts w:ascii="Times New Roman" w:hAnsi="Times New Roman" w:cs="Times New Roman"/>
          <w:sz w:val="28"/>
          <w:szCs w:val="28"/>
          <w:lang w:val="en-US"/>
        </w:rPr>
      </w:pPr>
    </w:p>
    <w:p w14:paraId="3EAC1CBF" w14:textId="13742799" w:rsidR="00F40BBC" w:rsidRDefault="00F40BBC" w:rsidP="00F40BBC">
      <w:pPr>
        <w:spacing w:after="0" w:line="240" w:lineRule="auto"/>
        <w:contextualSpacing/>
        <w:jc w:val="both"/>
        <w:rPr>
          <w:rFonts w:ascii="Times New Roman" w:hAnsi="Times New Roman" w:cs="Times New Roman"/>
          <w:sz w:val="28"/>
          <w:szCs w:val="28"/>
          <w:lang w:val="en-US"/>
        </w:rPr>
      </w:pPr>
    </w:p>
    <w:p w14:paraId="6A1FC769" w14:textId="6031F523" w:rsidR="00D95302" w:rsidRDefault="00D95302" w:rsidP="00F40BBC">
      <w:pPr>
        <w:spacing w:after="0" w:line="240" w:lineRule="auto"/>
        <w:contextualSpacing/>
        <w:jc w:val="both"/>
        <w:rPr>
          <w:rFonts w:ascii="Times New Roman" w:hAnsi="Times New Roman" w:cs="Times New Roman"/>
          <w:sz w:val="28"/>
          <w:szCs w:val="28"/>
          <w:lang w:val="en-US"/>
        </w:rPr>
      </w:pPr>
    </w:p>
    <w:p w14:paraId="7796326D" w14:textId="77777777" w:rsidR="00D95302" w:rsidRDefault="00D95302" w:rsidP="00F40BBC">
      <w:pPr>
        <w:spacing w:after="0" w:line="240" w:lineRule="auto"/>
        <w:contextualSpacing/>
        <w:jc w:val="both"/>
        <w:rPr>
          <w:rFonts w:ascii="Times New Roman" w:hAnsi="Times New Roman" w:cs="Times New Roman"/>
          <w:sz w:val="28"/>
          <w:szCs w:val="28"/>
          <w:lang w:val="en-US"/>
        </w:rPr>
      </w:pPr>
    </w:p>
    <w:p w14:paraId="1DC2324F" w14:textId="5A903C19" w:rsidR="00F40BBC" w:rsidRDefault="00F40BBC" w:rsidP="00F40BBC">
      <w:pPr>
        <w:spacing w:after="0" w:line="240" w:lineRule="auto"/>
        <w:contextualSpacing/>
        <w:jc w:val="both"/>
        <w:rPr>
          <w:rFonts w:ascii="Times New Roman" w:hAnsi="Times New Roman" w:cs="Times New Roman"/>
          <w:sz w:val="28"/>
          <w:szCs w:val="28"/>
          <w:lang w:val="en-US"/>
        </w:rPr>
      </w:pPr>
    </w:p>
    <w:p w14:paraId="6A5E6452" w14:textId="423B8471" w:rsidR="0031561D" w:rsidRDefault="0031561D" w:rsidP="00F40BBC">
      <w:pPr>
        <w:spacing w:after="0" w:line="240" w:lineRule="auto"/>
        <w:contextualSpacing/>
        <w:jc w:val="both"/>
        <w:rPr>
          <w:rFonts w:ascii="Times New Roman" w:hAnsi="Times New Roman" w:cs="Times New Roman"/>
          <w:sz w:val="28"/>
          <w:szCs w:val="28"/>
          <w:lang w:val="en-US"/>
        </w:rPr>
      </w:pPr>
    </w:p>
    <w:p w14:paraId="0054B70D" w14:textId="77777777" w:rsidR="0031561D" w:rsidRDefault="0031561D" w:rsidP="00F40BBC">
      <w:pPr>
        <w:spacing w:after="0" w:line="240" w:lineRule="auto"/>
        <w:contextualSpacing/>
        <w:jc w:val="both"/>
        <w:rPr>
          <w:rFonts w:ascii="Times New Roman" w:hAnsi="Times New Roman" w:cs="Times New Roman"/>
          <w:sz w:val="28"/>
          <w:szCs w:val="28"/>
          <w:lang w:val="en-US"/>
        </w:rPr>
      </w:pPr>
    </w:p>
    <w:p w14:paraId="4BAE791B" w14:textId="487787AA" w:rsidR="00F14E91" w:rsidRPr="00F14E91" w:rsidRDefault="00CE5495" w:rsidP="00F14E91">
      <w:pPr>
        <w:pStyle w:val="af"/>
        <w:ind w:left="360"/>
        <w:jc w:val="center"/>
        <w:rPr>
          <w:rFonts w:ascii="Times New Roman" w:hAnsi="Times New Roman" w:cs="Times New Roman"/>
          <w:b/>
          <w:bCs/>
          <w:color w:val="000000" w:themeColor="text1"/>
          <w:sz w:val="28"/>
          <w:szCs w:val="28"/>
          <w:lang w:val="en-US"/>
        </w:rPr>
      </w:pPr>
      <w:bookmarkStart w:id="37" w:name="_Hlk180818161"/>
      <w:bookmarkStart w:id="38" w:name="_Hlk180657503"/>
      <w:bookmarkStart w:id="39" w:name="_Hlk189132149"/>
      <w:r w:rsidRPr="00F14E91">
        <w:rPr>
          <w:rFonts w:ascii="Times New Roman" w:hAnsi="Times New Roman" w:cs="Times New Roman"/>
          <w:b/>
          <w:bCs/>
          <w:color w:val="000000" w:themeColor="text1"/>
          <w:sz w:val="28"/>
          <w:szCs w:val="28"/>
          <w:lang w:val="en-US"/>
        </w:rPr>
        <w:lastRenderedPageBreak/>
        <w:t>REFERENCES</w:t>
      </w:r>
    </w:p>
    <w:p w14:paraId="2C9C5E26" w14:textId="77777777" w:rsidR="00F14E91" w:rsidRPr="00244343" w:rsidRDefault="00F14E91" w:rsidP="00F14E91">
      <w:pPr>
        <w:pStyle w:val="af"/>
        <w:ind w:left="360"/>
        <w:jc w:val="both"/>
        <w:rPr>
          <w:rFonts w:ascii="Times New Roman" w:hAnsi="Times New Roman" w:cs="Times New Roman"/>
          <w:b/>
          <w:bCs/>
          <w:sz w:val="28"/>
          <w:szCs w:val="28"/>
          <w:lang w:val="en-US"/>
        </w:rPr>
      </w:pPr>
    </w:p>
    <w:bookmarkEnd w:id="37"/>
    <w:bookmarkEnd w:id="38"/>
    <w:bookmarkEnd w:id="39"/>
    <w:p w14:paraId="7B867C13" w14:textId="4CE4038D"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Resolution of the Government of the Republic of Kazakhstan. On approval of the Concept for developing higher education and science in the Republic of Kazakhstan for 2023–2029.</w:t>
      </w:r>
      <w:r w:rsidR="00015249" w:rsidRPr="0049357A">
        <w:rPr>
          <w:rFonts w:ascii="Times New Roman" w:hAnsi="Times New Roman" w:cs="Times New Roman"/>
          <w:color w:val="000000" w:themeColor="text1"/>
          <w:sz w:val="28"/>
          <w:szCs w:val="28"/>
          <w:lang w:val="en-US"/>
        </w:rPr>
        <w:t xml:space="preserve"> </w:t>
      </w:r>
      <w:r w:rsidRPr="0049357A">
        <w:rPr>
          <w:rFonts w:ascii="Times New Roman" w:hAnsi="Times New Roman" w:cs="Times New Roman"/>
          <w:color w:val="000000" w:themeColor="text1"/>
          <w:sz w:val="28"/>
          <w:szCs w:val="28"/>
          <w:lang w:val="en-US"/>
        </w:rPr>
        <w:t xml:space="preserve">– 2023. -  №248. </w:t>
      </w:r>
      <w:hyperlink r:id="rId80" w:history="1">
        <w:r w:rsidRPr="0049357A">
          <w:rPr>
            <w:rStyle w:val="a7"/>
            <w:rFonts w:ascii="Times New Roman" w:hAnsi="Times New Roman" w:cs="Times New Roman"/>
            <w:color w:val="000000" w:themeColor="text1"/>
            <w:sz w:val="28"/>
            <w:szCs w:val="28"/>
            <w:u w:val="none"/>
            <w:lang w:val="en-US"/>
          </w:rPr>
          <w:t xml:space="preserve">https://adilet.zan.kz/rus/docs/P2300000248 </w:t>
        </w:r>
        <w:r w:rsidRPr="0049357A">
          <w:rPr>
            <w:rStyle w:val="a7"/>
            <w:rFonts w:ascii="Times New Roman" w:hAnsi="Times New Roman" w:cs="Times New Roman"/>
            <w:color w:val="000000" w:themeColor="text1"/>
            <w:sz w:val="28"/>
            <w:szCs w:val="28"/>
            <w:u w:val="none"/>
            <w:shd w:val="clear" w:color="auto" w:fill="FFFFFF"/>
            <w:lang w:val="en-US"/>
          </w:rPr>
          <w:t>20.11.2023</w:t>
        </w:r>
      </w:hyperlink>
      <w:r w:rsidRPr="0049357A">
        <w:rPr>
          <w:rFonts w:ascii="Times New Roman" w:hAnsi="Times New Roman" w:cs="Times New Roman"/>
          <w:color w:val="000000" w:themeColor="text1"/>
          <w:sz w:val="28"/>
          <w:szCs w:val="28"/>
          <w:shd w:val="clear" w:color="auto" w:fill="FFFFFF"/>
          <w:lang w:val="en-US"/>
        </w:rPr>
        <w:t>.</w:t>
      </w:r>
    </w:p>
    <w:p w14:paraId="7152E3E7"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Peter F. D. Innovation and entrepreneurship. Practice and Principles. – New– York: Harper &amp;Row, Publishers Inc., 1985. –277 р.</w:t>
      </w:r>
    </w:p>
    <w:p w14:paraId="228E13A6"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Maxqda</w:t>
      </w:r>
      <w:proofErr w:type="spellEnd"/>
      <w:r w:rsidRPr="0049357A">
        <w:rPr>
          <w:rFonts w:ascii="Times New Roman" w:hAnsi="Times New Roman" w:cs="Times New Roman"/>
          <w:color w:val="000000" w:themeColor="text1"/>
          <w:sz w:val="28"/>
          <w:szCs w:val="28"/>
          <w:lang w:val="en-US"/>
        </w:rPr>
        <w:t xml:space="preserve"> – Software for qualitative data analysis, </w:t>
      </w:r>
      <w:hyperlink r:id="rId81" w:history="1">
        <w:r w:rsidRPr="0049357A">
          <w:rPr>
            <w:rFonts w:ascii="Times New Roman" w:hAnsi="Times New Roman" w:cs="Times New Roman"/>
            <w:color w:val="000000" w:themeColor="text1"/>
            <w:sz w:val="28"/>
            <w:szCs w:val="28"/>
            <w:lang w:val="en-US"/>
          </w:rPr>
          <w:t>https://www.maxqda.com/</w:t>
        </w:r>
      </w:hyperlink>
      <w:r w:rsidRPr="0049357A">
        <w:rPr>
          <w:rFonts w:ascii="Times New Roman" w:hAnsi="Times New Roman" w:cs="Times New Roman"/>
          <w:color w:val="000000" w:themeColor="text1"/>
          <w:sz w:val="28"/>
          <w:szCs w:val="28"/>
          <w:lang w:val="en-US"/>
        </w:rPr>
        <w:t xml:space="preserve"> 05.02.2021.</w:t>
      </w:r>
    </w:p>
    <w:p w14:paraId="3F947AEE"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IBM SPSS Statistics for Windows, Version 29.0.2.0. </w:t>
      </w:r>
      <w:hyperlink r:id="rId82" w:history="1">
        <w:r w:rsidRPr="0049357A">
          <w:rPr>
            <w:rFonts w:ascii="Times New Roman" w:hAnsi="Times New Roman" w:cs="Times New Roman"/>
            <w:color w:val="000000" w:themeColor="text1"/>
            <w:sz w:val="28"/>
            <w:szCs w:val="28"/>
            <w:lang w:val="en-US"/>
          </w:rPr>
          <w:t>https://www.ibm.com/products/spss-statistics</w:t>
        </w:r>
      </w:hyperlink>
      <w:r w:rsidRPr="0049357A">
        <w:rPr>
          <w:rFonts w:ascii="Times New Roman" w:hAnsi="Times New Roman" w:cs="Times New Roman"/>
          <w:color w:val="000000" w:themeColor="text1"/>
          <w:sz w:val="28"/>
          <w:szCs w:val="28"/>
          <w:lang w:val="en-US"/>
        </w:rPr>
        <w:t xml:space="preserve"> 02.10.2021.</w:t>
      </w:r>
    </w:p>
    <w:p w14:paraId="3E3CDC1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EViews 12©. </w:t>
      </w:r>
      <w:hyperlink r:id="rId83" w:history="1">
        <w:r w:rsidRPr="0049357A">
          <w:rPr>
            <w:rFonts w:ascii="Times New Roman" w:hAnsi="Times New Roman" w:cs="Times New Roman"/>
            <w:color w:val="000000" w:themeColor="text1"/>
            <w:sz w:val="28"/>
            <w:szCs w:val="28"/>
            <w:lang w:val="en-US"/>
          </w:rPr>
          <w:t>https://www.eviews.com/EViews12/ev12main.html</w:t>
        </w:r>
      </w:hyperlink>
      <w:r w:rsidRPr="0049357A">
        <w:rPr>
          <w:rFonts w:ascii="Times New Roman" w:hAnsi="Times New Roman" w:cs="Times New Roman"/>
          <w:color w:val="000000" w:themeColor="text1"/>
          <w:sz w:val="28"/>
          <w:szCs w:val="28"/>
          <w:lang w:val="en-US"/>
        </w:rPr>
        <w:t xml:space="preserve"> 05.06.2022.</w:t>
      </w:r>
    </w:p>
    <w:p w14:paraId="3FD36FB0"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Jamovi</w:t>
      </w:r>
      <w:proofErr w:type="spellEnd"/>
      <w:r w:rsidRPr="0049357A">
        <w:rPr>
          <w:rFonts w:ascii="Times New Roman" w:hAnsi="Times New Roman" w:cs="Times New Roman"/>
          <w:color w:val="000000" w:themeColor="text1"/>
          <w:sz w:val="28"/>
          <w:szCs w:val="28"/>
          <w:lang w:val="en-US"/>
        </w:rPr>
        <w:t xml:space="preserve"> Project. </w:t>
      </w:r>
      <w:proofErr w:type="spellStart"/>
      <w:r w:rsidRPr="0049357A">
        <w:rPr>
          <w:rFonts w:ascii="Times New Roman" w:hAnsi="Times New Roman" w:cs="Times New Roman"/>
          <w:color w:val="000000" w:themeColor="text1"/>
          <w:sz w:val="28"/>
          <w:szCs w:val="28"/>
          <w:lang w:val="en-US"/>
        </w:rPr>
        <w:t>Jamovi</w:t>
      </w:r>
      <w:proofErr w:type="spellEnd"/>
      <w:r w:rsidRPr="0049357A">
        <w:rPr>
          <w:rFonts w:ascii="Times New Roman" w:hAnsi="Times New Roman" w:cs="Times New Roman"/>
          <w:color w:val="000000" w:themeColor="text1"/>
          <w:sz w:val="28"/>
          <w:szCs w:val="28"/>
          <w:lang w:val="en-US"/>
        </w:rPr>
        <w:t xml:space="preserve"> (Version 2.3.25). </w:t>
      </w:r>
      <w:hyperlink r:id="rId84" w:history="1">
        <w:r w:rsidRPr="0049357A">
          <w:rPr>
            <w:rFonts w:ascii="Times New Roman" w:hAnsi="Times New Roman" w:cs="Times New Roman"/>
            <w:color w:val="000000" w:themeColor="text1"/>
            <w:sz w:val="28"/>
            <w:szCs w:val="28"/>
            <w:lang w:val="en-US"/>
          </w:rPr>
          <w:t>https://www.jamovi.org/</w:t>
        </w:r>
      </w:hyperlink>
      <w:r w:rsidRPr="0049357A">
        <w:rPr>
          <w:rFonts w:ascii="Times New Roman" w:hAnsi="Times New Roman" w:cs="Times New Roman"/>
          <w:color w:val="000000" w:themeColor="text1"/>
          <w:sz w:val="28"/>
          <w:szCs w:val="28"/>
          <w:lang w:val="en-US"/>
        </w:rPr>
        <w:t xml:space="preserve"> 15.01.2023.</w:t>
      </w:r>
    </w:p>
    <w:p w14:paraId="2D7081EA"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Phyton Software Foundation, Version 3.12.1. </w:t>
      </w:r>
      <w:hyperlink r:id="rId85" w:history="1">
        <w:r w:rsidRPr="00B4623F">
          <w:rPr>
            <w:rFonts w:ascii="Times New Roman" w:hAnsi="Times New Roman" w:cs="Times New Roman"/>
            <w:sz w:val="28"/>
            <w:szCs w:val="28"/>
            <w:lang w:val="en-US"/>
          </w:rPr>
          <w:t>https://www.python.org/downloads/release/python-3121/</w:t>
        </w:r>
      </w:hyperlink>
      <w:r w:rsidRPr="0049357A">
        <w:rPr>
          <w:rFonts w:ascii="Times New Roman" w:hAnsi="Times New Roman" w:cs="Times New Roman"/>
          <w:color w:val="000000" w:themeColor="text1"/>
          <w:sz w:val="28"/>
          <w:szCs w:val="28"/>
          <w:lang w:val="en-US"/>
        </w:rPr>
        <w:t xml:space="preserve"> </w:t>
      </w:r>
    </w:p>
    <w:p w14:paraId="5034B2B7"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Jiatong</w:t>
      </w:r>
      <w:proofErr w:type="spellEnd"/>
      <w:r w:rsidRPr="0049357A">
        <w:rPr>
          <w:rFonts w:ascii="Times New Roman" w:hAnsi="Times New Roman" w:cs="Times New Roman"/>
          <w:color w:val="000000" w:themeColor="text1"/>
          <w:sz w:val="28"/>
          <w:szCs w:val="28"/>
          <w:lang w:val="en-US"/>
        </w:rPr>
        <w:t xml:space="preserve"> W., Van Eck N.J., Waltman L. Software survey: </w:t>
      </w:r>
      <w:proofErr w:type="spellStart"/>
      <w:r w:rsidRPr="0049357A">
        <w:rPr>
          <w:rFonts w:ascii="Times New Roman" w:hAnsi="Times New Roman" w:cs="Times New Roman"/>
          <w:color w:val="000000" w:themeColor="text1"/>
          <w:sz w:val="28"/>
          <w:szCs w:val="28"/>
          <w:lang w:val="en-US"/>
        </w:rPr>
        <w:t>VOSviewer</w:t>
      </w:r>
      <w:proofErr w:type="spellEnd"/>
      <w:r w:rsidRPr="0049357A">
        <w:rPr>
          <w:rFonts w:ascii="Times New Roman" w:hAnsi="Times New Roman" w:cs="Times New Roman"/>
          <w:color w:val="000000" w:themeColor="text1"/>
          <w:sz w:val="28"/>
          <w:szCs w:val="28"/>
          <w:lang w:val="en-US"/>
        </w:rPr>
        <w:t>, a computer program for bibliometric mapping // </w:t>
      </w:r>
      <w:proofErr w:type="spellStart"/>
      <w:r w:rsidRPr="0049357A">
        <w:rPr>
          <w:rFonts w:ascii="Times New Roman" w:hAnsi="Times New Roman" w:cs="Times New Roman"/>
          <w:color w:val="000000" w:themeColor="text1"/>
          <w:sz w:val="28"/>
          <w:szCs w:val="28"/>
          <w:lang w:val="en-US"/>
        </w:rPr>
        <w:t>Scientometrics</w:t>
      </w:r>
      <w:proofErr w:type="spellEnd"/>
      <w:r w:rsidRPr="0049357A">
        <w:rPr>
          <w:rFonts w:ascii="Times New Roman" w:hAnsi="Times New Roman" w:cs="Times New Roman"/>
          <w:color w:val="000000" w:themeColor="text1"/>
          <w:sz w:val="28"/>
          <w:szCs w:val="28"/>
          <w:lang w:val="en-US"/>
        </w:rPr>
        <w:t>. – 2010. – Vol. 84, №2. – P. 523-538.</w:t>
      </w:r>
    </w:p>
    <w:p w14:paraId="10B905FA"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R., R-studio. A software programming language designed for statistical computing and data visualization. </w:t>
      </w:r>
      <w:hyperlink r:id="rId86" w:history="1">
        <w:r w:rsidRPr="0049357A">
          <w:rPr>
            <w:rFonts w:ascii="Times New Roman" w:hAnsi="Times New Roman" w:cs="Times New Roman"/>
            <w:color w:val="000000" w:themeColor="text1"/>
            <w:sz w:val="28"/>
            <w:szCs w:val="28"/>
            <w:lang w:val="en-US"/>
          </w:rPr>
          <w:t>https://cran.r-project.org/</w:t>
        </w:r>
      </w:hyperlink>
      <w:r w:rsidRPr="0049357A">
        <w:rPr>
          <w:rFonts w:ascii="Times New Roman" w:hAnsi="Times New Roman" w:cs="Times New Roman"/>
          <w:color w:val="000000" w:themeColor="text1"/>
          <w:sz w:val="28"/>
          <w:szCs w:val="28"/>
          <w:lang w:val="en-US"/>
        </w:rPr>
        <w:t xml:space="preserve">  15.04.2024</w:t>
      </w:r>
    </w:p>
    <w:p w14:paraId="25270616"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Aria M., </w:t>
      </w:r>
      <w:proofErr w:type="spellStart"/>
      <w:r w:rsidRPr="0049357A">
        <w:rPr>
          <w:rFonts w:ascii="Times New Roman" w:hAnsi="Times New Roman" w:cs="Times New Roman"/>
          <w:color w:val="000000" w:themeColor="text1"/>
          <w:sz w:val="28"/>
          <w:szCs w:val="28"/>
          <w:lang w:val="en-US"/>
        </w:rPr>
        <w:t>Cuccurullo</w:t>
      </w:r>
      <w:proofErr w:type="spellEnd"/>
      <w:r w:rsidRPr="0049357A">
        <w:rPr>
          <w:rFonts w:ascii="Times New Roman" w:hAnsi="Times New Roman" w:cs="Times New Roman"/>
          <w:color w:val="000000" w:themeColor="text1"/>
          <w:sz w:val="28"/>
          <w:szCs w:val="28"/>
          <w:lang w:val="en-US"/>
        </w:rPr>
        <w:t xml:space="preserve"> C. </w:t>
      </w:r>
      <w:proofErr w:type="spellStart"/>
      <w:r w:rsidRPr="0049357A">
        <w:rPr>
          <w:rFonts w:ascii="Times New Roman" w:hAnsi="Times New Roman" w:cs="Times New Roman"/>
          <w:color w:val="000000" w:themeColor="text1"/>
          <w:sz w:val="28"/>
          <w:szCs w:val="28"/>
          <w:lang w:val="en-US"/>
        </w:rPr>
        <w:t>Bibliometrix</w:t>
      </w:r>
      <w:proofErr w:type="spellEnd"/>
      <w:r w:rsidRPr="0049357A">
        <w:rPr>
          <w:rFonts w:ascii="Times New Roman" w:hAnsi="Times New Roman" w:cs="Times New Roman"/>
          <w:color w:val="000000" w:themeColor="text1"/>
          <w:sz w:val="28"/>
          <w:szCs w:val="28"/>
          <w:lang w:val="en-US"/>
        </w:rPr>
        <w:t xml:space="preserve">: An R-tool for comprehensive science mapping analysis // Journal of Informetric. – 2017. – Vol.11, №4. – P. 959-975. </w:t>
      </w:r>
    </w:p>
    <w:p w14:paraId="652151A8" w14:textId="16FF5E5E" w:rsidR="00F14E91"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World Intellectual Property Organization. Global Innovation Index. URL: </w:t>
      </w:r>
      <w:hyperlink r:id="rId87" w:history="1">
        <w:r w:rsidRPr="0049357A">
          <w:rPr>
            <w:rFonts w:ascii="Times New Roman" w:hAnsi="Times New Roman" w:cs="Times New Roman"/>
            <w:sz w:val="28"/>
            <w:szCs w:val="28"/>
          </w:rPr>
          <w:t>https://www.wipo.int/publications/en/</w:t>
        </w:r>
      </w:hyperlink>
    </w:p>
    <w:p w14:paraId="2AD84E0B" w14:textId="77777777" w:rsidR="00143735" w:rsidRPr="0049357A" w:rsidRDefault="00143735" w:rsidP="00143735">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Sieger</w:t>
      </w:r>
      <w:proofErr w:type="spellEnd"/>
      <w:r w:rsidRPr="0049357A">
        <w:rPr>
          <w:rFonts w:ascii="Times New Roman" w:hAnsi="Times New Roman" w:cs="Times New Roman"/>
          <w:color w:val="000000" w:themeColor="text1"/>
          <w:sz w:val="28"/>
          <w:szCs w:val="28"/>
          <w:lang w:val="en-US"/>
        </w:rPr>
        <w:t xml:space="preserve"> P., </w:t>
      </w:r>
      <w:proofErr w:type="spellStart"/>
      <w:r w:rsidRPr="0049357A">
        <w:rPr>
          <w:rFonts w:ascii="Times New Roman" w:hAnsi="Times New Roman" w:cs="Times New Roman"/>
          <w:color w:val="000000" w:themeColor="text1"/>
          <w:sz w:val="28"/>
          <w:szCs w:val="28"/>
          <w:lang w:val="en-US"/>
        </w:rPr>
        <w:t>Raemy</w:t>
      </w:r>
      <w:proofErr w:type="spellEnd"/>
      <w:r w:rsidRPr="0049357A">
        <w:rPr>
          <w:rFonts w:ascii="Times New Roman" w:hAnsi="Times New Roman" w:cs="Times New Roman"/>
          <w:color w:val="000000" w:themeColor="text1"/>
          <w:sz w:val="28"/>
          <w:szCs w:val="28"/>
          <w:lang w:val="en-US"/>
        </w:rPr>
        <w:t xml:space="preserve"> L., Zellweger T., </w:t>
      </w:r>
      <w:proofErr w:type="spellStart"/>
      <w:r w:rsidRPr="0049357A">
        <w:rPr>
          <w:rFonts w:ascii="Times New Roman" w:hAnsi="Times New Roman" w:cs="Times New Roman"/>
          <w:color w:val="000000" w:themeColor="text1"/>
          <w:sz w:val="28"/>
          <w:szCs w:val="28"/>
          <w:lang w:val="en-US"/>
        </w:rPr>
        <w:t>Fueglistaller</w:t>
      </w:r>
      <w:proofErr w:type="spellEnd"/>
      <w:r w:rsidRPr="0049357A">
        <w:rPr>
          <w:rFonts w:ascii="Times New Roman" w:hAnsi="Times New Roman" w:cs="Times New Roman"/>
          <w:color w:val="000000" w:themeColor="text1"/>
          <w:sz w:val="28"/>
          <w:szCs w:val="28"/>
          <w:lang w:val="en-US"/>
        </w:rPr>
        <w:t xml:space="preserve"> U., </w:t>
      </w:r>
      <w:proofErr w:type="spellStart"/>
      <w:r w:rsidRPr="0049357A">
        <w:rPr>
          <w:rFonts w:ascii="Times New Roman" w:hAnsi="Times New Roman" w:cs="Times New Roman"/>
          <w:color w:val="000000" w:themeColor="text1"/>
          <w:sz w:val="28"/>
          <w:szCs w:val="28"/>
          <w:lang w:val="en-US"/>
        </w:rPr>
        <w:t>Hatak</w:t>
      </w:r>
      <w:proofErr w:type="spellEnd"/>
      <w:r w:rsidRPr="0049357A">
        <w:rPr>
          <w:rFonts w:ascii="Times New Roman" w:hAnsi="Times New Roman" w:cs="Times New Roman"/>
          <w:color w:val="000000" w:themeColor="text1"/>
          <w:sz w:val="28"/>
          <w:szCs w:val="28"/>
          <w:lang w:val="en-US"/>
        </w:rPr>
        <w:t xml:space="preserve"> I. 2021 GUESS Global Report. Global Student Entrepreneurship 2021: Insights From 58 Countries. </w:t>
      </w:r>
      <w:proofErr w:type="spellStart"/>
      <w:proofErr w:type="gramStart"/>
      <w:r w:rsidRPr="0049357A">
        <w:rPr>
          <w:rFonts w:ascii="Times New Roman" w:hAnsi="Times New Roman" w:cs="Times New Roman"/>
          <w:color w:val="000000" w:themeColor="text1"/>
          <w:sz w:val="28"/>
          <w:szCs w:val="28"/>
          <w:lang w:val="en-US"/>
        </w:rPr>
        <w:t>St.Gallen</w:t>
      </w:r>
      <w:proofErr w:type="spellEnd"/>
      <w:proofErr w:type="gramEnd"/>
      <w:r w:rsidRPr="0049357A">
        <w:rPr>
          <w:rFonts w:ascii="Times New Roman" w:hAnsi="Times New Roman" w:cs="Times New Roman"/>
          <w:color w:val="000000" w:themeColor="text1"/>
          <w:sz w:val="28"/>
          <w:szCs w:val="28"/>
          <w:lang w:val="en-US"/>
        </w:rPr>
        <w:t xml:space="preserve">/Bern: KMU-HSG/IMU-U, 2021. – 29 p. </w:t>
      </w:r>
    </w:p>
    <w:p w14:paraId="5DD40BDF" w14:textId="23FE48F7" w:rsidR="00143735" w:rsidRPr="00143735" w:rsidRDefault="00143735" w:rsidP="00143735">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Sieger</w:t>
      </w:r>
      <w:proofErr w:type="spellEnd"/>
      <w:r w:rsidRPr="0049357A">
        <w:rPr>
          <w:rFonts w:ascii="Times New Roman" w:hAnsi="Times New Roman" w:cs="Times New Roman"/>
          <w:color w:val="000000" w:themeColor="text1"/>
          <w:sz w:val="28"/>
          <w:szCs w:val="28"/>
          <w:lang w:val="en-US"/>
        </w:rPr>
        <w:t xml:space="preserve"> P., </w:t>
      </w:r>
      <w:proofErr w:type="spellStart"/>
      <w:r w:rsidRPr="0049357A">
        <w:rPr>
          <w:rFonts w:ascii="Times New Roman" w:hAnsi="Times New Roman" w:cs="Times New Roman"/>
          <w:color w:val="000000" w:themeColor="text1"/>
          <w:sz w:val="28"/>
          <w:szCs w:val="28"/>
          <w:lang w:val="en-US"/>
        </w:rPr>
        <w:t>Raemy</w:t>
      </w:r>
      <w:proofErr w:type="spellEnd"/>
      <w:r w:rsidRPr="0049357A">
        <w:rPr>
          <w:rFonts w:ascii="Times New Roman" w:hAnsi="Times New Roman" w:cs="Times New Roman"/>
          <w:color w:val="000000" w:themeColor="text1"/>
          <w:sz w:val="28"/>
          <w:szCs w:val="28"/>
          <w:lang w:val="en-US"/>
        </w:rPr>
        <w:t xml:space="preserve"> L., Zellweger T., </w:t>
      </w:r>
      <w:proofErr w:type="spellStart"/>
      <w:r w:rsidRPr="0049357A">
        <w:rPr>
          <w:rFonts w:ascii="Times New Roman" w:hAnsi="Times New Roman" w:cs="Times New Roman"/>
          <w:color w:val="000000" w:themeColor="text1"/>
          <w:sz w:val="28"/>
          <w:szCs w:val="28"/>
          <w:lang w:val="en-US"/>
        </w:rPr>
        <w:t>Fueglistaller</w:t>
      </w:r>
      <w:proofErr w:type="spellEnd"/>
      <w:r w:rsidRPr="0049357A">
        <w:rPr>
          <w:rFonts w:ascii="Times New Roman" w:hAnsi="Times New Roman" w:cs="Times New Roman"/>
          <w:color w:val="000000" w:themeColor="text1"/>
          <w:sz w:val="28"/>
          <w:szCs w:val="28"/>
          <w:lang w:val="en-US"/>
        </w:rPr>
        <w:t xml:space="preserve"> U., </w:t>
      </w:r>
      <w:proofErr w:type="spellStart"/>
      <w:r w:rsidRPr="0049357A">
        <w:rPr>
          <w:rFonts w:ascii="Times New Roman" w:hAnsi="Times New Roman" w:cs="Times New Roman"/>
          <w:color w:val="000000" w:themeColor="text1"/>
          <w:sz w:val="28"/>
          <w:szCs w:val="28"/>
          <w:lang w:val="en-US"/>
        </w:rPr>
        <w:t>Hatak</w:t>
      </w:r>
      <w:proofErr w:type="spellEnd"/>
      <w:r w:rsidRPr="0049357A">
        <w:rPr>
          <w:rFonts w:ascii="Times New Roman" w:hAnsi="Times New Roman" w:cs="Times New Roman"/>
          <w:color w:val="000000" w:themeColor="text1"/>
          <w:sz w:val="28"/>
          <w:szCs w:val="28"/>
          <w:lang w:val="en-US"/>
        </w:rPr>
        <w:t xml:space="preserve"> I. 2023 GUESS Global Report. Student Entrepreneurship 2023: Insights From 57 Countries. </w:t>
      </w:r>
      <w:proofErr w:type="spellStart"/>
      <w:proofErr w:type="gramStart"/>
      <w:r w:rsidRPr="0049357A">
        <w:rPr>
          <w:rFonts w:ascii="Times New Roman" w:hAnsi="Times New Roman" w:cs="Times New Roman"/>
          <w:color w:val="000000" w:themeColor="text1"/>
          <w:sz w:val="28"/>
          <w:szCs w:val="28"/>
          <w:lang w:val="en-US"/>
        </w:rPr>
        <w:t>St.Gallen</w:t>
      </w:r>
      <w:proofErr w:type="spellEnd"/>
      <w:proofErr w:type="gramEnd"/>
      <w:r w:rsidRPr="0049357A">
        <w:rPr>
          <w:rFonts w:ascii="Times New Roman" w:hAnsi="Times New Roman" w:cs="Times New Roman"/>
          <w:color w:val="000000" w:themeColor="text1"/>
          <w:sz w:val="28"/>
          <w:szCs w:val="28"/>
          <w:lang w:val="en-US"/>
        </w:rPr>
        <w:t xml:space="preserve">/Bern: KMU-HSG/IMU-U, 2024. – 24 p.  </w:t>
      </w:r>
    </w:p>
    <w:p w14:paraId="4A4687CD" w14:textId="77777777" w:rsidR="00F14E91" w:rsidRPr="0049357A" w:rsidRDefault="002C6007" w:rsidP="00015249">
      <w:pPr>
        <w:pStyle w:val="af"/>
        <w:numPr>
          <w:ilvl w:val="0"/>
          <w:numId w:val="34"/>
        </w:numPr>
        <w:ind w:left="0" w:firstLine="709"/>
        <w:jc w:val="both"/>
        <w:rPr>
          <w:rFonts w:ascii="Times New Roman" w:hAnsi="Times New Roman" w:cs="Times New Roman"/>
          <w:color w:val="000000" w:themeColor="text1"/>
          <w:sz w:val="28"/>
          <w:szCs w:val="28"/>
          <w:lang w:val="en-US"/>
        </w:rPr>
      </w:pPr>
      <w:hyperlink r:id="rId88" w:tooltip="Edwin Alexander Henao-García" w:history="1">
        <w:r w:rsidR="00F14E91" w:rsidRPr="0049357A">
          <w:rPr>
            <w:rFonts w:ascii="Times New Roman" w:hAnsi="Times New Roman" w:cs="Times New Roman"/>
            <w:color w:val="000000" w:themeColor="text1"/>
            <w:sz w:val="28"/>
            <w:szCs w:val="28"/>
            <w:lang w:val="en-US"/>
          </w:rPr>
          <w:t>Henao-García, E.A.</w:t>
        </w:r>
      </w:hyperlink>
      <w:r w:rsidR="00F14E91" w:rsidRPr="0049357A">
        <w:rPr>
          <w:rFonts w:ascii="Times New Roman" w:hAnsi="Times New Roman" w:cs="Times New Roman"/>
          <w:color w:val="000000" w:themeColor="text1"/>
          <w:sz w:val="28"/>
          <w:szCs w:val="28"/>
          <w:lang w:val="en-US"/>
        </w:rPr>
        <w:t> and </w:t>
      </w:r>
      <w:hyperlink r:id="rId89" w:tooltip="Raúl Armando Cardona Montoya" w:history="1">
        <w:r w:rsidR="00F14E91" w:rsidRPr="0049357A">
          <w:rPr>
            <w:rFonts w:ascii="Times New Roman" w:hAnsi="Times New Roman" w:cs="Times New Roman"/>
            <w:color w:val="000000" w:themeColor="text1"/>
            <w:sz w:val="28"/>
            <w:szCs w:val="28"/>
            <w:lang w:val="en-US"/>
          </w:rPr>
          <w:t>Cardona Montoya, R.A.</w:t>
        </w:r>
      </w:hyperlink>
      <w:r w:rsidR="00F14E91" w:rsidRPr="0049357A">
        <w:rPr>
          <w:rFonts w:ascii="Times New Roman" w:hAnsi="Times New Roman" w:cs="Times New Roman"/>
          <w:color w:val="000000" w:themeColor="text1"/>
          <w:sz w:val="28"/>
          <w:szCs w:val="28"/>
          <w:lang w:val="en-US"/>
        </w:rPr>
        <w:t> (2024), "Management innovation and its relation to innovation outcomes and firm performance: a systematic literature review and future research agenda", </w:t>
      </w:r>
      <w:hyperlink r:id="rId90" w:history="1">
        <w:r w:rsidR="00F14E91" w:rsidRPr="0049357A">
          <w:rPr>
            <w:rFonts w:ascii="Times New Roman" w:hAnsi="Times New Roman" w:cs="Times New Roman"/>
            <w:color w:val="000000" w:themeColor="text1"/>
            <w:sz w:val="28"/>
            <w:szCs w:val="28"/>
            <w:lang w:val="en-US"/>
          </w:rPr>
          <w:t>European Journal of Innovation Management</w:t>
        </w:r>
      </w:hyperlink>
      <w:r w:rsidR="00F14E91" w:rsidRPr="0049357A">
        <w:rPr>
          <w:rFonts w:ascii="Times New Roman" w:hAnsi="Times New Roman" w:cs="Times New Roman"/>
          <w:color w:val="000000" w:themeColor="text1"/>
          <w:sz w:val="28"/>
          <w:szCs w:val="28"/>
          <w:lang w:val="en-US"/>
        </w:rPr>
        <w:t>, Vol. 27 No. 8, pp. 2393-2418. </w:t>
      </w:r>
      <w:hyperlink r:id="rId91" w:tooltip="DOI: https://doi.org/10.1108/EJIM-10-2022-0564" w:history="1">
        <w:r w:rsidR="00F14E91" w:rsidRPr="0049357A">
          <w:rPr>
            <w:rFonts w:ascii="Times New Roman" w:hAnsi="Times New Roman" w:cs="Times New Roman"/>
            <w:color w:val="000000" w:themeColor="text1"/>
            <w:sz w:val="28"/>
            <w:szCs w:val="28"/>
            <w:lang w:val="en-US"/>
          </w:rPr>
          <w:t>https://doi.org/10.1108/EJIM-10-2022-0564</w:t>
        </w:r>
      </w:hyperlink>
    </w:p>
    <w:p w14:paraId="0ED4A149"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Tidd, J. (2001). Innovation management in context: environment, organization and performance. International Journal of Management Reviews, 3, 169-183. </w:t>
      </w:r>
      <w:hyperlink r:id="rId92" w:history="1">
        <w:r w:rsidRPr="0049357A">
          <w:rPr>
            <w:rFonts w:ascii="Times New Roman" w:hAnsi="Times New Roman" w:cs="Times New Roman"/>
            <w:sz w:val="28"/>
            <w:szCs w:val="28"/>
          </w:rPr>
          <w:t>https://doi.org/10.1111/1468-2370.00062</w:t>
        </w:r>
      </w:hyperlink>
    </w:p>
    <w:p w14:paraId="0E3C30E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Monticelli</w:t>
      </w:r>
      <w:proofErr w:type="spellEnd"/>
      <w:r w:rsidRPr="0049357A">
        <w:rPr>
          <w:rFonts w:ascii="Times New Roman" w:hAnsi="Times New Roman" w:cs="Times New Roman"/>
          <w:color w:val="000000" w:themeColor="text1"/>
          <w:sz w:val="28"/>
          <w:szCs w:val="28"/>
          <w:lang w:val="en-US"/>
        </w:rPr>
        <w:t xml:space="preserve">, J., </w:t>
      </w:r>
      <w:proofErr w:type="spellStart"/>
      <w:r w:rsidRPr="0049357A">
        <w:rPr>
          <w:rFonts w:ascii="Times New Roman" w:hAnsi="Times New Roman" w:cs="Times New Roman"/>
          <w:color w:val="000000" w:themeColor="text1"/>
          <w:sz w:val="28"/>
          <w:szCs w:val="28"/>
          <w:lang w:val="en-US"/>
        </w:rPr>
        <w:t>Fossatti</w:t>
      </w:r>
      <w:proofErr w:type="spellEnd"/>
      <w:r w:rsidRPr="0049357A">
        <w:rPr>
          <w:rFonts w:ascii="Times New Roman" w:hAnsi="Times New Roman" w:cs="Times New Roman"/>
          <w:color w:val="000000" w:themeColor="text1"/>
          <w:sz w:val="28"/>
          <w:szCs w:val="28"/>
          <w:lang w:val="en-US"/>
        </w:rPr>
        <w:t xml:space="preserve">, P., De </w:t>
      </w:r>
      <w:proofErr w:type="spellStart"/>
      <w:r w:rsidRPr="0049357A">
        <w:rPr>
          <w:rFonts w:ascii="Times New Roman" w:hAnsi="Times New Roman" w:cs="Times New Roman"/>
          <w:color w:val="000000" w:themeColor="text1"/>
          <w:sz w:val="28"/>
          <w:szCs w:val="28"/>
          <w:lang w:val="en-US"/>
        </w:rPr>
        <w:t>Quadros</w:t>
      </w:r>
      <w:proofErr w:type="spellEnd"/>
      <w:r w:rsidRPr="0049357A">
        <w:rPr>
          <w:rFonts w:ascii="Times New Roman" w:hAnsi="Times New Roman" w:cs="Times New Roman"/>
          <w:color w:val="000000" w:themeColor="text1"/>
          <w:sz w:val="28"/>
          <w:szCs w:val="28"/>
          <w:lang w:val="en-US"/>
        </w:rPr>
        <w:t xml:space="preserve"> Da Silva, L., &amp; Luz, C. (2024). Innovative university: evidence from university management. International Journal of Educational Management. </w:t>
      </w:r>
      <w:hyperlink r:id="rId93" w:history="1">
        <w:r w:rsidRPr="0049357A">
          <w:rPr>
            <w:rFonts w:ascii="Times New Roman" w:hAnsi="Times New Roman" w:cs="Times New Roman"/>
            <w:color w:val="000000" w:themeColor="text1"/>
            <w:sz w:val="28"/>
            <w:szCs w:val="28"/>
            <w:lang w:val="en-US"/>
          </w:rPr>
          <w:t>https://doi.org/10.1108/ijem-05-2022-0174</w:t>
        </w:r>
      </w:hyperlink>
    </w:p>
    <w:p w14:paraId="362C0CE4"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lastRenderedPageBreak/>
        <w:t xml:space="preserve">Tidd, J., Bessant, J., &amp; Pavitt, K. (2005). Managing Innovation: Integrating Technological, Market and Organizational Change (3rd ed.). John Wiley. </w:t>
      </w:r>
      <w:hyperlink r:id="rId94" w:history="1">
        <w:r w:rsidRPr="0049357A">
          <w:rPr>
            <w:rFonts w:ascii="Times New Roman" w:hAnsi="Times New Roman" w:cs="Times New Roman"/>
            <w:color w:val="000000" w:themeColor="text1"/>
            <w:sz w:val="28"/>
            <w:szCs w:val="28"/>
            <w:lang w:val="en-US"/>
          </w:rPr>
          <w:t>https://research.brighton.ac.uk/en/publications/managing-innovation-integrating-technological-market-and-organiza</w:t>
        </w:r>
      </w:hyperlink>
    </w:p>
    <w:p w14:paraId="52F768E9" w14:textId="3210BFE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Chursin</w:t>
      </w:r>
      <w:proofErr w:type="spellEnd"/>
      <w:r w:rsidRPr="0049357A">
        <w:rPr>
          <w:rFonts w:ascii="Times New Roman" w:hAnsi="Times New Roman" w:cs="Times New Roman"/>
          <w:color w:val="000000" w:themeColor="text1"/>
          <w:sz w:val="28"/>
          <w:szCs w:val="28"/>
          <w:lang w:val="en-US"/>
        </w:rPr>
        <w:t xml:space="preserve"> A., Abueva M. Innovation </w:t>
      </w:r>
      <w:proofErr w:type="gramStart"/>
      <w:r w:rsidRPr="0049357A">
        <w:rPr>
          <w:rFonts w:ascii="Times New Roman" w:hAnsi="Times New Roman" w:cs="Times New Roman"/>
          <w:color w:val="000000" w:themeColor="text1"/>
          <w:sz w:val="28"/>
          <w:szCs w:val="28"/>
          <w:lang w:val="en-US"/>
        </w:rPr>
        <w:t>management .</w:t>
      </w:r>
      <w:proofErr w:type="gramEnd"/>
      <w:r w:rsidRPr="0049357A">
        <w:rPr>
          <w:rFonts w:ascii="Times New Roman" w:hAnsi="Times New Roman" w:cs="Times New Roman"/>
          <w:color w:val="000000" w:themeColor="text1"/>
          <w:sz w:val="28"/>
          <w:szCs w:val="28"/>
          <w:lang w:val="en-US"/>
        </w:rPr>
        <w:t xml:space="preserve"> Moscow, INFRA-</w:t>
      </w:r>
      <w:proofErr w:type="gramStart"/>
      <w:r w:rsidRPr="0049357A">
        <w:rPr>
          <w:rFonts w:ascii="Times New Roman" w:hAnsi="Times New Roman" w:cs="Times New Roman"/>
          <w:color w:val="000000" w:themeColor="text1"/>
          <w:sz w:val="28"/>
          <w:szCs w:val="28"/>
          <w:lang w:val="en-US"/>
        </w:rPr>
        <w:t>M ,</w:t>
      </w:r>
      <w:proofErr w:type="gramEnd"/>
      <w:r w:rsidRPr="0049357A">
        <w:rPr>
          <w:rFonts w:ascii="Times New Roman" w:hAnsi="Times New Roman" w:cs="Times New Roman"/>
          <w:color w:val="000000" w:themeColor="text1"/>
          <w:sz w:val="28"/>
          <w:szCs w:val="28"/>
          <w:lang w:val="en-US"/>
        </w:rPr>
        <w:t xml:space="preserve"> 2025, pt. 0, 331 p. DOI:</w:t>
      </w:r>
      <w:r w:rsidR="00FA4396">
        <w:rPr>
          <w:rFonts w:ascii="Times New Roman" w:hAnsi="Times New Roman" w:cs="Times New Roman"/>
          <w:color w:val="000000" w:themeColor="text1"/>
          <w:sz w:val="28"/>
          <w:szCs w:val="28"/>
          <w:lang w:val="en-US"/>
        </w:rPr>
        <w:t xml:space="preserve"> </w:t>
      </w:r>
      <w:r w:rsidRPr="0049357A">
        <w:rPr>
          <w:rFonts w:ascii="Times New Roman" w:hAnsi="Times New Roman" w:cs="Times New Roman"/>
          <w:color w:val="000000" w:themeColor="text1"/>
          <w:sz w:val="28"/>
          <w:szCs w:val="28"/>
          <w:lang w:val="en-US"/>
        </w:rPr>
        <w:t>10.12737/1862682 Available at: https://naukaru.ru/en/nauka/textbook/4140/view (Date of access 30.03.2025)</w:t>
      </w:r>
    </w:p>
    <w:p w14:paraId="78808390"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Magumba</w:t>
      </w:r>
      <w:proofErr w:type="spellEnd"/>
      <w:r w:rsidRPr="0049357A">
        <w:rPr>
          <w:rFonts w:ascii="Times New Roman" w:hAnsi="Times New Roman" w:cs="Times New Roman"/>
          <w:color w:val="000000" w:themeColor="text1"/>
          <w:sz w:val="28"/>
          <w:szCs w:val="28"/>
          <w:lang w:val="en-US"/>
        </w:rPr>
        <w:t xml:space="preserve">, D. (2023). Institutionalizing University-Business Innovation Systems in an Innovation Economy. European Journal of Business and Management Research, 8(3), 68–71. </w:t>
      </w:r>
      <w:hyperlink r:id="rId95" w:history="1">
        <w:r w:rsidRPr="0049357A">
          <w:rPr>
            <w:rFonts w:ascii="Times New Roman" w:hAnsi="Times New Roman" w:cs="Times New Roman"/>
            <w:color w:val="000000" w:themeColor="text1"/>
            <w:sz w:val="28"/>
            <w:szCs w:val="28"/>
            <w:lang w:val="en-US"/>
          </w:rPr>
          <w:t>https://doi.org/10.24018/ejbmr.2023.8.3.1935</w:t>
        </w:r>
      </w:hyperlink>
    </w:p>
    <w:p w14:paraId="7544321B"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Krysovatyy</w:t>
      </w:r>
      <w:proofErr w:type="spellEnd"/>
      <w:r w:rsidRPr="0049357A">
        <w:rPr>
          <w:rFonts w:ascii="Times New Roman" w:hAnsi="Times New Roman" w:cs="Times New Roman"/>
          <w:color w:val="000000" w:themeColor="text1"/>
          <w:sz w:val="28"/>
          <w:szCs w:val="28"/>
          <w:lang w:val="en-US"/>
        </w:rPr>
        <w:t xml:space="preserve">, A., &amp; </w:t>
      </w:r>
      <w:proofErr w:type="spellStart"/>
      <w:r w:rsidRPr="0049357A">
        <w:rPr>
          <w:rFonts w:ascii="Times New Roman" w:hAnsi="Times New Roman" w:cs="Times New Roman"/>
          <w:color w:val="000000" w:themeColor="text1"/>
          <w:sz w:val="28"/>
          <w:szCs w:val="28"/>
          <w:lang w:val="en-US"/>
        </w:rPr>
        <w:t>Ptashchenko</w:t>
      </w:r>
      <w:proofErr w:type="spellEnd"/>
      <w:r w:rsidRPr="0049357A">
        <w:rPr>
          <w:rFonts w:ascii="Times New Roman" w:hAnsi="Times New Roman" w:cs="Times New Roman"/>
          <w:color w:val="000000" w:themeColor="text1"/>
          <w:sz w:val="28"/>
          <w:szCs w:val="28"/>
          <w:lang w:val="en-US"/>
        </w:rPr>
        <w:t xml:space="preserve">, O. (2023). The mechanism of entrepreneurial innovation system in institutions of higher education. Economics of Development, 22(2). </w:t>
      </w:r>
      <w:hyperlink r:id="rId96" w:history="1">
        <w:r w:rsidRPr="0049357A">
          <w:rPr>
            <w:rFonts w:ascii="Times New Roman" w:hAnsi="Times New Roman" w:cs="Times New Roman"/>
            <w:color w:val="000000" w:themeColor="text1"/>
            <w:sz w:val="28"/>
            <w:szCs w:val="28"/>
            <w:lang w:val="en-US"/>
          </w:rPr>
          <w:t>https://doi.org/10.57111/econ/2.2023.51</w:t>
        </w:r>
      </w:hyperlink>
    </w:p>
    <w:p w14:paraId="54432D51"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Besner</w:t>
      </w:r>
      <w:proofErr w:type="spellEnd"/>
      <w:r w:rsidRPr="0049357A">
        <w:rPr>
          <w:rFonts w:ascii="Times New Roman" w:hAnsi="Times New Roman" w:cs="Times New Roman"/>
          <w:color w:val="000000" w:themeColor="text1"/>
          <w:sz w:val="28"/>
          <w:szCs w:val="28"/>
          <w:lang w:val="en-US"/>
        </w:rPr>
        <w:t xml:space="preserve">, C., &amp; Hobbs, B. (2008). Discriminating Contexts and Project Management Best Practices on Innovative and Noninnovative Projects. Project Management Journal, 39, S123 - S134. </w:t>
      </w:r>
      <w:hyperlink r:id="rId97" w:history="1">
        <w:r w:rsidRPr="0049357A">
          <w:rPr>
            <w:rFonts w:ascii="Times New Roman" w:hAnsi="Times New Roman" w:cs="Times New Roman"/>
            <w:color w:val="000000" w:themeColor="text1"/>
            <w:sz w:val="28"/>
            <w:szCs w:val="28"/>
            <w:lang w:val="en-US"/>
          </w:rPr>
          <w:t>https://doi.org/10.1002/pmj.20064</w:t>
        </w:r>
      </w:hyperlink>
    </w:p>
    <w:p w14:paraId="302E71D7"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Amrani</w:t>
      </w:r>
      <w:proofErr w:type="spellEnd"/>
      <w:r w:rsidRPr="0049357A">
        <w:rPr>
          <w:rFonts w:ascii="Times New Roman" w:hAnsi="Times New Roman" w:cs="Times New Roman"/>
          <w:color w:val="000000" w:themeColor="text1"/>
          <w:sz w:val="28"/>
          <w:szCs w:val="28"/>
          <w:lang w:val="en-US"/>
        </w:rPr>
        <w:t xml:space="preserve"> H, </w:t>
      </w:r>
      <w:proofErr w:type="spellStart"/>
      <w:r w:rsidRPr="0049357A">
        <w:rPr>
          <w:rFonts w:ascii="Times New Roman" w:hAnsi="Times New Roman" w:cs="Times New Roman"/>
          <w:color w:val="000000" w:themeColor="text1"/>
          <w:sz w:val="28"/>
          <w:szCs w:val="28"/>
          <w:lang w:val="en-US"/>
        </w:rPr>
        <w:t>Boussouf</w:t>
      </w:r>
      <w:proofErr w:type="spellEnd"/>
      <w:r w:rsidRPr="0049357A">
        <w:rPr>
          <w:rFonts w:ascii="Times New Roman" w:hAnsi="Times New Roman" w:cs="Times New Roman"/>
          <w:color w:val="000000" w:themeColor="text1"/>
          <w:sz w:val="28"/>
          <w:szCs w:val="28"/>
          <w:lang w:val="en-US"/>
        </w:rPr>
        <w:t xml:space="preserve"> Z, AFTISS A. Exploring Managerial Innovation in the University Context: </w:t>
      </w:r>
      <w:proofErr w:type="gramStart"/>
      <w:r w:rsidRPr="0049357A">
        <w:rPr>
          <w:rFonts w:ascii="Times New Roman" w:hAnsi="Times New Roman" w:cs="Times New Roman"/>
          <w:color w:val="000000" w:themeColor="text1"/>
          <w:sz w:val="28"/>
          <w:szCs w:val="28"/>
          <w:lang w:val="en-US"/>
        </w:rPr>
        <w:t>an</w:t>
      </w:r>
      <w:proofErr w:type="gramEnd"/>
      <w:r w:rsidRPr="0049357A">
        <w:rPr>
          <w:rFonts w:ascii="Times New Roman" w:hAnsi="Times New Roman" w:cs="Times New Roman"/>
          <w:color w:val="000000" w:themeColor="text1"/>
          <w:sz w:val="28"/>
          <w:szCs w:val="28"/>
          <w:lang w:val="en-US"/>
        </w:rPr>
        <w:t xml:space="preserve"> In-Depth Look through a Systematic Literature Review. Data and Metadata [Internet]. 2025 Jan. 1 [cited 2025 Mar. 23</w:t>
      </w:r>
      <w:proofErr w:type="gramStart"/>
      <w:r w:rsidRPr="0049357A">
        <w:rPr>
          <w:rFonts w:ascii="Times New Roman" w:hAnsi="Times New Roman" w:cs="Times New Roman"/>
          <w:color w:val="000000" w:themeColor="text1"/>
          <w:sz w:val="28"/>
          <w:szCs w:val="28"/>
          <w:lang w:val="en-US"/>
        </w:rPr>
        <w:t>];4:394</w:t>
      </w:r>
      <w:proofErr w:type="gramEnd"/>
      <w:r w:rsidRPr="0049357A">
        <w:rPr>
          <w:rFonts w:ascii="Times New Roman" w:hAnsi="Times New Roman" w:cs="Times New Roman"/>
          <w:color w:val="000000" w:themeColor="text1"/>
          <w:sz w:val="28"/>
          <w:szCs w:val="28"/>
          <w:lang w:val="en-US"/>
        </w:rPr>
        <w:t>. Available from: </w:t>
      </w:r>
      <w:hyperlink r:id="rId98" w:history="1">
        <w:r w:rsidRPr="0049357A">
          <w:rPr>
            <w:rFonts w:ascii="Times New Roman" w:hAnsi="Times New Roman" w:cs="Times New Roman"/>
            <w:color w:val="000000" w:themeColor="text1"/>
            <w:sz w:val="28"/>
            <w:szCs w:val="28"/>
            <w:lang w:val="en-US"/>
          </w:rPr>
          <w:t>https://dm.ageditor.ar/index.php/dm/article/view/394</w:t>
        </w:r>
      </w:hyperlink>
    </w:p>
    <w:p w14:paraId="00D210CA" w14:textId="0FEA79D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Guerreo</w:t>
      </w:r>
      <w:proofErr w:type="spellEnd"/>
      <w:r w:rsidRPr="0049357A">
        <w:rPr>
          <w:rFonts w:ascii="Times New Roman" w:hAnsi="Times New Roman" w:cs="Times New Roman"/>
          <w:color w:val="000000" w:themeColor="text1"/>
          <w:sz w:val="28"/>
          <w:szCs w:val="28"/>
          <w:lang w:val="en-US"/>
        </w:rPr>
        <w:t xml:space="preserve">, J. P. S., Sánchez, D. P., </w:t>
      </w:r>
      <w:proofErr w:type="spellStart"/>
      <w:r w:rsidRPr="0049357A">
        <w:rPr>
          <w:rFonts w:ascii="Times New Roman" w:hAnsi="Times New Roman" w:cs="Times New Roman"/>
          <w:color w:val="000000" w:themeColor="text1"/>
          <w:sz w:val="28"/>
          <w:szCs w:val="28"/>
          <w:lang w:val="en-US"/>
        </w:rPr>
        <w:t>Galán</w:t>
      </w:r>
      <w:proofErr w:type="spellEnd"/>
      <w:r w:rsidRPr="0049357A">
        <w:rPr>
          <w:rFonts w:ascii="Times New Roman" w:hAnsi="Times New Roman" w:cs="Times New Roman"/>
          <w:color w:val="000000" w:themeColor="text1"/>
          <w:sz w:val="28"/>
          <w:szCs w:val="28"/>
          <w:lang w:val="en-US"/>
        </w:rPr>
        <w:t xml:space="preserve">-Mena, J. A., </w:t>
      </w:r>
      <w:proofErr w:type="spellStart"/>
      <w:r w:rsidRPr="0049357A">
        <w:rPr>
          <w:rFonts w:ascii="Times New Roman" w:hAnsi="Times New Roman" w:cs="Times New Roman"/>
          <w:color w:val="000000" w:themeColor="text1"/>
          <w:sz w:val="28"/>
          <w:szCs w:val="28"/>
          <w:lang w:val="en-US"/>
        </w:rPr>
        <w:t>Bykbaev</w:t>
      </w:r>
      <w:proofErr w:type="spellEnd"/>
      <w:r w:rsidRPr="0049357A">
        <w:rPr>
          <w:rFonts w:ascii="Times New Roman" w:hAnsi="Times New Roman" w:cs="Times New Roman"/>
          <w:color w:val="000000" w:themeColor="text1"/>
          <w:sz w:val="28"/>
          <w:szCs w:val="28"/>
          <w:lang w:val="en-US"/>
        </w:rPr>
        <w:t xml:space="preserve">, V. R., Wong, V. C. L., &amp; </w:t>
      </w:r>
      <w:proofErr w:type="spellStart"/>
      <w:r w:rsidRPr="0049357A">
        <w:rPr>
          <w:rFonts w:ascii="Times New Roman" w:hAnsi="Times New Roman" w:cs="Times New Roman"/>
          <w:color w:val="000000" w:themeColor="text1"/>
          <w:sz w:val="28"/>
          <w:szCs w:val="28"/>
          <w:lang w:val="en-US"/>
        </w:rPr>
        <w:t>Narváez</w:t>
      </w:r>
      <w:proofErr w:type="spellEnd"/>
      <w:r w:rsidRPr="0049357A">
        <w:rPr>
          <w:rFonts w:ascii="Times New Roman" w:hAnsi="Times New Roman" w:cs="Times New Roman"/>
          <w:color w:val="000000" w:themeColor="text1"/>
          <w:sz w:val="28"/>
          <w:szCs w:val="28"/>
          <w:lang w:val="en-US"/>
        </w:rPr>
        <w:t xml:space="preserve">-Pacheco, A. (2018). </w:t>
      </w:r>
      <w:proofErr w:type="spellStart"/>
      <w:r w:rsidR="00FA4396" w:rsidRPr="0049357A">
        <w:rPr>
          <w:rFonts w:ascii="Times New Roman" w:hAnsi="Times New Roman" w:cs="Times New Roman"/>
          <w:color w:val="000000" w:themeColor="text1"/>
          <w:sz w:val="28"/>
          <w:szCs w:val="28"/>
          <w:lang w:val="en-US"/>
        </w:rPr>
        <w:t>Creaminka</w:t>
      </w:r>
      <w:proofErr w:type="spellEnd"/>
      <w:r w:rsidRPr="0049357A">
        <w:rPr>
          <w:rFonts w:ascii="Times New Roman" w:hAnsi="Times New Roman" w:cs="Times New Roman"/>
          <w:color w:val="000000" w:themeColor="text1"/>
          <w:sz w:val="28"/>
          <w:szCs w:val="28"/>
          <w:lang w:val="en-US"/>
        </w:rPr>
        <w:t xml:space="preserve">: An Intelligent Ecosystem for Supporting Management and Information Discovery in Research and Innovation Fields in Universities. </w:t>
      </w:r>
      <w:proofErr w:type="spellStart"/>
      <w:r w:rsidRPr="0049357A">
        <w:rPr>
          <w:rFonts w:ascii="Times New Roman" w:hAnsi="Times New Roman" w:cs="Times New Roman"/>
          <w:color w:val="000000" w:themeColor="text1"/>
          <w:sz w:val="28"/>
          <w:szCs w:val="28"/>
          <w:lang w:val="en-US"/>
        </w:rPr>
        <w:t>IntechOpen</w:t>
      </w:r>
      <w:proofErr w:type="spellEnd"/>
      <w:r w:rsidRPr="0049357A">
        <w:rPr>
          <w:rFonts w:ascii="Times New Roman" w:hAnsi="Times New Roman" w:cs="Times New Roman"/>
          <w:color w:val="000000" w:themeColor="text1"/>
          <w:sz w:val="28"/>
          <w:szCs w:val="28"/>
          <w:lang w:val="en-US"/>
        </w:rPr>
        <w:t xml:space="preserve">. </w:t>
      </w:r>
      <w:hyperlink r:id="rId99" w:history="1">
        <w:r w:rsidRPr="0049357A">
          <w:rPr>
            <w:rFonts w:ascii="Times New Roman" w:hAnsi="Times New Roman" w:cs="Times New Roman"/>
            <w:color w:val="000000" w:themeColor="text1"/>
            <w:sz w:val="28"/>
            <w:szCs w:val="28"/>
            <w:lang w:val="en-US"/>
          </w:rPr>
          <w:t>https://doi.org/10.5772/intechopen.73212</w:t>
        </w:r>
      </w:hyperlink>
    </w:p>
    <w:p w14:paraId="15DAB408"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Francis, D., &amp; Bessant, J. (2005). Targeting innovation and implications for capability development. </w:t>
      </w:r>
      <w:proofErr w:type="spellStart"/>
      <w:r w:rsidRPr="0049357A">
        <w:rPr>
          <w:rFonts w:ascii="Times New Roman" w:hAnsi="Times New Roman" w:cs="Times New Roman"/>
          <w:color w:val="000000" w:themeColor="text1"/>
          <w:sz w:val="28"/>
          <w:szCs w:val="28"/>
          <w:lang w:val="en-US"/>
        </w:rPr>
        <w:t>Technovation</w:t>
      </w:r>
      <w:proofErr w:type="spellEnd"/>
      <w:r w:rsidRPr="0049357A">
        <w:rPr>
          <w:rFonts w:ascii="Times New Roman" w:hAnsi="Times New Roman" w:cs="Times New Roman"/>
          <w:color w:val="000000" w:themeColor="text1"/>
          <w:sz w:val="28"/>
          <w:szCs w:val="28"/>
          <w:lang w:val="en-US"/>
        </w:rPr>
        <w:t xml:space="preserve">, 25(3), 171–183. </w:t>
      </w:r>
      <w:hyperlink r:id="rId100" w:history="1">
        <w:r w:rsidRPr="0049357A">
          <w:rPr>
            <w:rFonts w:ascii="Times New Roman" w:hAnsi="Times New Roman" w:cs="Times New Roman"/>
            <w:sz w:val="28"/>
            <w:szCs w:val="28"/>
          </w:rPr>
          <w:t>https://doi.org/10.1016/j.technovation.2004.03.004</w:t>
        </w:r>
      </w:hyperlink>
      <w:r w:rsidRPr="0049357A">
        <w:rPr>
          <w:rFonts w:ascii="Times New Roman" w:hAnsi="Times New Roman" w:cs="Times New Roman"/>
          <w:color w:val="000000" w:themeColor="text1"/>
          <w:sz w:val="28"/>
          <w:szCs w:val="28"/>
          <w:lang w:val="en-US"/>
        </w:rPr>
        <w:t xml:space="preserve"> </w:t>
      </w:r>
    </w:p>
    <w:p w14:paraId="0239558D"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Bolshakov</w:t>
      </w:r>
      <w:proofErr w:type="spellEnd"/>
      <w:r w:rsidRPr="0049357A">
        <w:rPr>
          <w:rFonts w:ascii="Times New Roman" w:hAnsi="Times New Roman" w:cs="Times New Roman"/>
          <w:color w:val="000000" w:themeColor="text1"/>
          <w:sz w:val="28"/>
          <w:szCs w:val="28"/>
          <w:lang w:val="en-US"/>
        </w:rPr>
        <w:t xml:space="preserve">, S., </w:t>
      </w:r>
      <w:proofErr w:type="spellStart"/>
      <w:r w:rsidRPr="0049357A">
        <w:rPr>
          <w:rFonts w:ascii="Times New Roman" w:hAnsi="Times New Roman" w:cs="Times New Roman"/>
          <w:color w:val="000000" w:themeColor="text1"/>
          <w:sz w:val="28"/>
          <w:szCs w:val="28"/>
          <w:lang w:val="en-US"/>
        </w:rPr>
        <w:t>Bolshakova</w:t>
      </w:r>
      <w:proofErr w:type="spellEnd"/>
      <w:r w:rsidRPr="0049357A">
        <w:rPr>
          <w:rFonts w:ascii="Times New Roman" w:hAnsi="Times New Roman" w:cs="Times New Roman"/>
          <w:color w:val="000000" w:themeColor="text1"/>
          <w:sz w:val="28"/>
          <w:szCs w:val="28"/>
          <w:lang w:val="en-US"/>
        </w:rPr>
        <w:t xml:space="preserve">, Y., &amp; </w:t>
      </w:r>
      <w:proofErr w:type="spellStart"/>
      <w:r w:rsidRPr="0049357A">
        <w:rPr>
          <w:rFonts w:ascii="Times New Roman" w:hAnsi="Times New Roman" w:cs="Times New Roman"/>
          <w:color w:val="000000" w:themeColor="text1"/>
          <w:sz w:val="28"/>
          <w:szCs w:val="28"/>
          <w:lang w:val="en-US"/>
        </w:rPr>
        <w:t>Pritula</w:t>
      </w:r>
      <w:proofErr w:type="spellEnd"/>
      <w:r w:rsidRPr="0049357A">
        <w:rPr>
          <w:rFonts w:ascii="Times New Roman" w:hAnsi="Times New Roman" w:cs="Times New Roman"/>
          <w:color w:val="000000" w:themeColor="text1"/>
          <w:sz w:val="28"/>
          <w:szCs w:val="28"/>
          <w:lang w:val="en-US"/>
        </w:rPr>
        <w:t xml:space="preserve">, O. (2024). Knowledge Management in the Context of the "Entrepreneurial University" and Innovation. Economic Revival of Russia. </w:t>
      </w:r>
      <w:hyperlink r:id="rId101" w:history="1">
        <w:r w:rsidRPr="0049357A">
          <w:rPr>
            <w:rFonts w:ascii="Times New Roman" w:hAnsi="Times New Roman" w:cs="Times New Roman"/>
            <w:color w:val="000000" w:themeColor="text1"/>
            <w:sz w:val="28"/>
            <w:szCs w:val="28"/>
            <w:lang w:val="en-US"/>
          </w:rPr>
          <w:t>https://doi.org/10.37930/1990-9780-2024-4-82-93-107</w:t>
        </w:r>
      </w:hyperlink>
    </w:p>
    <w:p w14:paraId="6C93BB81"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Kalimullin</w:t>
      </w:r>
      <w:proofErr w:type="spellEnd"/>
      <w:r w:rsidRPr="0049357A">
        <w:rPr>
          <w:rFonts w:ascii="Times New Roman" w:hAnsi="Times New Roman" w:cs="Times New Roman"/>
          <w:color w:val="000000" w:themeColor="text1"/>
          <w:sz w:val="28"/>
          <w:szCs w:val="28"/>
          <w:lang w:val="en-US"/>
        </w:rPr>
        <w:t xml:space="preserve">, A. M., Youngblood, V. Т., &amp; </w:t>
      </w:r>
      <w:proofErr w:type="spellStart"/>
      <w:r w:rsidRPr="0049357A">
        <w:rPr>
          <w:rFonts w:ascii="Times New Roman" w:hAnsi="Times New Roman" w:cs="Times New Roman"/>
          <w:color w:val="000000" w:themeColor="text1"/>
          <w:sz w:val="28"/>
          <w:szCs w:val="28"/>
          <w:lang w:val="en-US"/>
        </w:rPr>
        <w:t>Khodyreva</w:t>
      </w:r>
      <w:proofErr w:type="spellEnd"/>
      <w:r w:rsidRPr="0049357A">
        <w:rPr>
          <w:rFonts w:ascii="Times New Roman" w:hAnsi="Times New Roman" w:cs="Times New Roman"/>
          <w:color w:val="000000" w:themeColor="text1"/>
          <w:sz w:val="28"/>
          <w:szCs w:val="28"/>
          <w:lang w:val="en-US"/>
        </w:rPr>
        <w:t xml:space="preserve">, E. А. (2016). The System of Management of Innovation Projects at a Higher Education. International Journal of Environmental and Science Education, 11(5), 613–622. </w:t>
      </w:r>
    </w:p>
    <w:p w14:paraId="7A8D2BAD"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Guimarães</w:t>
      </w:r>
      <w:proofErr w:type="spellEnd"/>
      <w:r w:rsidRPr="0049357A">
        <w:rPr>
          <w:rFonts w:ascii="Times New Roman" w:hAnsi="Times New Roman" w:cs="Times New Roman"/>
          <w:color w:val="000000" w:themeColor="text1"/>
          <w:sz w:val="28"/>
          <w:szCs w:val="28"/>
          <w:lang w:val="en-US"/>
        </w:rPr>
        <w:t xml:space="preserve">, R., Aquino, M., Silva, F., &amp; Silva, C. D. M. (2024). Innovation Management: Innovations and Processes. </w:t>
      </w:r>
      <w:hyperlink r:id="rId102" w:history="1">
        <w:r w:rsidRPr="0049357A">
          <w:rPr>
            <w:rFonts w:ascii="Times New Roman" w:hAnsi="Times New Roman" w:cs="Times New Roman"/>
            <w:color w:val="000000" w:themeColor="text1"/>
            <w:sz w:val="28"/>
            <w:szCs w:val="28"/>
            <w:lang w:val="en-US"/>
          </w:rPr>
          <w:t>https://doi.org/10.56238/iieducationcongress-002</w:t>
        </w:r>
      </w:hyperlink>
    </w:p>
    <w:p w14:paraId="14D18310"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Etzkowitz</w:t>
      </w:r>
      <w:proofErr w:type="spellEnd"/>
      <w:r w:rsidRPr="0049357A">
        <w:rPr>
          <w:rFonts w:ascii="Times New Roman" w:hAnsi="Times New Roman" w:cs="Times New Roman"/>
          <w:color w:val="000000" w:themeColor="text1"/>
          <w:sz w:val="28"/>
          <w:szCs w:val="28"/>
          <w:lang w:val="en-US"/>
        </w:rPr>
        <w:t xml:space="preserve">, H., &amp; </w:t>
      </w:r>
      <w:proofErr w:type="spellStart"/>
      <w:r w:rsidRPr="0049357A">
        <w:rPr>
          <w:rFonts w:ascii="Times New Roman" w:hAnsi="Times New Roman" w:cs="Times New Roman"/>
          <w:color w:val="000000" w:themeColor="text1"/>
          <w:sz w:val="28"/>
          <w:szCs w:val="28"/>
          <w:lang w:val="en-US"/>
        </w:rPr>
        <w:t>Leydesdorff</w:t>
      </w:r>
      <w:proofErr w:type="spellEnd"/>
      <w:r w:rsidRPr="0049357A">
        <w:rPr>
          <w:rFonts w:ascii="Times New Roman" w:hAnsi="Times New Roman" w:cs="Times New Roman"/>
          <w:color w:val="000000" w:themeColor="text1"/>
          <w:sz w:val="28"/>
          <w:szCs w:val="28"/>
          <w:lang w:val="en-US"/>
        </w:rPr>
        <w:t xml:space="preserve">, L. (2000). The dynamics of innovation: From National Systems to a Triple Helix. Research Policy, 29(2), 109–123. </w:t>
      </w:r>
      <w:hyperlink r:id="rId103" w:tgtFrame="_blank" w:tooltip="Persistent link using digital object identifier" w:history="1">
        <w:r w:rsidRPr="0049357A">
          <w:rPr>
            <w:rFonts w:ascii="Times New Roman" w:hAnsi="Times New Roman" w:cs="Times New Roman"/>
            <w:color w:val="000000" w:themeColor="text1"/>
            <w:sz w:val="28"/>
            <w:szCs w:val="28"/>
            <w:lang w:val="en-US"/>
          </w:rPr>
          <w:t>https://doi.org/10.1016/S0048-7333(99)00055-4</w:t>
        </w:r>
      </w:hyperlink>
    </w:p>
    <w:p w14:paraId="449DAFFD"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Etzkowitz</w:t>
      </w:r>
      <w:proofErr w:type="spellEnd"/>
      <w:r w:rsidRPr="0049357A">
        <w:rPr>
          <w:rFonts w:ascii="Times New Roman" w:hAnsi="Times New Roman" w:cs="Times New Roman"/>
          <w:color w:val="000000" w:themeColor="text1"/>
          <w:sz w:val="28"/>
          <w:szCs w:val="28"/>
          <w:lang w:val="en-US"/>
        </w:rPr>
        <w:t>, H., &amp; Zhou, C. (2021). Triple Helix twins: A framework for achieving innovation and UN SDGs. Sustainability, Vol 13(12) pages 1-19.  </w:t>
      </w:r>
      <w:hyperlink r:id="rId104" w:history="1">
        <w:r w:rsidRPr="0049357A">
          <w:rPr>
            <w:rFonts w:ascii="Times New Roman" w:hAnsi="Times New Roman" w:cs="Times New Roman"/>
            <w:color w:val="000000" w:themeColor="text1"/>
            <w:sz w:val="28"/>
            <w:szCs w:val="28"/>
            <w:lang w:val="en-US"/>
          </w:rPr>
          <w:t>https://doi.org/10.3390/su13126535</w:t>
        </w:r>
      </w:hyperlink>
    </w:p>
    <w:p w14:paraId="7075591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lastRenderedPageBreak/>
        <w:t>Hinchliffe, G.W. and Jolly, A. (2011), Graduate identity and employability. British Educational Research Journal, 37(4): 563-584. </w:t>
      </w:r>
      <w:hyperlink r:id="rId105" w:history="1">
        <w:r w:rsidRPr="0049357A">
          <w:rPr>
            <w:rFonts w:ascii="Times New Roman" w:hAnsi="Times New Roman" w:cs="Times New Roman"/>
            <w:color w:val="000000" w:themeColor="text1"/>
            <w:sz w:val="28"/>
            <w:szCs w:val="28"/>
            <w:lang w:val="en-US"/>
          </w:rPr>
          <w:t>https://doi.org/10.1080/01411926.2010.482200</w:t>
        </w:r>
      </w:hyperlink>
    </w:p>
    <w:p w14:paraId="60E6F169"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Römgens</w:t>
      </w:r>
      <w:proofErr w:type="spellEnd"/>
      <w:r w:rsidRPr="0049357A">
        <w:rPr>
          <w:rFonts w:ascii="Times New Roman" w:hAnsi="Times New Roman" w:cs="Times New Roman"/>
          <w:color w:val="000000" w:themeColor="text1"/>
          <w:sz w:val="28"/>
          <w:szCs w:val="28"/>
          <w:lang w:val="en-US"/>
        </w:rPr>
        <w:t xml:space="preserve">, I., </w:t>
      </w:r>
      <w:proofErr w:type="spellStart"/>
      <w:r w:rsidRPr="0049357A">
        <w:rPr>
          <w:rFonts w:ascii="Times New Roman" w:hAnsi="Times New Roman" w:cs="Times New Roman"/>
          <w:color w:val="000000" w:themeColor="text1"/>
          <w:sz w:val="28"/>
          <w:szCs w:val="28"/>
          <w:lang w:val="en-US"/>
        </w:rPr>
        <w:t>Scoupe</w:t>
      </w:r>
      <w:proofErr w:type="spellEnd"/>
      <w:r w:rsidRPr="0049357A">
        <w:rPr>
          <w:rFonts w:ascii="Times New Roman" w:hAnsi="Times New Roman" w:cs="Times New Roman"/>
          <w:color w:val="000000" w:themeColor="text1"/>
          <w:sz w:val="28"/>
          <w:szCs w:val="28"/>
          <w:lang w:val="en-US"/>
        </w:rPr>
        <w:t xml:space="preserve">, R., &amp; </w:t>
      </w:r>
      <w:proofErr w:type="spellStart"/>
      <w:r w:rsidRPr="0049357A">
        <w:rPr>
          <w:rFonts w:ascii="Times New Roman" w:hAnsi="Times New Roman" w:cs="Times New Roman"/>
          <w:color w:val="000000" w:themeColor="text1"/>
          <w:sz w:val="28"/>
          <w:szCs w:val="28"/>
          <w:lang w:val="en-US"/>
        </w:rPr>
        <w:t>Beausaert</w:t>
      </w:r>
      <w:proofErr w:type="spellEnd"/>
      <w:r w:rsidRPr="0049357A">
        <w:rPr>
          <w:rFonts w:ascii="Times New Roman" w:hAnsi="Times New Roman" w:cs="Times New Roman"/>
          <w:color w:val="000000" w:themeColor="text1"/>
          <w:sz w:val="28"/>
          <w:szCs w:val="28"/>
          <w:lang w:val="en-US"/>
        </w:rPr>
        <w:t xml:space="preserve">, S. (2019). Unraveling the concept of employability, bringing together research on employability in higher education and the workplace. Studies in Higher Education, 45(12), 2588–2603. </w:t>
      </w:r>
      <w:hyperlink r:id="rId106" w:history="1">
        <w:r w:rsidRPr="0049357A">
          <w:rPr>
            <w:rFonts w:ascii="Times New Roman" w:hAnsi="Times New Roman" w:cs="Times New Roman"/>
            <w:color w:val="000000" w:themeColor="text1"/>
            <w:sz w:val="28"/>
            <w:szCs w:val="28"/>
            <w:lang w:val="en-US"/>
          </w:rPr>
          <w:t>https://doi.org/10.1080/03075079.2019.1623770</w:t>
        </w:r>
      </w:hyperlink>
    </w:p>
    <w:p w14:paraId="16C83C50"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Gibbons, M., Limoges, C., </w:t>
      </w:r>
      <w:proofErr w:type="spellStart"/>
      <w:r w:rsidRPr="0049357A">
        <w:rPr>
          <w:rFonts w:ascii="Times New Roman" w:hAnsi="Times New Roman" w:cs="Times New Roman"/>
          <w:color w:val="000000" w:themeColor="text1"/>
          <w:sz w:val="28"/>
          <w:szCs w:val="28"/>
          <w:lang w:val="en-US"/>
        </w:rPr>
        <w:t>Nowotny</w:t>
      </w:r>
      <w:proofErr w:type="spellEnd"/>
      <w:r w:rsidRPr="0049357A">
        <w:rPr>
          <w:rFonts w:ascii="Times New Roman" w:hAnsi="Times New Roman" w:cs="Times New Roman"/>
          <w:color w:val="000000" w:themeColor="text1"/>
          <w:sz w:val="28"/>
          <w:szCs w:val="28"/>
          <w:lang w:val="en-US"/>
        </w:rPr>
        <w:t xml:space="preserve">, H., Schwartzman, S., Scott, P., &amp; </w:t>
      </w:r>
      <w:proofErr w:type="spellStart"/>
      <w:r w:rsidRPr="0049357A">
        <w:rPr>
          <w:rFonts w:ascii="Times New Roman" w:hAnsi="Times New Roman" w:cs="Times New Roman"/>
          <w:color w:val="000000" w:themeColor="text1"/>
          <w:sz w:val="28"/>
          <w:szCs w:val="28"/>
          <w:lang w:val="en-US"/>
        </w:rPr>
        <w:t>Trow</w:t>
      </w:r>
      <w:proofErr w:type="spellEnd"/>
      <w:r w:rsidRPr="0049357A">
        <w:rPr>
          <w:rFonts w:ascii="Times New Roman" w:hAnsi="Times New Roman" w:cs="Times New Roman"/>
          <w:color w:val="000000" w:themeColor="text1"/>
          <w:sz w:val="28"/>
          <w:szCs w:val="28"/>
          <w:lang w:val="en-US"/>
        </w:rPr>
        <w:t xml:space="preserve">, M. (1994). The new production of knowledge: The dynamics of science and research in contemporary societies. Sage Publications, Inc. </w:t>
      </w:r>
    </w:p>
    <w:p w14:paraId="1ABE838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Clark, B.R. (1998) Creating Entrepreneurial Universities: Organizational Pathways of Transformation. IUA Press &amp; Pergamon, Paris.</w:t>
      </w:r>
    </w:p>
    <w:p w14:paraId="19C7DFC8" w14:textId="069FD06D"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Yokoyama, K. Entrepreneurialism in Japanese and UK Universities: Governance, Management, Leadership, and Funding. High Educ 52, 523–555 (2006). </w:t>
      </w:r>
      <w:r w:rsidR="00FA4396">
        <w:rPr>
          <w:rFonts w:ascii="Times New Roman" w:hAnsi="Times New Roman" w:cs="Times New Roman"/>
          <w:color w:val="000000" w:themeColor="text1"/>
          <w:sz w:val="28"/>
          <w:szCs w:val="28"/>
          <w:lang w:val="en-US"/>
        </w:rPr>
        <w:t xml:space="preserve">Accessed: </w:t>
      </w:r>
      <w:hyperlink r:id="rId107" w:history="1">
        <w:r w:rsidR="00FA4396" w:rsidRPr="00FA4396">
          <w:rPr>
            <w:rFonts w:ascii="Times New Roman" w:hAnsi="Times New Roman" w:cs="Times New Roman"/>
            <w:color w:val="000000" w:themeColor="text1"/>
            <w:sz w:val="28"/>
            <w:szCs w:val="28"/>
            <w:lang w:val="en-US"/>
          </w:rPr>
          <w:t>https://doi.org/10.1007/s10734-005-1168-2</w:t>
        </w:r>
      </w:hyperlink>
      <w:r w:rsidR="00FA4396">
        <w:rPr>
          <w:rFonts w:ascii="Times New Roman" w:hAnsi="Times New Roman" w:cs="Times New Roman"/>
          <w:color w:val="000000" w:themeColor="text1"/>
          <w:sz w:val="28"/>
          <w:szCs w:val="28"/>
          <w:lang w:val="en-US"/>
        </w:rPr>
        <w:t xml:space="preserve">. </w:t>
      </w:r>
    </w:p>
    <w:p w14:paraId="23E0AF0F" w14:textId="13A0A73C"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Nawaz, N., Durst, S., </w:t>
      </w:r>
      <w:proofErr w:type="spellStart"/>
      <w:r w:rsidRPr="0049357A">
        <w:rPr>
          <w:rFonts w:ascii="Times New Roman" w:hAnsi="Times New Roman" w:cs="Times New Roman"/>
          <w:color w:val="000000" w:themeColor="text1"/>
          <w:sz w:val="28"/>
          <w:szCs w:val="28"/>
          <w:lang w:val="en-US"/>
        </w:rPr>
        <w:t>Hariharasudan</w:t>
      </w:r>
      <w:proofErr w:type="spellEnd"/>
      <w:r w:rsidRPr="0049357A">
        <w:rPr>
          <w:rFonts w:ascii="Times New Roman" w:hAnsi="Times New Roman" w:cs="Times New Roman"/>
          <w:color w:val="000000" w:themeColor="text1"/>
          <w:sz w:val="28"/>
          <w:szCs w:val="28"/>
          <w:lang w:val="en-US"/>
        </w:rPr>
        <w:t xml:space="preserve"> A., et al. (2020). </w:t>
      </w:r>
      <w:r w:rsidR="00FA4396" w:rsidRPr="0049357A">
        <w:rPr>
          <w:rFonts w:ascii="Times New Roman" w:hAnsi="Times New Roman" w:cs="Times New Roman"/>
          <w:color w:val="000000" w:themeColor="text1"/>
          <w:sz w:val="28"/>
          <w:szCs w:val="28"/>
          <w:lang w:val="en-US"/>
        </w:rPr>
        <w:t>Knowledge management practices in higher education institutions - a comparative study</w:t>
      </w:r>
      <w:r w:rsidRPr="0049357A">
        <w:rPr>
          <w:rFonts w:ascii="Times New Roman" w:hAnsi="Times New Roman" w:cs="Times New Roman"/>
          <w:color w:val="000000" w:themeColor="text1"/>
          <w:sz w:val="28"/>
          <w:szCs w:val="28"/>
          <w:lang w:val="en-US"/>
        </w:rPr>
        <w:t>. Polish Journal of Management Studies, 22(2),</w:t>
      </w:r>
      <w:r w:rsidR="00FA4396">
        <w:rPr>
          <w:rFonts w:ascii="Times New Roman" w:hAnsi="Times New Roman" w:cs="Times New Roman"/>
          <w:color w:val="000000" w:themeColor="text1"/>
          <w:sz w:val="28"/>
          <w:szCs w:val="28"/>
          <w:lang w:val="en-US"/>
        </w:rPr>
        <w:t xml:space="preserve"> </w:t>
      </w:r>
      <w:r w:rsidRPr="0049357A">
        <w:rPr>
          <w:rFonts w:ascii="Times New Roman" w:hAnsi="Times New Roman" w:cs="Times New Roman"/>
          <w:color w:val="000000" w:themeColor="text1"/>
          <w:sz w:val="28"/>
          <w:szCs w:val="28"/>
          <w:lang w:val="en-US"/>
        </w:rPr>
        <w:t xml:space="preserve">291-308. </w:t>
      </w:r>
      <w:hyperlink r:id="rId108" w:history="1">
        <w:r w:rsidRPr="0049357A">
          <w:rPr>
            <w:rFonts w:ascii="Times New Roman" w:hAnsi="Times New Roman" w:cs="Times New Roman"/>
            <w:color w:val="000000" w:themeColor="text1"/>
            <w:sz w:val="28"/>
            <w:szCs w:val="28"/>
            <w:lang w:val="en-US"/>
          </w:rPr>
          <w:t>https://doi.org/10.17512/pjms.2020.22.2.20</w:t>
        </w:r>
      </w:hyperlink>
      <w:r w:rsidRPr="0049357A">
        <w:rPr>
          <w:rFonts w:ascii="Times New Roman" w:hAnsi="Times New Roman" w:cs="Times New Roman"/>
          <w:color w:val="000000" w:themeColor="text1"/>
          <w:sz w:val="28"/>
          <w:szCs w:val="28"/>
          <w:lang w:val="en-US"/>
        </w:rPr>
        <w:t>.</w:t>
      </w:r>
    </w:p>
    <w:p w14:paraId="7DA89D26"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Veugelers</w:t>
      </w:r>
      <w:proofErr w:type="spellEnd"/>
      <w:r w:rsidRPr="0049357A">
        <w:rPr>
          <w:rFonts w:ascii="Times New Roman" w:hAnsi="Times New Roman" w:cs="Times New Roman"/>
          <w:color w:val="000000" w:themeColor="text1"/>
          <w:sz w:val="28"/>
          <w:szCs w:val="28"/>
          <w:lang w:val="en-US"/>
        </w:rPr>
        <w:t>, R., &amp; Del Rey, E. (2014). The contribution of universities to innovation, growth, and employment. EENEE Analytical Report No.18.</w:t>
      </w:r>
    </w:p>
    <w:p w14:paraId="48A1BEAE" w14:textId="4B921959"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Serdyukov, P. (2017). Innovation in Education: What Works, What Doesn’t, and What to Do about It? </w:t>
      </w:r>
      <w:r w:rsidR="00E97691">
        <w:rPr>
          <w:rFonts w:ascii="Times New Roman" w:hAnsi="Times New Roman" w:cs="Times New Roman"/>
          <w:color w:val="000000" w:themeColor="text1"/>
          <w:sz w:val="28"/>
          <w:szCs w:val="28"/>
          <w:lang w:val="kk-KZ"/>
        </w:rPr>
        <w:t xml:space="preserve">// </w:t>
      </w:r>
      <w:r w:rsidRPr="0049357A">
        <w:rPr>
          <w:rFonts w:ascii="Times New Roman" w:hAnsi="Times New Roman" w:cs="Times New Roman"/>
          <w:color w:val="000000" w:themeColor="text1"/>
          <w:sz w:val="28"/>
          <w:szCs w:val="28"/>
          <w:lang w:val="en-US"/>
        </w:rPr>
        <w:t>Journal of Research in Innovative Teaching &amp; Learning,10,</w:t>
      </w:r>
      <w:r w:rsidR="00E97691">
        <w:rPr>
          <w:rFonts w:ascii="Times New Roman" w:hAnsi="Times New Roman" w:cs="Times New Roman"/>
          <w:color w:val="000000" w:themeColor="text1"/>
          <w:sz w:val="28"/>
          <w:szCs w:val="28"/>
          <w:lang w:val="kk-KZ"/>
        </w:rPr>
        <w:t xml:space="preserve"> </w:t>
      </w:r>
      <w:r w:rsidR="00E97691">
        <w:rPr>
          <w:rFonts w:ascii="Times New Roman" w:hAnsi="Times New Roman" w:cs="Times New Roman"/>
          <w:color w:val="000000" w:themeColor="text1"/>
          <w:sz w:val="28"/>
          <w:szCs w:val="28"/>
          <w:lang w:val="en-US"/>
        </w:rPr>
        <w:t xml:space="preserve">pp. </w:t>
      </w:r>
      <w:r w:rsidRPr="0049357A">
        <w:rPr>
          <w:rFonts w:ascii="Times New Roman" w:hAnsi="Times New Roman" w:cs="Times New Roman"/>
          <w:color w:val="000000" w:themeColor="text1"/>
          <w:sz w:val="28"/>
          <w:szCs w:val="28"/>
          <w:lang w:val="en-US"/>
        </w:rPr>
        <w:t>4-33.</w:t>
      </w:r>
    </w:p>
    <w:p w14:paraId="001CE711"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bookmarkStart w:id="40" w:name="_Hlk193642812"/>
      <w:r w:rsidRPr="0049357A">
        <w:rPr>
          <w:rFonts w:ascii="Times New Roman" w:hAnsi="Times New Roman" w:cs="Times New Roman"/>
          <w:color w:val="000000" w:themeColor="text1"/>
          <w:sz w:val="28"/>
          <w:szCs w:val="28"/>
          <w:lang w:val="en-US"/>
        </w:rPr>
        <w:t>Miao</w:t>
      </w:r>
      <w:bookmarkEnd w:id="40"/>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Yuee</w:t>
      </w:r>
      <w:proofErr w:type="spellEnd"/>
      <w:r w:rsidRPr="0049357A">
        <w:rPr>
          <w:rFonts w:ascii="Times New Roman" w:hAnsi="Times New Roman" w:cs="Times New Roman"/>
          <w:color w:val="000000" w:themeColor="text1"/>
          <w:sz w:val="28"/>
          <w:szCs w:val="28"/>
          <w:lang w:val="en-US"/>
        </w:rPr>
        <w:t>. (2024). Quantitative Analysis and Modeling of Student Innovation Capability in Higher Education Management in an Innovative and Entrepreneurial Environment. Applied Mathematics and Nonlinear Sciences.  10.2478/amns-2024-3251.</w:t>
      </w:r>
    </w:p>
    <w:p w14:paraId="6FD92016"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Bozionelos</w:t>
      </w:r>
      <w:proofErr w:type="spellEnd"/>
      <w:r w:rsidRPr="0049357A">
        <w:rPr>
          <w:rFonts w:ascii="Times New Roman" w:hAnsi="Times New Roman" w:cs="Times New Roman"/>
          <w:color w:val="000000" w:themeColor="text1"/>
          <w:sz w:val="28"/>
          <w:szCs w:val="28"/>
          <w:lang w:val="en-US"/>
        </w:rPr>
        <w:t xml:space="preserve">, N., </w:t>
      </w:r>
      <w:proofErr w:type="spellStart"/>
      <w:r w:rsidRPr="0049357A">
        <w:rPr>
          <w:rFonts w:ascii="Times New Roman" w:hAnsi="Times New Roman" w:cs="Times New Roman"/>
          <w:color w:val="000000" w:themeColor="text1"/>
          <w:sz w:val="28"/>
          <w:szCs w:val="28"/>
          <w:lang w:val="en-US"/>
        </w:rPr>
        <w:t>Kostopoulos</w:t>
      </w:r>
      <w:proofErr w:type="spellEnd"/>
      <w:r w:rsidRPr="0049357A">
        <w:rPr>
          <w:rFonts w:ascii="Times New Roman" w:hAnsi="Times New Roman" w:cs="Times New Roman"/>
          <w:color w:val="000000" w:themeColor="text1"/>
          <w:sz w:val="28"/>
          <w:szCs w:val="28"/>
          <w:lang w:val="en-US"/>
        </w:rPr>
        <w:t xml:space="preserve">, K., Van der Heijden, B., Rousseau, D. M., </w:t>
      </w:r>
      <w:proofErr w:type="spellStart"/>
      <w:r w:rsidRPr="0049357A">
        <w:rPr>
          <w:rFonts w:ascii="Times New Roman" w:hAnsi="Times New Roman" w:cs="Times New Roman"/>
          <w:color w:val="000000" w:themeColor="text1"/>
          <w:sz w:val="28"/>
          <w:szCs w:val="28"/>
          <w:lang w:val="en-US"/>
        </w:rPr>
        <w:t>Bozionelos</w:t>
      </w:r>
      <w:proofErr w:type="spellEnd"/>
      <w:r w:rsidRPr="0049357A">
        <w:rPr>
          <w:rFonts w:ascii="Times New Roman" w:hAnsi="Times New Roman" w:cs="Times New Roman"/>
          <w:color w:val="000000" w:themeColor="text1"/>
          <w:sz w:val="28"/>
          <w:szCs w:val="28"/>
          <w:lang w:val="en-US"/>
        </w:rPr>
        <w:t xml:space="preserve">, G., </w:t>
      </w:r>
      <w:proofErr w:type="spellStart"/>
      <w:r w:rsidRPr="0049357A">
        <w:rPr>
          <w:rFonts w:ascii="Times New Roman" w:hAnsi="Times New Roman" w:cs="Times New Roman"/>
          <w:color w:val="000000" w:themeColor="text1"/>
          <w:sz w:val="28"/>
          <w:szCs w:val="28"/>
          <w:lang w:val="en-US"/>
        </w:rPr>
        <w:t>Hoyland</w:t>
      </w:r>
      <w:proofErr w:type="spellEnd"/>
      <w:r w:rsidRPr="0049357A">
        <w:rPr>
          <w:rFonts w:ascii="Times New Roman" w:hAnsi="Times New Roman" w:cs="Times New Roman"/>
          <w:color w:val="000000" w:themeColor="text1"/>
          <w:sz w:val="28"/>
          <w:szCs w:val="28"/>
          <w:lang w:val="en-US"/>
        </w:rPr>
        <w:t xml:space="preserve">, T., Miao, R., </w:t>
      </w:r>
      <w:proofErr w:type="spellStart"/>
      <w:r w:rsidRPr="0049357A">
        <w:rPr>
          <w:rFonts w:ascii="Times New Roman" w:hAnsi="Times New Roman" w:cs="Times New Roman"/>
          <w:color w:val="000000" w:themeColor="text1"/>
          <w:sz w:val="28"/>
          <w:szCs w:val="28"/>
          <w:lang w:val="en-US"/>
        </w:rPr>
        <w:t>Marzec</w:t>
      </w:r>
      <w:proofErr w:type="spellEnd"/>
      <w:r w:rsidRPr="0049357A">
        <w:rPr>
          <w:rFonts w:ascii="Times New Roman" w:hAnsi="Times New Roman" w:cs="Times New Roman"/>
          <w:color w:val="000000" w:themeColor="text1"/>
          <w:sz w:val="28"/>
          <w:szCs w:val="28"/>
          <w:lang w:val="en-US"/>
        </w:rPr>
        <w:t xml:space="preserve">, I., </w:t>
      </w:r>
      <w:proofErr w:type="spellStart"/>
      <w:r w:rsidRPr="0049357A">
        <w:rPr>
          <w:rFonts w:ascii="Times New Roman" w:hAnsi="Times New Roman" w:cs="Times New Roman"/>
          <w:color w:val="000000" w:themeColor="text1"/>
          <w:sz w:val="28"/>
          <w:szCs w:val="28"/>
          <w:lang w:val="en-US"/>
        </w:rPr>
        <w:t>Jędrzejowicz</w:t>
      </w:r>
      <w:proofErr w:type="spellEnd"/>
      <w:r w:rsidRPr="0049357A">
        <w:rPr>
          <w:rFonts w:ascii="Times New Roman" w:hAnsi="Times New Roman" w:cs="Times New Roman"/>
          <w:color w:val="000000" w:themeColor="text1"/>
          <w:sz w:val="28"/>
          <w:szCs w:val="28"/>
          <w:lang w:val="en-US"/>
        </w:rPr>
        <w:t xml:space="preserve">, P., </w:t>
      </w:r>
      <w:proofErr w:type="spellStart"/>
      <w:r w:rsidRPr="0049357A">
        <w:rPr>
          <w:rFonts w:ascii="Times New Roman" w:hAnsi="Times New Roman" w:cs="Times New Roman"/>
          <w:color w:val="000000" w:themeColor="text1"/>
          <w:sz w:val="28"/>
          <w:szCs w:val="28"/>
          <w:lang w:val="en-US"/>
        </w:rPr>
        <w:t>Epitropaki</w:t>
      </w:r>
      <w:proofErr w:type="spellEnd"/>
      <w:r w:rsidRPr="0049357A">
        <w:rPr>
          <w:rFonts w:ascii="Times New Roman" w:hAnsi="Times New Roman" w:cs="Times New Roman"/>
          <w:color w:val="000000" w:themeColor="text1"/>
          <w:sz w:val="28"/>
          <w:szCs w:val="28"/>
          <w:lang w:val="en-US"/>
        </w:rPr>
        <w:t xml:space="preserve">, O., Mikkelsen, A., </w:t>
      </w:r>
      <w:proofErr w:type="spellStart"/>
      <w:r w:rsidRPr="0049357A">
        <w:rPr>
          <w:rFonts w:ascii="Times New Roman" w:hAnsi="Times New Roman" w:cs="Times New Roman"/>
          <w:color w:val="000000" w:themeColor="text1"/>
          <w:sz w:val="28"/>
          <w:szCs w:val="28"/>
          <w:lang w:val="en-US"/>
        </w:rPr>
        <w:t>Scholarios</w:t>
      </w:r>
      <w:proofErr w:type="spellEnd"/>
      <w:r w:rsidRPr="0049357A">
        <w:rPr>
          <w:rFonts w:ascii="Times New Roman" w:hAnsi="Times New Roman" w:cs="Times New Roman"/>
          <w:color w:val="000000" w:themeColor="text1"/>
          <w:sz w:val="28"/>
          <w:szCs w:val="28"/>
          <w:lang w:val="en-US"/>
        </w:rPr>
        <w:t xml:space="preserve">, D., &amp; Van der </w:t>
      </w:r>
      <w:proofErr w:type="spellStart"/>
      <w:r w:rsidRPr="0049357A">
        <w:rPr>
          <w:rFonts w:ascii="Times New Roman" w:hAnsi="Times New Roman" w:cs="Times New Roman"/>
          <w:color w:val="000000" w:themeColor="text1"/>
          <w:sz w:val="28"/>
          <w:szCs w:val="28"/>
          <w:lang w:val="en-US"/>
        </w:rPr>
        <w:t>Heijde</w:t>
      </w:r>
      <w:proofErr w:type="spellEnd"/>
      <w:r w:rsidRPr="0049357A">
        <w:rPr>
          <w:rFonts w:ascii="Times New Roman" w:hAnsi="Times New Roman" w:cs="Times New Roman"/>
          <w:color w:val="000000" w:themeColor="text1"/>
          <w:sz w:val="28"/>
          <w:szCs w:val="28"/>
          <w:lang w:val="en-US"/>
        </w:rPr>
        <w:t>, C. (2015). Employability and Job Performance as Links in the Relationship Between Mentoring Receipt and Career Success: A Study in SMEs. Group &amp; Organization Management, 41(2), 35-171. </w:t>
      </w:r>
      <w:hyperlink r:id="rId109" w:history="1">
        <w:r w:rsidRPr="0049357A">
          <w:rPr>
            <w:rFonts w:ascii="Times New Roman" w:hAnsi="Times New Roman" w:cs="Times New Roman"/>
            <w:color w:val="000000" w:themeColor="text1"/>
            <w:sz w:val="28"/>
            <w:szCs w:val="28"/>
            <w:lang w:val="en-US"/>
          </w:rPr>
          <w:t>https://doi.org/10.1177/1059601115617086</w:t>
        </w:r>
      </w:hyperlink>
      <w:r w:rsidRPr="0049357A">
        <w:rPr>
          <w:rFonts w:ascii="Times New Roman" w:hAnsi="Times New Roman" w:cs="Times New Roman"/>
          <w:color w:val="000000" w:themeColor="text1"/>
          <w:sz w:val="28"/>
          <w:szCs w:val="28"/>
          <w:lang w:val="en-US"/>
        </w:rPr>
        <w:t> (Original work published 2016)</w:t>
      </w:r>
    </w:p>
    <w:p w14:paraId="77B0CC93" w14:textId="622A8C89"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Li, Xiang &amp; Pu, </w:t>
      </w:r>
      <w:proofErr w:type="spellStart"/>
      <w:r w:rsidRPr="0049357A">
        <w:rPr>
          <w:rFonts w:ascii="Times New Roman" w:hAnsi="Times New Roman" w:cs="Times New Roman"/>
          <w:color w:val="000000" w:themeColor="text1"/>
          <w:sz w:val="28"/>
          <w:szCs w:val="28"/>
          <w:lang w:val="en-US"/>
        </w:rPr>
        <w:t>Ruihui</w:t>
      </w:r>
      <w:proofErr w:type="spellEnd"/>
      <w:r w:rsidRPr="0049357A">
        <w:rPr>
          <w:rFonts w:ascii="Times New Roman" w:hAnsi="Times New Roman" w:cs="Times New Roman"/>
          <w:color w:val="000000" w:themeColor="text1"/>
          <w:sz w:val="28"/>
          <w:szCs w:val="28"/>
          <w:lang w:val="en-US"/>
        </w:rPr>
        <w:t xml:space="preserve"> &amp; Liao, Hong. (2022). The impacts of innovation capability and social adaptability on undergraduates’ employability: The role of self-efficacy.</w:t>
      </w:r>
      <w:r w:rsidR="00E97691">
        <w:rPr>
          <w:rFonts w:ascii="Times New Roman" w:hAnsi="Times New Roman" w:cs="Times New Roman"/>
          <w:color w:val="000000" w:themeColor="text1"/>
          <w:sz w:val="28"/>
          <w:szCs w:val="28"/>
          <w:lang w:val="en-US"/>
        </w:rPr>
        <w:t xml:space="preserve"> // </w:t>
      </w:r>
      <w:r w:rsidRPr="0049357A">
        <w:rPr>
          <w:rFonts w:ascii="Times New Roman" w:hAnsi="Times New Roman" w:cs="Times New Roman"/>
          <w:color w:val="000000" w:themeColor="text1"/>
          <w:sz w:val="28"/>
          <w:szCs w:val="28"/>
          <w:lang w:val="en-US"/>
        </w:rPr>
        <w:t xml:space="preserve">Frontiers in Psychology. Vol 13. 954828. </w:t>
      </w:r>
      <w:hyperlink r:id="rId110" w:history="1">
        <w:r w:rsidR="00E97691" w:rsidRPr="00D663AE">
          <w:rPr>
            <w:rFonts w:ascii="Times New Roman" w:hAnsi="Times New Roman" w:cs="Times New Roman"/>
            <w:color w:val="000000" w:themeColor="text1"/>
            <w:sz w:val="28"/>
            <w:szCs w:val="28"/>
            <w:lang w:val="en-US"/>
          </w:rPr>
          <w:t>https://doi.org/10.3389/fpsyg.2022.954828</w:t>
        </w:r>
      </w:hyperlink>
    </w:p>
    <w:p w14:paraId="54A510DF"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Çetin</w:t>
      </w:r>
      <w:proofErr w:type="spellEnd"/>
      <w:r w:rsidRPr="0049357A">
        <w:rPr>
          <w:rFonts w:ascii="Times New Roman" w:hAnsi="Times New Roman" w:cs="Times New Roman"/>
          <w:color w:val="000000" w:themeColor="text1"/>
          <w:sz w:val="28"/>
          <w:szCs w:val="28"/>
          <w:lang w:val="en-US"/>
        </w:rPr>
        <w:t xml:space="preserve">, O. M., &amp; </w:t>
      </w:r>
      <w:proofErr w:type="spellStart"/>
      <w:r w:rsidRPr="0049357A">
        <w:rPr>
          <w:rFonts w:ascii="Times New Roman" w:hAnsi="Times New Roman" w:cs="Times New Roman"/>
          <w:color w:val="000000" w:themeColor="text1"/>
          <w:sz w:val="28"/>
          <w:szCs w:val="28"/>
          <w:lang w:val="en-US"/>
        </w:rPr>
        <w:t>Kabaca</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Çiçek</w:t>
      </w:r>
      <w:proofErr w:type="spellEnd"/>
      <w:r w:rsidRPr="0049357A">
        <w:rPr>
          <w:rFonts w:ascii="Times New Roman" w:hAnsi="Times New Roman" w:cs="Times New Roman"/>
          <w:color w:val="000000" w:themeColor="text1"/>
          <w:sz w:val="28"/>
          <w:szCs w:val="28"/>
          <w:lang w:val="en-US"/>
        </w:rPr>
        <w:t xml:space="preserve">, S. (2024). Impact of Higher Education on Employment of Disadvantaged Groups: A Comparative Study between </w:t>
      </w:r>
      <w:proofErr w:type="spellStart"/>
      <w:r w:rsidRPr="0049357A">
        <w:rPr>
          <w:rFonts w:ascii="Times New Roman" w:hAnsi="Times New Roman" w:cs="Times New Roman"/>
          <w:color w:val="000000" w:themeColor="text1"/>
          <w:sz w:val="28"/>
          <w:szCs w:val="28"/>
          <w:lang w:val="en-US"/>
        </w:rPr>
        <w:t>Türkiye</w:t>
      </w:r>
      <w:proofErr w:type="spellEnd"/>
      <w:r w:rsidRPr="0049357A">
        <w:rPr>
          <w:rFonts w:ascii="Times New Roman" w:hAnsi="Times New Roman" w:cs="Times New Roman"/>
          <w:color w:val="000000" w:themeColor="text1"/>
          <w:sz w:val="28"/>
          <w:szCs w:val="28"/>
          <w:lang w:val="en-US"/>
        </w:rPr>
        <w:t xml:space="preserve"> and the EU. Journal of University Research, 7(2), 181-191. </w:t>
      </w:r>
      <w:hyperlink r:id="rId111" w:history="1">
        <w:r w:rsidRPr="0049357A">
          <w:rPr>
            <w:rFonts w:ascii="Times New Roman" w:hAnsi="Times New Roman" w:cs="Times New Roman"/>
            <w:color w:val="000000" w:themeColor="text1"/>
            <w:sz w:val="28"/>
            <w:szCs w:val="28"/>
            <w:lang w:val="en-US"/>
          </w:rPr>
          <w:t>https://doi.org/10.32329/uad.1464378</w:t>
        </w:r>
      </w:hyperlink>
    </w:p>
    <w:p w14:paraId="5B852363"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lastRenderedPageBreak/>
        <w:t xml:space="preserve">Henry </w:t>
      </w:r>
      <w:proofErr w:type="spellStart"/>
      <w:r w:rsidRPr="0049357A">
        <w:rPr>
          <w:rFonts w:ascii="Times New Roman" w:hAnsi="Times New Roman" w:cs="Times New Roman"/>
          <w:color w:val="000000" w:themeColor="text1"/>
          <w:sz w:val="28"/>
          <w:szCs w:val="28"/>
          <w:lang w:val="en-US"/>
        </w:rPr>
        <w:t>Etzkowitz</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Chunyan</w:t>
      </w:r>
      <w:proofErr w:type="spellEnd"/>
      <w:r w:rsidRPr="0049357A">
        <w:rPr>
          <w:rFonts w:ascii="Times New Roman" w:hAnsi="Times New Roman" w:cs="Times New Roman"/>
          <w:color w:val="000000" w:themeColor="text1"/>
          <w:sz w:val="28"/>
          <w:szCs w:val="28"/>
          <w:lang w:val="en-US"/>
        </w:rPr>
        <w:t xml:space="preserve"> Zhou, Triple Helix twins: innovation and sustainability, Science and Public Policy, Volume 33, Issue 1, February 2006, Pages 77–83, </w:t>
      </w:r>
      <w:hyperlink r:id="rId112" w:history="1">
        <w:r w:rsidRPr="0049357A">
          <w:rPr>
            <w:rFonts w:ascii="Times New Roman" w:hAnsi="Times New Roman" w:cs="Times New Roman"/>
            <w:color w:val="000000" w:themeColor="text1"/>
            <w:sz w:val="28"/>
            <w:szCs w:val="28"/>
            <w:lang w:val="en-US"/>
          </w:rPr>
          <w:t>https://doi.org/10.3152/147154306781779154</w:t>
        </w:r>
      </w:hyperlink>
    </w:p>
    <w:p w14:paraId="1DAB67C8"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Zhou, C. (2008). Emergence of the entrepreneurial university in the evolution of the Triple Helix: The case of Northeastern University in China. Journal of Technology Management in China, 3(1), 109–126. https://doi.org/10.1108/17468770810851539</w:t>
      </w:r>
    </w:p>
    <w:p w14:paraId="53B91CD3" w14:textId="067C7A16"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Cai, Y., &amp; </w:t>
      </w:r>
      <w:proofErr w:type="spellStart"/>
      <w:r w:rsidRPr="0049357A">
        <w:rPr>
          <w:rFonts w:ascii="Times New Roman" w:hAnsi="Times New Roman" w:cs="Times New Roman"/>
          <w:color w:val="000000" w:themeColor="text1"/>
          <w:sz w:val="28"/>
          <w:szCs w:val="28"/>
          <w:lang w:val="en-US"/>
        </w:rPr>
        <w:t>Etzkowitz</w:t>
      </w:r>
      <w:proofErr w:type="spellEnd"/>
      <w:r w:rsidRPr="0049357A">
        <w:rPr>
          <w:rFonts w:ascii="Times New Roman" w:hAnsi="Times New Roman" w:cs="Times New Roman"/>
          <w:color w:val="000000" w:themeColor="text1"/>
          <w:sz w:val="28"/>
          <w:szCs w:val="28"/>
          <w:lang w:val="en-US"/>
        </w:rPr>
        <w:t xml:space="preserve">, H. (2020). Theorizing the Triple Helix model: Past, present, and future. Triple Helix, 7(1), </w:t>
      </w:r>
      <w:r w:rsidR="00E97691">
        <w:rPr>
          <w:rFonts w:ascii="Times New Roman" w:hAnsi="Times New Roman" w:cs="Times New Roman"/>
          <w:color w:val="000000" w:themeColor="text1"/>
          <w:sz w:val="28"/>
          <w:szCs w:val="28"/>
          <w:lang w:val="en-US"/>
        </w:rPr>
        <w:t xml:space="preserve">pp. </w:t>
      </w:r>
      <w:r w:rsidRPr="0049357A">
        <w:rPr>
          <w:rFonts w:ascii="Times New Roman" w:hAnsi="Times New Roman" w:cs="Times New Roman"/>
          <w:color w:val="000000" w:themeColor="text1"/>
          <w:sz w:val="28"/>
          <w:szCs w:val="28"/>
          <w:lang w:val="en-US"/>
        </w:rPr>
        <w:t>1–38. https://doi.org/10.1163/21971927-bja10003</w:t>
      </w:r>
    </w:p>
    <w:p w14:paraId="7F93BB31" w14:textId="3650C604"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Etzkowitz</w:t>
      </w:r>
      <w:proofErr w:type="spellEnd"/>
      <w:r w:rsidRPr="0049357A">
        <w:rPr>
          <w:rFonts w:ascii="Times New Roman" w:hAnsi="Times New Roman" w:cs="Times New Roman"/>
          <w:color w:val="000000" w:themeColor="text1"/>
          <w:sz w:val="28"/>
          <w:szCs w:val="28"/>
          <w:lang w:val="en-US"/>
        </w:rPr>
        <w:t xml:space="preserve">, H. (2003). Innovation in innovation: The Triple Helix of university–industry–government relations. Social Science Information, 42(3), </w:t>
      </w:r>
      <w:r w:rsidR="00E97691">
        <w:rPr>
          <w:rFonts w:ascii="Times New Roman" w:hAnsi="Times New Roman" w:cs="Times New Roman"/>
          <w:color w:val="000000" w:themeColor="text1"/>
          <w:sz w:val="28"/>
          <w:szCs w:val="28"/>
          <w:lang w:val="en-US"/>
        </w:rPr>
        <w:t xml:space="preserve">pp. </w:t>
      </w:r>
      <w:r w:rsidRPr="0049357A">
        <w:rPr>
          <w:rFonts w:ascii="Times New Roman" w:hAnsi="Times New Roman" w:cs="Times New Roman"/>
          <w:color w:val="000000" w:themeColor="text1"/>
          <w:sz w:val="28"/>
          <w:szCs w:val="28"/>
          <w:lang w:val="en-US"/>
        </w:rPr>
        <w:t>293–337. https://doi.org/10.1177/05390184030423002</w:t>
      </w:r>
    </w:p>
    <w:p w14:paraId="61814042" w14:textId="328C2D5E"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Ivanova, I. A., &amp; </w:t>
      </w:r>
      <w:proofErr w:type="spellStart"/>
      <w:r w:rsidRPr="0049357A">
        <w:rPr>
          <w:rFonts w:ascii="Times New Roman" w:hAnsi="Times New Roman" w:cs="Times New Roman"/>
          <w:color w:val="000000" w:themeColor="text1"/>
          <w:sz w:val="28"/>
          <w:szCs w:val="28"/>
          <w:lang w:val="en-US"/>
        </w:rPr>
        <w:t>Leydesdorff</w:t>
      </w:r>
      <w:proofErr w:type="spellEnd"/>
      <w:r w:rsidRPr="0049357A">
        <w:rPr>
          <w:rFonts w:ascii="Times New Roman" w:hAnsi="Times New Roman" w:cs="Times New Roman"/>
          <w:color w:val="000000" w:themeColor="text1"/>
          <w:sz w:val="28"/>
          <w:szCs w:val="28"/>
          <w:lang w:val="en-US"/>
        </w:rPr>
        <w:t xml:space="preserve">, L. (2014). Rotational symmetry and the transformation of innovation systems in a Triple Helix of university–industry–government relations. Technological Forecasting and Social Change, 86, </w:t>
      </w:r>
      <w:r w:rsidR="00E97691">
        <w:rPr>
          <w:rFonts w:ascii="Times New Roman" w:hAnsi="Times New Roman" w:cs="Times New Roman"/>
          <w:color w:val="000000" w:themeColor="text1"/>
          <w:sz w:val="28"/>
          <w:szCs w:val="28"/>
          <w:lang w:val="en-US"/>
        </w:rPr>
        <w:t xml:space="preserve">pp. </w:t>
      </w:r>
      <w:r w:rsidRPr="0049357A">
        <w:rPr>
          <w:rFonts w:ascii="Times New Roman" w:hAnsi="Times New Roman" w:cs="Times New Roman"/>
          <w:color w:val="000000" w:themeColor="text1"/>
          <w:sz w:val="28"/>
          <w:szCs w:val="28"/>
          <w:lang w:val="en-US"/>
        </w:rPr>
        <w:t>143–156. https://doi.org/10.1016/j.techfore.2013.08.022</w:t>
      </w:r>
    </w:p>
    <w:p w14:paraId="368B0EC0"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Carayannis</w:t>
      </w:r>
      <w:proofErr w:type="spellEnd"/>
      <w:r w:rsidRPr="0049357A">
        <w:rPr>
          <w:rFonts w:ascii="Times New Roman" w:hAnsi="Times New Roman" w:cs="Times New Roman"/>
          <w:color w:val="000000" w:themeColor="text1"/>
          <w:sz w:val="28"/>
          <w:szCs w:val="28"/>
          <w:lang w:val="en-US"/>
        </w:rPr>
        <w:t xml:space="preserve">, E. G., &amp; Campbell, D. F. J. (2010). Triple helix, quadruple helix and quintuple helix and how knowledge, innovation and the environment relate to each other. International Journal of Social Ecology and Sustainable Development, 1(1), 41–69. </w:t>
      </w:r>
      <w:hyperlink r:id="rId113" w:history="1">
        <w:r w:rsidRPr="0049357A">
          <w:rPr>
            <w:rFonts w:ascii="Times New Roman" w:hAnsi="Times New Roman" w:cs="Times New Roman"/>
            <w:color w:val="000000" w:themeColor="text1"/>
            <w:sz w:val="28"/>
            <w:szCs w:val="28"/>
            <w:lang w:val="en-US"/>
          </w:rPr>
          <w:t>https://doi.org/10.4018/jsesd.2010010105</w:t>
        </w:r>
      </w:hyperlink>
    </w:p>
    <w:p w14:paraId="0FC1AF60"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Ajzen, I. (1991). The theory of planned behavior. Organizational Behavior and Human Decision Processes, 50(2), 179–211. https://doi.org/10.1016/0749-5978(91)90020-T(был 158) </w:t>
      </w:r>
    </w:p>
    <w:p w14:paraId="14719E44"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Chen, C. C., Greene, P. G., &amp; Crick, A. (1998). Does entrepreneurial self-efficacy distinguish entrepreneurs from managers? Journal of Business Venturing, 13(4), 295–316. https://doi.org/10.1016/S0883-9026(97)00029-3</w:t>
      </w:r>
    </w:p>
    <w:p w14:paraId="65D14681"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Jakopec</w:t>
      </w:r>
      <w:proofErr w:type="spellEnd"/>
      <w:r w:rsidRPr="0049357A">
        <w:rPr>
          <w:rFonts w:ascii="Times New Roman" w:hAnsi="Times New Roman" w:cs="Times New Roman"/>
          <w:color w:val="000000" w:themeColor="text1"/>
          <w:sz w:val="28"/>
          <w:szCs w:val="28"/>
          <w:lang w:val="en-US"/>
        </w:rPr>
        <w:t xml:space="preserve">, A., </w:t>
      </w:r>
      <w:proofErr w:type="spellStart"/>
      <w:r w:rsidRPr="0049357A">
        <w:rPr>
          <w:rFonts w:ascii="Times New Roman" w:hAnsi="Times New Roman" w:cs="Times New Roman"/>
          <w:color w:val="000000" w:themeColor="text1"/>
          <w:sz w:val="28"/>
          <w:szCs w:val="28"/>
          <w:lang w:val="en-US"/>
        </w:rPr>
        <w:t>Miljković</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Krečar</w:t>
      </w:r>
      <w:proofErr w:type="spellEnd"/>
      <w:r w:rsidRPr="0049357A">
        <w:rPr>
          <w:rFonts w:ascii="Times New Roman" w:hAnsi="Times New Roman" w:cs="Times New Roman"/>
          <w:color w:val="000000" w:themeColor="text1"/>
          <w:sz w:val="28"/>
          <w:szCs w:val="28"/>
          <w:lang w:val="en-US"/>
        </w:rPr>
        <w:t xml:space="preserve">, I., &amp; </w:t>
      </w:r>
      <w:proofErr w:type="spellStart"/>
      <w:r w:rsidRPr="0049357A">
        <w:rPr>
          <w:rFonts w:ascii="Times New Roman" w:hAnsi="Times New Roman" w:cs="Times New Roman"/>
          <w:color w:val="000000" w:themeColor="text1"/>
          <w:sz w:val="28"/>
          <w:szCs w:val="28"/>
          <w:lang w:val="en-US"/>
        </w:rPr>
        <w:t>Šućanj</w:t>
      </w:r>
      <w:proofErr w:type="spellEnd"/>
      <w:r w:rsidRPr="0049357A">
        <w:rPr>
          <w:rFonts w:ascii="Times New Roman" w:hAnsi="Times New Roman" w:cs="Times New Roman"/>
          <w:color w:val="000000" w:themeColor="text1"/>
          <w:sz w:val="28"/>
          <w:szCs w:val="28"/>
          <w:lang w:val="en-US"/>
        </w:rPr>
        <w:t xml:space="preserve">, Z. (2013). Predictors of entrepreneurial intentions of students of economics. Studia </w:t>
      </w:r>
      <w:proofErr w:type="spellStart"/>
      <w:r w:rsidRPr="0049357A">
        <w:rPr>
          <w:rFonts w:ascii="Times New Roman" w:hAnsi="Times New Roman" w:cs="Times New Roman"/>
          <w:color w:val="000000" w:themeColor="text1"/>
          <w:sz w:val="28"/>
          <w:szCs w:val="28"/>
          <w:lang w:val="en-US"/>
        </w:rPr>
        <w:t>Psychologica</w:t>
      </w:r>
      <w:proofErr w:type="spellEnd"/>
      <w:r w:rsidRPr="0049357A">
        <w:rPr>
          <w:rFonts w:ascii="Times New Roman" w:hAnsi="Times New Roman" w:cs="Times New Roman"/>
          <w:color w:val="000000" w:themeColor="text1"/>
          <w:sz w:val="28"/>
          <w:szCs w:val="28"/>
          <w:lang w:val="en-US"/>
        </w:rPr>
        <w:t>, 55(4), 289–304. https://doi.org/10.21909/sp.2013.04.643</w:t>
      </w:r>
    </w:p>
    <w:p w14:paraId="288ABEB9"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Dinis</w:t>
      </w:r>
      <w:proofErr w:type="spellEnd"/>
      <w:r w:rsidRPr="0049357A">
        <w:rPr>
          <w:rFonts w:ascii="Times New Roman" w:hAnsi="Times New Roman" w:cs="Times New Roman"/>
          <w:color w:val="000000" w:themeColor="text1"/>
          <w:sz w:val="28"/>
          <w:szCs w:val="28"/>
          <w:lang w:val="en-US"/>
        </w:rPr>
        <w:t xml:space="preserve">, A., do </w:t>
      </w:r>
      <w:proofErr w:type="spellStart"/>
      <w:r w:rsidRPr="0049357A">
        <w:rPr>
          <w:rFonts w:ascii="Times New Roman" w:hAnsi="Times New Roman" w:cs="Times New Roman"/>
          <w:color w:val="000000" w:themeColor="text1"/>
          <w:sz w:val="28"/>
          <w:szCs w:val="28"/>
          <w:lang w:val="en-US"/>
        </w:rPr>
        <w:t>Paço</w:t>
      </w:r>
      <w:proofErr w:type="spellEnd"/>
      <w:r w:rsidRPr="0049357A">
        <w:rPr>
          <w:rFonts w:ascii="Times New Roman" w:hAnsi="Times New Roman" w:cs="Times New Roman"/>
          <w:color w:val="000000" w:themeColor="text1"/>
          <w:sz w:val="28"/>
          <w:szCs w:val="28"/>
          <w:lang w:val="en-US"/>
        </w:rPr>
        <w:t xml:space="preserve">, A., Ferreira, J., </w:t>
      </w:r>
      <w:proofErr w:type="spellStart"/>
      <w:r w:rsidRPr="0049357A">
        <w:rPr>
          <w:rFonts w:ascii="Times New Roman" w:hAnsi="Times New Roman" w:cs="Times New Roman"/>
          <w:color w:val="000000" w:themeColor="text1"/>
          <w:sz w:val="28"/>
          <w:szCs w:val="28"/>
          <w:lang w:val="en-US"/>
        </w:rPr>
        <w:t>Raposo</w:t>
      </w:r>
      <w:proofErr w:type="spellEnd"/>
      <w:r w:rsidRPr="0049357A">
        <w:rPr>
          <w:rFonts w:ascii="Times New Roman" w:hAnsi="Times New Roman" w:cs="Times New Roman"/>
          <w:color w:val="000000" w:themeColor="text1"/>
          <w:sz w:val="28"/>
          <w:szCs w:val="28"/>
          <w:lang w:val="en-US"/>
        </w:rPr>
        <w:t>, M., &amp; Rodrigues, R. G. (2013). Psychological characteristics and entrepreneurial intentions among secondary students. Education + Training, 55(8/9), 763–780. https://doi.org/10.1108/ET-06-2013-0085</w:t>
      </w:r>
    </w:p>
    <w:p w14:paraId="6DC37C59"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Mustafa, M. J., Hernández, E., Mahon, C., &amp; Chee, L. K. (2016). Entrepreneurial intentions among university students: The impact of concept development support and proactive personality. Journal of Entrepreneurship in Emerging Economies, 8(2), 162–179. https://doi.org/10.1108/JEEE-10-2015-0058</w:t>
      </w:r>
    </w:p>
    <w:p w14:paraId="7F86448F"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Israr, M., &amp; Saleem, M. (2018). Entrepreneurial intentions among university students in Italy. Journal of Global Entrepreneurship Research, 8(1), 1–14. https://doi.org/10.1186/s40497-018-0091-4</w:t>
      </w:r>
    </w:p>
    <w:p w14:paraId="5D01273F"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Schmitz, A., </w:t>
      </w:r>
      <w:proofErr w:type="spellStart"/>
      <w:r w:rsidRPr="0049357A">
        <w:rPr>
          <w:rFonts w:ascii="Times New Roman" w:hAnsi="Times New Roman" w:cs="Times New Roman"/>
          <w:color w:val="000000" w:themeColor="text1"/>
          <w:sz w:val="28"/>
          <w:szCs w:val="28"/>
          <w:lang w:val="en-US"/>
        </w:rPr>
        <w:t>Urbano</w:t>
      </w:r>
      <w:proofErr w:type="spellEnd"/>
      <w:r w:rsidRPr="0049357A">
        <w:rPr>
          <w:rFonts w:ascii="Times New Roman" w:hAnsi="Times New Roman" w:cs="Times New Roman"/>
          <w:color w:val="000000" w:themeColor="text1"/>
          <w:sz w:val="28"/>
          <w:szCs w:val="28"/>
          <w:lang w:val="en-US"/>
        </w:rPr>
        <w:t xml:space="preserve">, D., </w:t>
      </w:r>
      <w:proofErr w:type="spellStart"/>
      <w:r w:rsidRPr="0049357A">
        <w:rPr>
          <w:rFonts w:ascii="Times New Roman" w:hAnsi="Times New Roman" w:cs="Times New Roman"/>
          <w:color w:val="000000" w:themeColor="text1"/>
          <w:sz w:val="28"/>
          <w:szCs w:val="28"/>
          <w:lang w:val="en-US"/>
        </w:rPr>
        <w:t>Dandolini</w:t>
      </w:r>
      <w:proofErr w:type="spellEnd"/>
      <w:r w:rsidRPr="0049357A">
        <w:rPr>
          <w:rFonts w:ascii="Times New Roman" w:hAnsi="Times New Roman" w:cs="Times New Roman"/>
          <w:color w:val="000000" w:themeColor="text1"/>
          <w:sz w:val="28"/>
          <w:szCs w:val="28"/>
          <w:lang w:val="en-US"/>
        </w:rPr>
        <w:t xml:space="preserve">, G. A., de Souza, J. A., &amp; Guerrero, M. (2016). Innovation and entrepreneurship in the academic setting: A systematic </w:t>
      </w:r>
      <w:r w:rsidRPr="0049357A">
        <w:rPr>
          <w:rFonts w:ascii="Times New Roman" w:hAnsi="Times New Roman" w:cs="Times New Roman"/>
          <w:color w:val="000000" w:themeColor="text1"/>
          <w:sz w:val="28"/>
          <w:szCs w:val="28"/>
          <w:lang w:val="en-US"/>
        </w:rPr>
        <w:lastRenderedPageBreak/>
        <w:t>literature review. International Entrepreneurship and Management Journal, 13(2), 369–395. https://doi.org/10.1007/s11365-016-0401-z</w:t>
      </w:r>
    </w:p>
    <w:p w14:paraId="104B7B20"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Tehseen</w:t>
      </w:r>
      <w:proofErr w:type="spellEnd"/>
      <w:r w:rsidRPr="0049357A">
        <w:rPr>
          <w:rFonts w:ascii="Times New Roman" w:hAnsi="Times New Roman" w:cs="Times New Roman"/>
          <w:color w:val="000000" w:themeColor="text1"/>
          <w:sz w:val="28"/>
          <w:szCs w:val="28"/>
          <w:lang w:val="en-US"/>
        </w:rPr>
        <w:t>, S., &amp; Arslan, A. (2021). Entrepreneurial intentions among university students in Malaysia: Integrating self-efficacy, optimism, and passion for entrepreneurship into the theory of planned behavior. Journal of Education for Business, 96(6), 359–371. https://doi.org/10.1080/08832323.2020.1832436</w:t>
      </w:r>
    </w:p>
    <w:p w14:paraId="3ABF28EE"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Popescu, G. H., </w:t>
      </w:r>
      <w:proofErr w:type="spellStart"/>
      <w:r w:rsidRPr="0049357A">
        <w:rPr>
          <w:rFonts w:ascii="Times New Roman" w:hAnsi="Times New Roman" w:cs="Times New Roman"/>
          <w:color w:val="000000" w:themeColor="text1"/>
          <w:sz w:val="28"/>
          <w:szCs w:val="28"/>
          <w:lang w:val="en-US"/>
        </w:rPr>
        <w:t>Bostan</w:t>
      </w:r>
      <w:proofErr w:type="spellEnd"/>
      <w:r w:rsidRPr="0049357A">
        <w:rPr>
          <w:rFonts w:ascii="Times New Roman" w:hAnsi="Times New Roman" w:cs="Times New Roman"/>
          <w:color w:val="000000" w:themeColor="text1"/>
          <w:sz w:val="28"/>
          <w:szCs w:val="28"/>
          <w:lang w:val="en-US"/>
        </w:rPr>
        <w:t xml:space="preserve">, I., </w:t>
      </w:r>
      <w:proofErr w:type="spellStart"/>
      <w:r w:rsidRPr="0049357A">
        <w:rPr>
          <w:rFonts w:ascii="Times New Roman" w:hAnsi="Times New Roman" w:cs="Times New Roman"/>
          <w:color w:val="000000" w:themeColor="text1"/>
          <w:sz w:val="28"/>
          <w:szCs w:val="28"/>
          <w:lang w:val="en-US"/>
        </w:rPr>
        <w:t>Robu</w:t>
      </w:r>
      <w:proofErr w:type="spellEnd"/>
      <w:r w:rsidRPr="0049357A">
        <w:rPr>
          <w:rFonts w:ascii="Times New Roman" w:hAnsi="Times New Roman" w:cs="Times New Roman"/>
          <w:color w:val="000000" w:themeColor="text1"/>
          <w:sz w:val="28"/>
          <w:szCs w:val="28"/>
          <w:lang w:val="en-US"/>
        </w:rPr>
        <w:t>, I. B., &amp; Maxim, A. (2016). An analysis of the determinants of entrepreneurial intentions among students in Romania. Sustainability, 8(8), 771. https://doi.org/10.3390/su8080771</w:t>
      </w:r>
    </w:p>
    <w:p w14:paraId="5292160A" w14:textId="5CEBE0B5"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Samo</w:t>
      </w:r>
      <w:proofErr w:type="spellEnd"/>
      <w:r w:rsidRPr="0049357A">
        <w:rPr>
          <w:rFonts w:ascii="Times New Roman" w:hAnsi="Times New Roman" w:cs="Times New Roman"/>
          <w:color w:val="000000" w:themeColor="text1"/>
          <w:sz w:val="28"/>
          <w:szCs w:val="28"/>
          <w:lang w:val="en-US"/>
        </w:rPr>
        <w:t xml:space="preserve">, A. H., </w:t>
      </w:r>
      <w:proofErr w:type="spellStart"/>
      <w:r w:rsidRPr="0049357A">
        <w:rPr>
          <w:rFonts w:ascii="Times New Roman" w:hAnsi="Times New Roman" w:cs="Times New Roman"/>
          <w:color w:val="000000" w:themeColor="text1"/>
          <w:sz w:val="28"/>
          <w:szCs w:val="28"/>
          <w:lang w:val="en-US"/>
        </w:rPr>
        <w:t>Talreja</w:t>
      </w:r>
      <w:proofErr w:type="spellEnd"/>
      <w:r w:rsidRPr="0049357A">
        <w:rPr>
          <w:rFonts w:ascii="Times New Roman" w:hAnsi="Times New Roman" w:cs="Times New Roman"/>
          <w:color w:val="000000" w:themeColor="text1"/>
          <w:sz w:val="28"/>
          <w:szCs w:val="28"/>
          <w:lang w:val="en-US"/>
        </w:rPr>
        <w:t xml:space="preserve">, S., Bhutto, M. Y., &amp; Memon, A. (2019). Entrepreneurial intention among business students: An investigation of the mediating role of self-efficacy. Journal of Global Entrepreneurship Research, 9(1), </w:t>
      </w:r>
      <w:r w:rsidR="005B7DD7">
        <w:rPr>
          <w:rFonts w:ascii="Times New Roman" w:hAnsi="Times New Roman" w:cs="Times New Roman"/>
          <w:color w:val="000000" w:themeColor="text1"/>
          <w:sz w:val="28"/>
          <w:szCs w:val="28"/>
          <w:lang w:val="en-US"/>
        </w:rPr>
        <w:t xml:space="preserve">pp. </w:t>
      </w:r>
      <w:r w:rsidRPr="0049357A">
        <w:rPr>
          <w:rFonts w:ascii="Times New Roman" w:hAnsi="Times New Roman" w:cs="Times New Roman"/>
          <w:color w:val="000000" w:themeColor="text1"/>
          <w:sz w:val="28"/>
          <w:szCs w:val="28"/>
          <w:lang w:val="en-US"/>
        </w:rPr>
        <w:t>1–15. https://doi.org/10.1186/s40497-019-0175-y</w:t>
      </w:r>
    </w:p>
    <w:p w14:paraId="496466D5" w14:textId="2A145716"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Cohen, W. M., &amp; Levinthal, D. A. (1990). Absorptive Capacity: A New Perspective on Learning and Innovation. Administrative Science Quarterly, 35(1), </w:t>
      </w:r>
      <w:r w:rsidR="005B7DD7">
        <w:rPr>
          <w:rFonts w:ascii="Times New Roman" w:hAnsi="Times New Roman" w:cs="Times New Roman"/>
          <w:color w:val="000000" w:themeColor="text1"/>
          <w:sz w:val="28"/>
          <w:szCs w:val="28"/>
          <w:lang w:val="en-US"/>
        </w:rPr>
        <w:t xml:space="preserve">pp. </w:t>
      </w:r>
      <w:r w:rsidRPr="0049357A">
        <w:rPr>
          <w:rFonts w:ascii="Times New Roman" w:hAnsi="Times New Roman" w:cs="Times New Roman"/>
          <w:color w:val="000000" w:themeColor="text1"/>
          <w:sz w:val="28"/>
          <w:szCs w:val="28"/>
          <w:lang w:val="en-US"/>
        </w:rPr>
        <w:t xml:space="preserve">128–152. </w:t>
      </w:r>
      <w:hyperlink r:id="rId114" w:history="1">
        <w:r w:rsidRPr="0049357A">
          <w:rPr>
            <w:rFonts w:ascii="Times New Roman" w:hAnsi="Times New Roman" w:cs="Times New Roman"/>
            <w:color w:val="000000" w:themeColor="text1"/>
            <w:sz w:val="28"/>
            <w:szCs w:val="28"/>
            <w:lang w:val="en-US"/>
          </w:rPr>
          <w:t>https://doi.org/10.2307/2393553</w:t>
        </w:r>
      </w:hyperlink>
    </w:p>
    <w:p w14:paraId="2BC9D41E" w14:textId="77777777" w:rsidR="00F14E91" w:rsidRPr="0049357A" w:rsidRDefault="002C6007" w:rsidP="00015249">
      <w:pPr>
        <w:pStyle w:val="af"/>
        <w:numPr>
          <w:ilvl w:val="0"/>
          <w:numId w:val="34"/>
        </w:numPr>
        <w:ind w:left="0" w:firstLine="709"/>
        <w:jc w:val="both"/>
        <w:rPr>
          <w:rFonts w:ascii="Times New Roman" w:hAnsi="Times New Roman" w:cs="Times New Roman"/>
          <w:color w:val="000000" w:themeColor="text1"/>
          <w:sz w:val="28"/>
          <w:szCs w:val="28"/>
          <w:lang w:val="en-US"/>
        </w:rPr>
      </w:pPr>
      <w:hyperlink r:id="rId115" w:tooltip="Juan David Reyes-Gómez" w:history="1">
        <w:r w:rsidR="00F14E91" w:rsidRPr="0049357A">
          <w:rPr>
            <w:rFonts w:ascii="Times New Roman" w:hAnsi="Times New Roman" w:cs="Times New Roman"/>
            <w:color w:val="000000" w:themeColor="text1"/>
            <w:sz w:val="28"/>
            <w:szCs w:val="28"/>
            <w:lang w:val="en-US"/>
          </w:rPr>
          <w:t>Reyes-Gómez, J.D.</w:t>
        </w:r>
      </w:hyperlink>
      <w:r w:rsidR="00F14E91" w:rsidRPr="0049357A">
        <w:rPr>
          <w:rFonts w:ascii="Times New Roman" w:hAnsi="Times New Roman" w:cs="Times New Roman"/>
          <w:color w:val="000000" w:themeColor="text1"/>
          <w:sz w:val="28"/>
          <w:szCs w:val="28"/>
          <w:lang w:val="en-US"/>
        </w:rPr>
        <w:t>, </w:t>
      </w:r>
      <w:hyperlink r:id="rId116" w:tooltip="Pilar López" w:history="1">
        <w:r w:rsidR="00F14E91" w:rsidRPr="0049357A">
          <w:rPr>
            <w:rFonts w:ascii="Times New Roman" w:hAnsi="Times New Roman" w:cs="Times New Roman"/>
            <w:color w:val="000000" w:themeColor="text1"/>
            <w:sz w:val="28"/>
            <w:szCs w:val="28"/>
            <w:lang w:val="en-US"/>
          </w:rPr>
          <w:t>López, P.</w:t>
        </w:r>
      </w:hyperlink>
      <w:r w:rsidR="00F14E91" w:rsidRPr="0049357A">
        <w:rPr>
          <w:rFonts w:ascii="Times New Roman" w:hAnsi="Times New Roman" w:cs="Times New Roman"/>
          <w:color w:val="000000" w:themeColor="text1"/>
          <w:sz w:val="28"/>
          <w:szCs w:val="28"/>
          <w:lang w:val="en-US"/>
        </w:rPr>
        <w:t> and </w:t>
      </w:r>
      <w:hyperlink r:id="rId117" w:tooltip="Josep Rialp" w:history="1">
        <w:r w:rsidR="00F14E91" w:rsidRPr="0049357A">
          <w:rPr>
            <w:rFonts w:ascii="Times New Roman" w:hAnsi="Times New Roman" w:cs="Times New Roman"/>
            <w:color w:val="000000" w:themeColor="text1"/>
            <w:sz w:val="28"/>
            <w:szCs w:val="28"/>
            <w:lang w:val="en-US"/>
          </w:rPr>
          <w:t>Rialp, J.</w:t>
        </w:r>
      </w:hyperlink>
      <w:r w:rsidR="00F14E91" w:rsidRPr="0049357A">
        <w:rPr>
          <w:rFonts w:ascii="Times New Roman" w:hAnsi="Times New Roman" w:cs="Times New Roman"/>
          <w:color w:val="000000" w:themeColor="text1"/>
          <w:sz w:val="28"/>
          <w:szCs w:val="28"/>
          <w:lang w:val="en-US"/>
        </w:rPr>
        <w:t> (2025), "The relationship between strategic orientations and firm performance and the role of innovation: a meta-analytic assessment of theoretical models", </w:t>
      </w:r>
      <w:hyperlink r:id="rId118" w:history="1">
        <w:r w:rsidR="00F14E91" w:rsidRPr="0049357A">
          <w:rPr>
            <w:rFonts w:ascii="Times New Roman" w:hAnsi="Times New Roman" w:cs="Times New Roman"/>
            <w:color w:val="000000" w:themeColor="text1"/>
            <w:sz w:val="28"/>
            <w:szCs w:val="28"/>
            <w:lang w:val="en-US"/>
          </w:rPr>
          <w:t>International Journal of Entrepreneurial Behavior &amp; Research</w:t>
        </w:r>
      </w:hyperlink>
      <w:r w:rsidR="00F14E91" w:rsidRPr="0049357A">
        <w:rPr>
          <w:rFonts w:ascii="Times New Roman" w:hAnsi="Times New Roman" w:cs="Times New Roman"/>
          <w:color w:val="000000" w:themeColor="text1"/>
          <w:sz w:val="28"/>
          <w:szCs w:val="28"/>
          <w:lang w:val="en-US"/>
        </w:rPr>
        <w:t>, Vol. 31 No. 2/3, pp. 810-845. </w:t>
      </w:r>
      <w:hyperlink r:id="rId119" w:tooltip="DOI: https://doi.org/10.1108/IJEBR-02-2022-0200" w:history="1">
        <w:r w:rsidR="00F14E91" w:rsidRPr="0049357A">
          <w:rPr>
            <w:rFonts w:ascii="Times New Roman" w:hAnsi="Times New Roman" w:cs="Times New Roman"/>
            <w:color w:val="000000" w:themeColor="text1"/>
            <w:sz w:val="28"/>
            <w:szCs w:val="28"/>
            <w:lang w:val="en-US"/>
          </w:rPr>
          <w:t>https://doi.org/10.1108/IJEBR-02-2022-0200</w:t>
        </w:r>
      </w:hyperlink>
    </w:p>
    <w:p w14:paraId="78DB5B76" w14:textId="652F3EE1"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Caro-Gonzalez, A., &amp; Ferreira-Lopes, L. (2020). Universities in transition: The 6i model for strategic governance and management. Economic and Social Changes: Facts, Trends, Forecast, 13(1),</w:t>
      </w:r>
      <w:r w:rsidR="00EF4C8A">
        <w:rPr>
          <w:rFonts w:ascii="Times New Roman" w:hAnsi="Times New Roman" w:cs="Times New Roman"/>
          <w:color w:val="000000" w:themeColor="text1"/>
          <w:sz w:val="28"/>
          <w:szCs w:val="28"/>
          <w:lang w:val="en-US"/>
        </w:rPr>
        <w:t xml:space="preserve"> pp. </w:t>
      </w:r>
      <w:r w:rsidRPr="0049357A">
        <w:rPr>
          <w:rFonts w:ascii="Times New Roman" w:hAnsi="Times New Roman" w:cs="Times New Roman"/>
          <w:color w:val="000000" w:themeColor="text1"/>
          <w:sz w:val="28"/>
          <w:szCs w:val="28"/>
          <w:lang w:val="en-US"/>
        </w:rPr>
        <w:t xml:space="preserve">217–230. </w:t>
      </w:r>
      <w:hyperlink r:id="rId120" w:history="1">
        <w:r w:rsidRPr="0049357A">
          <w:rPr>
            <w:rFonts w:ascii="Times New Roman" w:hAnsi="Times New Roman" w:cs="Times New Roman"/>
            <w:color w:val="000000" w:themeColor="text1"/>
            <w:sz w:val="28"/>
            <w:szCs w:val="28"/>
            <w:lang w:val="en-US"/>
          </w:rPr>
          <w:t>https://doi.org/10.15838/esc.2020.1.67.13</w:t>
        </w:r>
      </w:hyperlink>
    </w:p>
    <w:p w14:paraId="1250B289" w14:textId="24FD99B2"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Strielkowski</w:t>
      </w:r>
      <w:proofErr w:type="spellEnd"/>
      <w:r w:rsidRPr="0049357A">
        <w:rPr>
          <w:rFonts w:ascii="Times New Roman" w:hAnsi="Times New Roman" w:cs="Times New Roman"/>
          <w:color w:val="000000" w:themeColor="text1"/>
          <w:sz w:val="28"/>
          <w:szCs w:val="28"/>
          <w:lang w:val="en-US"/>
        </w:rPr>
        <w:t xml:space="preserve">, W., </w:t>
      </w:r>
      <w:proofErr w:type="spellStart"/>
      <w:r w:rsidRPr="0049357A">
        <w:rPr>
          <w:rFonts w:ascii="Times New Roman" w:hAnsi="Times New Roman" w:cs="Times New Roman"/>
          <w:color w:val="000000" w:themeColor="text1"/>
          <w:sz w:val="28"/>
          <w:szCs w:val="28"/>
          <w:lang w:val="en-US"/>
        </w:rPr>
        <w:t>Korneeva</w:t>
      </w:r>
      <w:proofErr w:type="spellEnd"/>
      <w:r w:rsidRPr="0049357A">
        <w:rPr>
          <w:rFonts w:ascii="Times New Roman" w:hAnsi="Times New Roman" w:cs="Times New Roman"/>
          <w:color w:val="000000" w:themeColor="text1"/>
          <w:sz w:val="28"/>
          <w:szCs w:val="28"/>
          <w:lang w:val="en-US"/>
        </w:rPr>
        <w:t xml:space="preserve">, E. N., </w:t>
      </w:r>
      <w:proofErr w:type="spellStart"/>
      <w:r w:rsidRPr="0049357A">
        <w:rPr>
          <w:rFonts w:ascii="Times New Roman" w:hAnsi="Times New Roman" w:cs="Times New Roman"/>
          <w:color w:val="000000" w:themeColor="text1"/>
          <w:sz w:val="28"/>
          <w:szCs w:val="28"/>
          <w:lang w:val="en-US"/>
        </w:rPr>
        <w:t>Sherstobitova</w:t>
      </w:r>
      <w:proofErr w:type="spellEnd"/>
      <w:r w:rsidRPr="0049357A">
        <w:rPr>
          <w:rFonts w:ascii="Times New Roman" w:hAnsi="Times New Roman" w:cs="Times New Roman"/>
          <w:color w:val="000000" w:themeColor="text1"/>
          <w:sz w:val="28"/>
          <w:szCs w:val="28"/>
          <w:lang w:val="en-US"/>
        </w:rPr>
        <w:t xml:space="preserve">, A. A., &amp; </w:t>
      </w:r>
      <w:proofErr w:type="spellStart"/>
      <w:r w:rsidRPr="0049357A">
        <w:rPr>
          <w:rFonts w:ascii="Times New Roman" w:hAnsi="Times New Roman" w:cs="Times New Roman"/>
          <w:color w:val="000000" w:themeColor="text1"/>
          <w:sz w:val="28"/>
          <w:szCs w:val="28"/>
          <w:lang w:val="en-US"/>
        </w:rPr>
        <w:t>Platitzyn</w:t>
      </w:r>
      <w:proofErr w:type="spellEnd"/>
      <w:r w:rsidRPr="0049357A">
        <w:rPr>
          <w:rFonts w:ascii="Times New Roman" w:hAnsi="Times New Roman" w:cs="Times New Roman"/>
          <w:color w:val="000000" w:themeColor="text1"/>
          <w:sz w:val="28"/>
          <w:szCs w:val="28"/>
          <w:lang w:val="en-US"/>
        </w:rPr>
        <w:t xml:space="preserve">, A. Y. (2022). Strategic university management in the context of digitalization: The experience of the world’s leading universities. Integration of Education, 26(3), </w:t>
      </w:r>
      <w:r w:rsidR="00EF4C8A">
        <w:rPr>
          <w:rFonts w:ascii="Times New Roman" w:hAnsi="Times New Roman" w:cs="Times New Roman"/>
          <w:color w:val="000000" w:themeColor="text1"/>
          <w:sz w:val="28"/>
          <w:szCs w:val="28"/>
          <w:lang w:val="en-US"/>
        </w:rPr>
        <w:t xml:space="preserve">pp. </w:t>
      </w:r>
      <w:r w:rsidRPr="0049357A">
        <w:rPr>
          <w:rFonts w:ascii="Times New Roman" w:hAnsi="Times New Roman" w:cs="Times New Roman"/>
          <w:color w:val="000000" w:themeColor="text1"/>
          <w:sz w:val="28"/>
          <w:szCs w:val="28"/>
          <w:lang w:val="en-US"/>
        </w:rPr>
        <w:t xml:space="preserve">402–417. </w:t>
      </w:r>
      <w:hyperlink r:id="rId121" w:tgtFrame="_new" w:history="1">
        <w:r w:rsidRPr="0049357A">
          <w:rPr>
            <w:rFonts w:ascii="Times New Roman" w:hAnsi="Times New Roman" w:cs="Times New Roman"/>
            <w:color w:val="000000" w:themeColor="text1"/>
            <w:sz w:val="28"/>
            <w:szCs w:val="28"/>
            <w:lang w:val="en-US"/>
          </w:rPr>
          <w:t>https://doi.org/10.15507/1991-9468.108.026.202203.402-417</w:t>
        </w:r>
      </w:hyperlink>
      <w:r w:rsidRPr="0049357A">
        <w:rPr>
          <w:rFonts w:ascii="Times New Roman" w:hAnsi="Times New Roman" w:cs="Times New Roman"/>
          <w:color w:val="000000" w:themeColor="text1"/>
          <w:sz w:val="28"/>
          <w:szCs w:val="28"/>
          <w:lang w:val="en-US"/>
        </w:rPr>
        <w:t xml:space="preserve"> </w:t>
      </w:r>
    </w:p>
    <w:p w14:paraId="3CDDDE34"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Perkmann</w:t>
      </w:r>
      <w:proofErr w:type="spellEnd"/>
      <w:r w:rsidRPr="0049357A">
        <w:rPr>
          <w:rFonts w:ascii="Times New Roman" w:hAnsi="Times New Roman" w:cs="Times New Roman"/>
          <w:color w:val="000000" w:themeColor="text1"/>
          <w:sz w:val="28"/>
          <w:szCs w:val="28"/>
          <w:lang w:val="en-US"/>
        </w:rPr>
        <w:t xml:space="preserve">, M. (2023). Dimensions of openness: Universities’ strategic choices for innovation. In H. Chesbrough, A. </w:t>
      </w:r>
      <w:proofErr w:type="spellStart"/>
      <w:r w:rsidRPr="0049357A">
        <w:rPr>
          <w:rFonts w:ascii="Times New Roman" w:hAnsi="Times New Roman" w:cs="Times New Roman"/>
          <w:color w:val="000000" w:themeColor="text1"/>
          <w:sz w:val="28"/>
          <w:szCs w:val="28"/>
          <w:lang w:val="en-US"/>
        </w:rPr>
        <w:t>Radziwon</w:t>
      </w:r>
      <w:proofErr w:type="spellEnd"/>
      <w:r w:rsidRPr="0049357A">
        <w:rPr>
          <w:rFonts w:ascii="Times New Roman" w:hAnsi="Times New Roman" w:cs="Times New Roman"/>
          <w:color w:val="000000" w:themeColor="text1"/>
          <w:sz w:val="28"/>
          <w:szCs w:val="28"/>
          <w:lang w:val="en-US"/>
        </w:rPr>
        <w:t xml:space="preserve">, W. </w:t>
      </w:r>
      <w:proofErr w:type="spellStart"/>
      <w:r w:rsidRPr="0049357A">
        <w:rPr>
          <w:rFonts w:ascii="Times New Roman" w:hAnsi="Times New Roman" w:cs="Times New Roman"/>
          <w:color w:val="000000" w:themeColor="text1"/>
          <w:sz w:val="28"/>
          <w:szCs w:val="28"/>
          <w:lang w:val="en-US"/>
        </w:rPr>
        <w:t>Vanhaverbeke</w:t>
      </w:r>
      <w:proofErr w:type="spellEnd"/>
      <w:r w:rsidRPr="0049357A">
        <w:rPr>
          <w:rFonts w:ascii="Times New Roman" w:hAnsi="Times New Roman" w:cs="Times New Roman"/>
          <w:color w:val="000000" w:themeColor="text1"/>
          <w:sz w:val="28"/>
          <w:szCs w:val="28"/>
          <w:lang w:val="en-US"/>
        </w:rPr>
        <w:t xml:space="preserve">, &amp; J. West (Eds.), The Oxford Handbook of Open Innovation (Chapter 26). Oxford University Press. </w:t>
      </w:r>
    </w:p>
    <w:p w14:paraId="26A23FB8" w14:textId="615C7F74"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Butcher, J., </w:t>
      </w:r>
      <w:proofErr w:type="spellStart"/>
      <w:r w:rsidRPr="0049357A">
        <w:rPr>
          <w:rFonts w:ascii="Times New Roman" w:hAnsi="Times New Roman" w:cs="Times New Roman"/>
          <w:color w:val="000000" w:themeColor="text1"/>
          <w:sz w:val="28"/>
          <w:szCs w:val="28"/>
          <w:lang w:val="en-US"/>
        </w:rPr>
        <w:t>Bezzina</w:t>
      </w:r>
      <w:proofErr w:type="spellEnd"/>
      <w:r w:rsidRPr="0049357A">
        <w:rPr>
          <w:rFonts w:ascii="Times New Roman" w:hAnsi="Times New Roman" w:cs="Times New Roman"/>
          <w:color w:val="000000" w:themeColor="text1"/>
          <w:sz w:val="28"/>
          <w:szCs w:val="28"/>
          <w:lang w:val="en-US"/>
        </w:rPr>
        <w:t>, M. &amp; Moran, W. Transformational Partnerships: A New Agenda for Higher Education. </w:t>
      </w:r>
      <w:proofErr w:type="spellStart"/>
      <w:r w:rsidRPr="0049357A">
        <w:rPr>
          <w:rFonts w:ascii="Times New Roman" w:hAnsi="Times New Roman" w:cs="Times New Roman"/>
          <w:color w:val="000000" w:themeColor="text1"/>
          <w:sz w:val="28"/>
          <w:szCs w:val="28"/>
          <w:lang w:val="en-US"/>
        </w:rPr>
        <w:t>Innov</w:t>
      </w:r>
      <w:proofErr w:type="spellEnd"/>
      <w:r w:rsidRPr="0049357A">
        <w:rPr>
          <w:rFonts w:ascii="Times New Roman" w:hAnsi="Times New Roman" w:cs="Times New Roman"/>
          <w:color w:val="000000" w:themeColor="text1"/>
          <w:sz w:val="28"/>
          <w:szCs w:val="28"/>
          <w:lang w:val="en-US"/>
        </w:rPr>
        <w:t xml:space="preserve"> High Educ 36,</w:t>
      </w:r>
      <w:r w:rsidR="00EF4C8A">
        <w:rPr>
          <w:rFonts w:ascii="Times New Roman" w:hAnsi="Times New Roman" w:cs="Times New Roman"/>
          <w:color w:val="000000" w:themeColor="text1"/>
          <w:sz w:val="28"/>
          <w:szCs w:val="28"/>
          <w:lang w:val="kk-KZ"/>
        </w:rPr>
        <w:t xml:space="preserve"> </w:t>
      </w:r>
      <w:r w:rsidR="00EF4C8A">
        <w:rPr>
          <w:rFonts w:ascii="Times New Roman" w:hAnsi="Times New Roman" w:cs="Times New Roman"/>
          <w:color w:val="000000" w:themeColor="text1"/>
          <w:sz w:val="28"/>
          <w:szCs w:val="28"/>
          <w:lang w:val="en-US"/>
        </w:rPr>
        <w:t xml:space="preserve">pp. </w:t>
      </w:r>
      <w:r w:rsidRPr="0049357A">
        <w:rPr>
          <w:rFonts w:ascii="Times New Roman" w:hAnsi="Times New Roman" w:cs="Times New Roman"/>
          <w:color w:val="000000" w:themeColor="text1"/>
          <w:sz w:val="28"/>
          <w:szCs w:val="28"/>
          <w:lang w:val="en-US"/>
        </w:rPr>
        <w:t xml:space="preserve">29–40 (2011). </w:t>
      </w:r>
      <w:hyperlink r:id="rId122" w:history="1">
        <w:r w:rsidRPr="0049357A">
          <w:rPr>
            <w:rFonts w:ascii="Times New Roman" w:hAnsi="Times New Roman" w:cs="Times New Roman"/>
            <w:color w:val="000000" w:themeColor="text1"/>
            <w:sz w:val="28"/>
            <w:szCs w:val="28"/>
            <w:lang w:val="en-US"/>
          </w:rPr>
          <w:t>https://doi.org/10.1007/s10755-010-9155-7</w:t>
        </w:r>
      </w:hyperlink>
      <w:r w:rsidRPr="0049357A">
        <w:rPr>
          <w:rFonts w:ascii="Times New Roman" w:hAnsi="Times New Roman" w:cs="Times New Roman"/>
          <w:color w:val="000000" w:themeColor="text1"/>
          <w:sz w:val="28"/>
          <w:szCs w:val="28"/>
          <w:lang w:val="en-US"/>
        </w:rPr>
        <w:t xml:space="preserve"> </w:t>
      </w:r>
    </w:p>
    <w:p w14:paraId="39732C9E" w14:textId="06B3B6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Sauphayana</w:t>
      </w:r>
      <w:proofErr w:type="spellEnd"/>
      <w:r w:rsidRPr="0049357A">
        <w:rPr>
          <w:rFonts w:ascii="Times New Roman" w:hAnsi="Times New Roman" w:cs="Times New Roman"/>
          <w:color w:val="000000" w:themeColor="text1"/>
          <w:sz w:val="28"/>
          <w:szCs w:val="28"/>
          <w:lang w:val="en-US"/>
        </w:rPr>
        <w:t>, S. (2021). Innovation in higher education management and leadership. Journal of Educational and Social Research, 11(6),</w:t>
      </w:r>
      <w:r w:rsidR="00EF4C8A">
        <w:rPr>
          <w:rFonts w:ascii="Times New Roman" w:hAnsi="Times New Roman" w:cs="Times New Roman"/>
          <w:color w:val="000000" w:themeColor="text1"/>
          <w:sz w:val="28"/>
          <w:szCs w:val="28"/>
          <w:lang w:val="en-US"/>
        </w:rPr>
        <w:t xml:space="preserve"> pp. </w:t>
      </w:r>
      <w:r w:rsidRPr="0049357A">
        <w:rPr>
          <w:rFonts w:ascii="Times New Roman" w:hAnsi="Times New Roman" w:cs="Times New Roman"/>
          <w:color w:val="000000" w:themeColor="text1"/>
          <w:sz w:val="28"/>
          <w:szCs w:val="28"/>
          <w:lang w:val="en-US"/>
        </w:rPr>
        <w:t xml:space="preserve">27–34. </w:t>
      </w:r>
      <w:hyperlink r:id="rId123" w:history="1">
        <w:r w:rsidRPr="0049357A">
          <w:rPr>
            <w:rFonts w:ascii="Times New Roman" w:hAnsi="Times New Roman" w:cs="Times New Roman"/>
            <w:color w:val="000000" w:themeColor="text1"/>
            <w:sz w:val="28"/>
            <w:szCs w:val="28"/>
            <w:lang w:val="en-US"/>
          </w:rPr>
          <w:t>https://doi.org/10.36941/jesr-2021-0137</w:t>
        </w:r>
      </w:hyperlink>
    </w:p>
    <w:p w14:paraId="12837AC6" w14:textId="77777777" w:rsidR="00F14E91" w:rsidRPr="0049357A" w:rsidRDefault="002C6007" w:rsidP="00015249">
      <w:pPr>
        <w:pStyle w:val="af"/>
        <w:numPr>
          <w:ilvl w:val="0"/>
          <w:numId w:val="34"/>
        </w:numPr>
        <w:ind w:left="0" w:firstLine="709"/>
        <w:jc w:val="both"/>
        <w:rPr>
          <w:rFonts w:ascii="Times New Roman" w:hAnsi="Times New Roman" w:cs="Times New Roman"/>
          <w:color w:val="000000" w:themeColor="text1"/>
          <w:sz w:val="28"/>
          <w:szCs w:val="28"/>
          <w:lang w:val="en-US"/>
        </w:rPr>
      </w:pPr>
      <w:hyperlink r:id="rId124" w:tooltip="Hei-hang Hayes Tang" w:history="1">
        <w:r w:rsidR="00F14E91" w:rsidRPr="0049357A">
          <w:rPr>
            <w:rFonts w:ascii="Times New Roman" w:hAnsi="Times New Roman" w:cs="Times New Roman"/>
            <w:color w:val="000000" w:themeColor="text1"/>
            <w:sz w:val="28"/>
            <w:szCs w:val="28"/>
            <w:lang w:val="en-US"/>
          </w:rPr>
          <w:t>Tang, H.-h.H.</w:t>
        </w:r>
      </w:hyperlink>
      <w:r w:rsidR="00F14E91" w:rsidRPr="0049357A">
        <w:rPr>
          <w:rFonts w:ascii="Times New Roman" w:hAnsi="Times New Roman" w:cs="Times New Roman"/>
          <w:color w:val="000000" w:themeColor="text1"/>
          <w:sz w:val="28"/>
          <w:szCs w:val="28"/>
          <w:lang w:val="en-US"/>
        </w:rPr>
        <w:t> (2022), "The strategic role of world-class universities in regional innovation system: China’s Greater Bay Area and Hong Kong’s academic profession", </w:t>
      </w:r>
      <w:hyperlink r:id="rId125" w:history="1">
        <w:r w:rsidR="00F14E91" w:rsidRPr="0049357A">
          <w:rPr>
            <w:rFonts w:ascii="Times New Roman" w:hAnsi="Times New Roman" w:cs="Times New Roman"/>
            <w:color w:val="000000" w:themeColor="text1"/>
            <w:sz w:val="28"/>
            <w:szCs w:val="28"/>
            <w:lang w:val="en-US"/>
          </w:rPr>
          <w:t>Asian Education and Development Studies</w:t>
        </w:r>
      </w:hyperlink>
      <w:r w:rsidR="00F14E91" w:rsidRPr="0049357A">
        <w:rPr>
          <w:rFonts w:ascii="Times New Roman" w:hAnsi="Times New Roman" w:cs="Times New Roman"/>
          <w:color w:val="000000" w:themeColor="text1"/>
          <w:sz w:val="28"/>
          <w:szCs w:val="28"/>
          <w:lang w:val="en-US"/>
        </w:rPr>
        <w:t>, Vol. 11 No. 1, pp. 7-22. </w:t>
      </w:r>
      <w:hyperlink r:id="rId126" w:tooltip="DOI: https://doi.org/10.1108/AEDS-10-2019-0163" w:history="1">
        <w:r w:rsidR="00F14E91" w:rsidRPr="0049357A">
          <w:rPr>
            <w:rFonts w:ascii="Times New Roman" w:hAnsi="Times New Roman" w:cs="Times New Roman"/>
            <w:color w:val="000000" w:themeColor="text1"/>
            <w:sz w:val="28"/>
            <w:szCs w:val="28"/>
            <w:lang w:val="en-US"/>
          </w:rPr>
          <w:t>https://doi.org/10.1108/AEDS-10-2019-0163</w:t>
        </w:r>
      </w:hyperlink>
    </w:p>
    <w:p w14:paraId="5909BB72" w14:textId="433504FF" w:rsidR="00F14E91" w:rsidRPr="0049357A" w:rsidRDefault="002C6007" w:rsidP="00015249">
      <w:pPr>
        <w:pStyle w:val="af"/>
        <w:numPr>
          <w:ilvl w:val="0"/>
          <w:numId w:val="34"/>
        </w:numPr>
        <w:ind w:left="0" w:firstLine="709"/>
        <w:jc w:val="both"/>
        <w:rPr>
          <w:rFonts w:ascii="Times New Roman" w:hAnsi="Times New Roman" w:cs="Times New Roman"/>
          <w:color w:val="000000" w:themeColor="text1"/>
          <w:sz w:val="28"/>
          <w:szCs w:val="28"/>
          <w:lang w:val="en-US"/>
        </w:rPr>
      </w:pPr>
      <w:hyperlink r:id="rId127" w:tooltip="Xu Wang" w:history="1">
        <w:r w:rsidR="00F14E91" w:rsidRPr="0049357A">
          <w:rPr>
            <w:rFonts w:ascii="Times New Roman" w:hAnsi="Times New Roman" w:cs="Times New Roman"/>
            <w:color w:val="000000" w:themeColor="text1"/>
            <w:sz w:val="28"/>
            <w:szCs w:val="28"/>
            <w:lang w:val="en-US"/>
          </w:rPr>
          <w:t>Wang, X.</w:t>
        </w:r>
      </w:hyperlink>
      <w:r w:rsidR="00F14E91" w:rsidRPr="0049357A">
        <w:rPr>
          <w:rFonts w:ascii="Times New Roman" w:hAnsi="Times New Roman" w:cs="Times New Roman"/>
          <w:color w:val="000000" w:themeColor="text1"/>
          <w:sz w:val="28"/>
          <w:szCs w:val="28"/>
          <w:lang w:val="en-US"/>
        </w:rPr>
        <w:t> (2024), "Research on the influencing factors and upgrading paths for innovation and entrepreneurship education in universities under the background of sustainable development goals: a QCA empirical study on new engineering of Chinese and foreign universities", </w:t>
      </w:r>
      <w:hyperlink r:id="rId128" w:history="1">
        <w:r w:rsidR="00F14E91" w:rsidRPr="0049357A">
          <w:rPr>
            <w:rFonts w:ascii="Times New Roman" w:hAnsi="Times New Roman" w:cs="Times New Roman"/>
            <w:color w:val="000000" w:themeColor="text1"/>
            <w:sz w:val="28"/>
            <w:szCs w:val="28"/>
            <w:lang w:val="en-US"/>
          </w:rPr>
          <w:t>International Journal of Sustainability in Higher Education</w:t>
        </w:r>
      </w:hyperlink>
      <w:r w:rsidR="00F14E91" w:rsidRPr="0049357A">
        <w:rPr>
          <w:rFonts w:ascii="Times New Roman" w:hAnsi="Times New Roman" w:cs="Times New Roman"/>
          <w:color w:val="000000" w:themeColor="text1"/>
          <w:sz w:val="28"/>
          <w:szCs w:val="28"/>
          <w:lang w:val="en-US"/>
        </w:rPr>
        <w:t>, Vol. 25 No. 7, pp. 1426-1452. </w:t>
      </w:r>
      <w:hyperlink r:id="rId129" w:tooltip="DOI: https://doi.org/10.1108/IJSHE-12-2023-0595" w:history="1">
        <w:r w:rsidR="00F14E91" w:rsidRPr="0049357A">
          <w:rPr>
            <w:rFonts w:ascii="Times New Roman" w:hAnsi="Times New Roman" w:cs="Times New Roman"/>
            <w:color w:val="000000" w:themeColor="text1"/>
            <w:sz w:val="28"/>
            <w:szCs w:val="28"/>
            <w:lang w:val="en-US"/>
          </w:rPr>
          <w:t>https://doi.org/10.1108/IJSHE-12-2023-0595</w:t>
        </w:r>
      </w:hyperlink>
      <w:r w:rsidR="00EF4C8A">
        <w:rPr>
          <w:rFonts w:ascii="Times New Roman" w:hAnsi="Times New Roman" w:cs="Times New Roman"/>
          <w:color w:val="000000" w:themeColor="text1"/>
          <w:sz w:val="28"/>
          <w:szCs w:val="28"/>
          <w:lang w:val="kk-KZ"/>
        </w:rPr>
        <w:t xml:space="preserve"> </w:t>
      </w:r>
    </w:p>
    <w:p w14:paraId="6568E31F"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Barney, J. (1991). Firm resources and sustained competitive advantage. Journal of Management, 17(1), 99–120. </w:t>
      </w:r>
      <w:hyperlink r:id="rId130" w:history="1">
        <w:r w:rsidRPr="0049357A">
          <w:rPr>
            <w:rFonts w:ascii="Times New Roman" w:hAnsi="Times New Roman" w:cs="Times New Roman"/>
            <w:color w:val="000000" w:themeColor="text1"/>
            <w:sz w:val="28"/>
            <w:szCs w:val="28"/>
            <w:lang w:val="en-US"/>
          </w:rPr>
          <w:t>https://doi.org/10.1177/014920639101700108</w:t>
        </w:r>
      </w:hyperlink>
    </w:p>
    <w:p w14:paraId="03DE0CE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Lopes, J., Farinha, L., Ferreira, J. J., &amp; Ferreira, F. A. (2018). Peeking beyond the wall: </w:t>
      </w:r>
      <w:proofErr w:type="spellStart"/>
      <w:r w:rsidRPr="0049357A">
        <w:rPr>
          <w:rFonts w:ascii="Times New Roman" w:hAnsi="Times New Roman" w:cs="Times New Roman"/>
          <w:color w:val="000000" w:themeColor="text1"/>
          <w:sz w:val="28"/>
          <w:szCs w:val="28"/>
          <w:lang w:val="en-US"/>
        </w:rPr>
        <w:t>Analysing</w:t>
      </w:r>
      <w:proofErr w:type="spellEnd"/>
      <w:r w:rsidRPr="0049357A">
        <w:rPr>
          <w:rFonts w:ascii="Times New Roman" w:hAnsi="Times New Roman" w:cs="Times New Roman"/>
          <w:color w:val="000000" w:themeColor="text1"/>
          <w:sz w:val="28"/>
          <w:szCs w:val="28"/>
          <w:lang w:val="en-US"/>
        </w:rPr>
        <w:t xml:space="preserve"> university technology transfer and commercialization processes. International Journal of Technology Management Vol. 78, No. 1-2, 2018. pp 107-132 </w:t>
      </w:r>
      <w:hyperlink r:id="rId131" w:history="1">
        <w:r w:rsidRPr="0049357A">
          <w:rPr>
            <w:rFonts w:ascii="Times New Roman" w:hAnsi="Times New Roman" w:cs="Times New Roman"/>
            <w:color w:val="000000" w:themeColor="text1"/>
            <w:sz w:val="28"/>
            <w:szCs w:val="28"/>
            <w:lang w:val="en-US"/>
          </w:rPr>
          <w:t>https://doi.org/10.1504/IJTM.2018.093936</w:t>
        </w:r>
      </w:hyperlink>
    </w:p>
    <w:p w14:paraId="78A0EDCD" w14:textId="009730BA"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Virginia Tech. (2020). Types of innovation. In Strategic Management. Virginia Tech Publishing. Retrieved from </w:t>
      </w:r>
      <w:hyperlink r:id="rId132" w:history="1">
        <w:r w:rsidRPr="0049357A">
          <w:rPr>
            <w:rFonts w:ascii="Times New Roman" w:hAnsi="Times New Roman" w:cs="Times New Roman"/>
            <w:color w:val="000000" w:themeColor="text1"/>
            <w:sz w:val="28"/>
            <w:szCs w:val="28"/>
            <w:lang w:val="en-US"/>
          </w:rPr>
          <w:t>https://pressbooks.lib.vt.edu/strategicmanagement/chapter/7-4-types-of-innovation/</w:t>
        </w:r>
      </w:hyperlink>
      <w:r w:rsidRPr="0049357A">
        <w:rPr>
          <w:rFonts w:ascii="Times New Roman" w:hAnsi="Times New Roman" w:cs="Times New Roman"/>
          <w:color w:val="000000" w:themeColor="text1"/>
          <w:sz w:val="28"/>
          <w:szCs w:val="28"/>
          <w:lang w:val="en-US"/>
        </w:rPr>
        <w:t>]</w:t>
      </w:r>
      <w:r w:rsidR="00EF4C8A">
        <w:rPr>
          <w:rFonts w:ascii="Times New Roman" w:hAnsi="Times New Roman" w:cs="Times New Roman"/>
          <w:color w:val="000000" w:themeColor="text1"/>
          <w:sz w:val="28"/>
          <w:szCs w:val="28"/>
          <w:lang w:val="en-US"/>
        </w:rPr>
        <w:t xml:space="preserve"> </w:t>
      </w:r>
    </w:p>
    <w:p w14:paraId="50CFB80C"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Nowotny</w:t>
      </w:r>
      <w:proofErr w:type="spellEnd"/>
      <w:r w:rsidRPr="0049357A">
        <w:rPr>
          <w:rFonts w:ascii="Times New Roman" w:hAnsi="Times New Roman" w:cs="Times New Roman"/>
          <w:color w:val="000000" w:themeColor="text1"/>
          <w:sz w:val="28"/>
          <w:szCs w:val="28"/>
          <w:lang w:val="en-US"/>
        </w:rPr>
        <w:t>, H., Scott, P., &amp; Gibbons, M. (2001). Re-thinking science: Knowledge and the public in an age of uncertainty. Cambridge: Polity Press.</w:t>
      </w:r>
    </w:p>
    <w:p w14:paraId="4BD497D3" w14:textId="48264E50"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Godin B. Innovation contested. The idea of innovation over the centuries. – New – York and London: Routledge. Taylor &amp; Francis., 2015. – </w:t>
      </w:r>
      <w:r w:rsidR="00EF4C8A">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7-354.</w:t>
      </w:r>
    </w:p>
    <w:p w14:paraId="35D14FF8" w14:textId="304E071C"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Fagerberg J., </w:t>
      </w:r>
      <w:proofErr w:type="spellStart"/>
      <w:r w:rsidRPr="0049357A">
        <w:rPr>
          <w:rFonts w:ascii="Times New Roman" w:hAnsi="Times New Roman" w:cs="Times New Roman"/>
          <w:color w:val="000000" w:themeColor="text1"/>
          <w:sz w:val="28"/>
          <w:szCs w:val="28"/>
          <w:lang w:val="en-US"/>
        </w:rPr>
        <w:t>Fosaas</w:t>
      </w:r>
      <w:proofErr w:type="spellEnd"/>
      <w:r w:rsidRPr="0049357A">
        <w:rPr>
          <w:rFonts w:ascii="Times New Roman" w:hAnsi="Times New Roman" w:cs="Times New Roman"/>
          <w:color w:val="000000" w:themeColor="text1"/>
          <w:sz w:val="28"/>
          <w:szCs w:val="28"/>
          <w:lang w:val="en-US"/>
        </w:rPr>
        <w:t xml:space="preserve"> M., Bell M., Ben R.M., Freeman C. Social science entrepreneur // Research Policy. – 2011. – Vol.40, №7. – </w:t>
      </w:r>
      <w:r w:rsidR="00EF4C8A">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897-916.</w:t>
      </w:r>
    </w:p>
    <w:p w14:paraId="39F5C086"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Śledzik</w:t>
      </w:r>
      <w:proofErr w:type="spellEnd"/>
      <w:r w:rsidRPr="0049357A">
        <w:rPr>
          <w:rFonts w:ascii="Times New Roman" w:hAnsi="Times New Roman" w:cs="Times New Roman"/>
          <w:color w:val="000000" w:themeColor="text1"/>
          <w:sz w:val="28"/>
          <w:szCs w:val="28"/>
          <w:lang w:val="en-US"/>
        </w:rPr>
        <w:t xml:space="preserve"> K. Schumpeter’s View on Innovation and Entrepreneurship// Management Trends in Theory and Practice. – 2013. </w:t>
      </w:r>
    </w:p>
    <w:p w14:paraId="23E7AFF2" w14:textId="7E9B9FA0"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Entrepreneurship.</w:t>
      </w:r>
      <w:r w:rsidR="00FA4396">
        <w:rPr>
          <w:rFonts w:ascii="Times New Roman" w:hAnsi="Times New Roman" w:cs="Times New Roman"/>
          <w:color w:val="000000" w:themeColor="text1"/>
          <w:sz w:val="28"/>
          <w:szCs w:val="28"/>
          <w:lang w:val="en-US"/>
        </w:rPr>
        <w:t xml:space="preserve"> </w:t>
      </w:r>
      <w:r w:rsidRPr="0049357A">
        <w:rPr>
          <w:rFonts w:ascii="Times New Roman" w:hAnsi="Times New Roman" w:cs="Times New Roman"/>
          <w:color w:val="000000" w:themeColor="text1"/>
          <w:sz w:val="28"/>
          <w:szCs w:val="28"/>
          <w:lang w:val="en-US"/>
        </w:rPr>
        <w:t>The economist.</w:t>
      </w:r>
      <w:r w:rsidR="00E97691">
        <w:rPr>
          <w:rFonts w:ascii="Times New Roman" w:hAnsi="Times New Roman" w:cs="Times New Roman"/>
          <w:color w:val="000000" w:themeColor="text1"/>
          <w:sz w:val="28"/>
          <w:szCs w:val="28"/>
          <w:lang w:val="en-US"/>
        </w:rPr>
        <w:t xml:space="preserve"> Access: </w:t>
      </w:r>
      <w:hyperlink r:id="rId133" w:history="1">
        <w:r w:rsidR="00E97691" w:rsidRPr="00E97691">
          <w:rPr>
            <w:rFonts w:ascii="Times New Roman" w:hAnsi="Times New Roman" w:cs="Times New Roman"/>
            <w:color w:val="000000" w:themeColor="text1"/>
            <w:sz w:val="28"/>
            <w:szCs w:val="28"/>
            <w:lang w:val="en-US"/>
          </w:rPr>
          <w:t>https://www.economist.com/news/2009/04/27/entrepreneurship</w:t>
        </w:r>
      </w:hyperlink>
      <w:r w:rsidRPr="0049357A">
        <w:rPr>
          <w:rFonts w:ascii="Times New Roman" w:hAnsi="Times New Roman" w:cs="Times New Roman"/>
          <w:color w:val="000000" w:themeColor="text1"/>
          <w:sz w:val="28"/>
          <w:szCs w:val="28"/>
          <w:lang w:val="en-US"/>
        </w:rPr>
        <w:t>.</w:t>
      </w:r>
    </w:p>
    <w:p w14:paraId="0A559389" w14:textId="4D867A1E"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Trott P. Innovation Management and new product development. – London: Pearson. – 2017. –666 р.</w:t>
      </w:r>
      <w:r w:rsidR="00FA4396">
        <w:rPr>
          <w:rFonts w:ascii="Times New Roman" w:hAnsi="Times New Roman" w:cs="Times New Roman"/>
          <w:color w:val="000000" w:themeColor="text1"/>
          <w:sz w:val="28"/>
          <w:szCs w:val="28"/>
          <w:lang w:val="en-US"/>
        </w:rPr>
        <w:t xml:space="preserve"> </w:t>
      </w:r>
      <w:r w:rsidR="00EF4C8A">
        <w:rPr>
          <w:rFonts w:ascii="Times New Roman" w:hAnsi="Times New Roman" w:cs="Times New Roman"/>
          <w:color w:val="000000" w:themeColor="text1"/>
          <w:sz w:val="28"/>
          <w:szCs w:val="28"/>
          <w:lang w:val="en-US"/>
        </w:rPr>
        <w:t xml:space="preserve"> </w:t>
      </w:r>
    </w:p>
    <w:p w14:paraId="1009A03A"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Fagerberg J., Mowery D.C., Nelson R.R. The Oxford Handbook of Innovation. – London: Oxford University Press, 2006. –656 р. </w:t>
      </w:r>
    </w:p>
    <w:p w14:paraId="5C54800D" w14:textId="4FB77EC0"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Lowe Ch. U. The Triple Helix - NIH, Industry, and the Academic World // The Yale Journal of biology and medicine. – 1982. – Vol. 55. – </w:t>
      </w:r>
      <w:r w:rsidR="00EF4C8A">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.239-246.</w:t>
      </w:r>
    </w:p>
    <w:p w14:paraId="30C1484B"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Etzkowitz</w:t>
      </w:r>
      <w:proofErr w:type="spellEnd"/>
      <w:r w:rsidRPr="0049357A">
        <w:rPr>
          <w:rFonts w:ascii="Times New Roman" w:hAnsi="Times New Roman" w:cs="Times New Roman"/>
          <w:color w:val="000000" w:themeColor="text1"/>
          <w:sz w:val="28"/>
          <w:szCs w:val="28"/>
          <w:lang w:val="en-US"/>
        </w:rPr>
        <w:t xml:space="preserve"> H. University - Industry - Government innovation in action. – London: Routledge Taylor and Francis e-library. – 2008. –164 р. </w:t>
      </w:r>
    </w:p>
    <w:p w14:paraId="01FF295C"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Drobot</w:t>
      </w:r>
      <w:proofErr w:type="spellEnd"/>
      <w:r w:rsidRPr="0049357A">
        <w:rPr>
          <w:rFonts w:ascii="Times New Roman" w:hAnsi="Times New Roman" w:cs="Times New Roman"/>
          <w:color w:val="000000" w:themeColor="text1"/>
          <w:sz w:val="28"/>
          <w:szCs w:val="28"/>
          <w:lang w:val="en-US"/>
        </w:rPr>
        <w:t xml:space="preserve"> D.A., </w:t>
      </w:r>
      <w:proofErr w:type="spellStart"/>
      <w:r w:rsidRPr="0049357A">
        <w:rPr>
          <w:rFonts w:ascii="Times New Roman" w:hAnsi="Times New Roman" w:cs="Times New Roman"/>
          <w:color w:val="000000" w:themeColor="text1"/>
          <w:sz w:val="28"/>
          <w:szCs w:val="28"/>
          <w:lang w:val="en-US"/>
        </w:rPr>
        <w:t>Drobot</w:t>
      </w:r>
      <w:proofErr w:type="spellEnd"/>
      <w:r w:rsidRPr="0049357A">
        <w:rPr>
          <w:rFonts w:ascii="Times New Roman" w:hAnsi="Times New Roman" w:cs="Times New Roman"/>
          <w:color w:val="000000" w:themeColor="text1"/>
          <w:sz w:val="28"/>
          <w:szCs w:val="28"/>
          <w:lang w:val="en-US"/>
        </w:rPr>
        <w:t xml:space="preserve"> P.N. Comparative analysis of the development small innovative enterprises of "</w:t>
      </w:r>
      <w:proofErr w:type="spellStart"/>
      <w:r w:rsidRPr="0049357A">
        <w:rPr>
          <w:rFonts w:ascii="Times New Roman" w:hAnsi="Times New Roman" w:cs="Times New Roman"/>
          <w:color w:val="000000" w:themeColor="text1"/>
          <w:sz w:val="28"/>
          <w:szCs w:val="28"/>
          <w:lang w:val="en-US"/>
        </w:rPr>
        <w:t>Glyoksal</w:t>
      </w:r>
      <w:proofErr w:type="spellEnd"/>
      <w:r w:rsidRPr="0049357A">
        <w:rPr>
          <w:rFonts w:ascii="Times New Roman" w:hAnsi="Times New Roman" w:cs="Times New Roman"/>
          <w:color w:val="000000" w:themeColor="text1"/>
          <w:sz w:val="28"/>
          <w:szCs w:val="28"/>
          <w:lang w:val="en-US"/>
        </w:rPr>
        <w:t>-T" LLC and "Potential" LLC // Electronic Scientific Journal Vector Economy. – 2018. – №10. – 60 р.</w:t>
      </w:r>
    </w:p>
    <w:p w14:paraId="34E2662B"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Oslo Manual, The Measurement of Scientific and Technological Activities, OECD Publishing. </w:t>
      </w:r>
      <w:hyperlink r:id="rId134" w:history="1">
        <w:r w:rsidRPr="0049357A">
          <w:rPr>
            <w:rFonts w:ascii="Times New Roman" w:hAnsi="Times New Roman" w:cs="Times New Roman"/>
            <w:sz w:val="28"/>
            <w:szCs w:val="28"/>
            <w:lang w:val="en-US"/>
          </w:rPr>
          <w:t>https://doi.org/10.1787/9789264192263-en</w:t>
        </w:r>
      </w:hyperlink>
      <w:r w:rsidRPr="0049357A">
        <w:rPr>
          <w:rFonts w:ascii="Times New Roman" w:hAnsi="Times New Roman" w:cs="Times New Roman"/>
          <w:color w:val="000000" w:themeColor="text1"/>
          <w:sz w:val="28"/>
          <w:szCs w:val="28"/>
          <w:lang w:val="en-US"/>
        </w:rPr>
        <w:t>.</w:t>
      </w:r>
    </w:p>
    <w:p w14:paraId="6C765EDB" w14:textId="27863603"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Hong Sh., Oxley L., Philip Mc. A Survey of the Innovation Surveys // Journal of Economic Surveys. – 2012. – Vol.26, №3. – </w:t>
      </w:r>
      <w:r w:rsidR="00EF4C8A">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420-444.</w:t>
      </w:r>
    </w:p>
    <w:p w14:paraId="1421E33C" w14:textId="05D0C71B"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Todeva</w:t>
      </w:r>
      <w:proofErr w:type="spellEnd"/>
      <w:r w:rsidRPr="0049357A">
        <w:rPr>
          <w:rFonts w:ascii="Times New Roman" w:hAnsi="Times New Roman" w:cs="Times New Roman"/>
          <w:color w:val="000000" w:themeColor="text1"/>
          <w:sz w:val="28"/>
          <w:szCs w:val="28"/>
          <w:lang w:val="en-US"/>
        </w:rPr>
        <w:t xml:space="preserve"> E. Governance of Innovation and Intermediation in Triple Helix Interactions // Research Papers in Economics. – 2013. – Vol. 27. – </w:t>
      </w:r>
      <w:r w:rsidR="00EF4C8A">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263-278.</w:t>
      </w:r>
    </w:p>
    <w:p w14:paraId="73172905" w14:textId="0C581741"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lastRenderedPageBreak/>
        <w:t>Sekerbayeva</w:t>
      </w:r>
      <w:proofErr w:type="spellEnd"/>
      <w:r w:rsidRPr="0049357A">
        <w:rPr>
          <w:rFonts w:ascii="Times New Roman" w:hAnsi="Times New Roman" w:cs="Times New Roman"/>
          <w:color w:val="000000" w:themeColor="text1"/>
          <w:sz w:val="28"/>
          <w:szCs w:val="28"/>
          <w:lang w:val="en-US"/>
        </w:rPr>
        <w:t xml:space="preserve"> A., </w:t>
      </w:r>
      <w:proofErr w:type="spellStart"/>
      <w:r w:rsidRPr="0049357A">
        <w:rPr>
          <w:rFonts w:ascii="Times New Roman" w:hAnsi="Times New Roman" w:cs="Times New Roman"/>
          <w:color w:val="000000" w:themeColor="text1"/>
          <w:sz w:val="28"/>
          <w:szCs w:val="28"/>
          <w:lang w:val="en-US"/>
        </w:rPr>
        <w:t>Tamenova</w:t>
      </w:r>
      <w:proofErr w:type="spellEnd"/>
      <w:r w:rsidRPr="0049357A">
        <w:rPr>
          <w:rFonts w:ascii="Times New Roman" w:hAnsi="Times New Roman" w:cs="Times New Roman"/>
          <w:color w:val="000000" w:themeColor="text1"/>
          <w:sz w:val="28"/>
          <w:szCs w:val="28"/>
          <w:lang w:val="en-US"/>
        </w:rPr>
        <w:t xml:space="preserve"> S. The Managerial challenges and main barriers in universities within the Triple Helix context // </w:t>
      </w:r>
      <w:proofErr w:type="spellStart"/>
      <w:r w:rsidRPr="0049357A">
        <w:rPr>
          <w:rFonts w:ascii="Times New Roman" w:hAnsi="Times New Roman" w:cs="Times New Roman"/>
          <w:color w:val="000000" w:themeColor="text1"/>
          <w:sz w:val="28"/>
          <w:szCs w:val="28"/>
          <w:lang w:val="en-US"/>
        </w:rPr>
        <w:t>Farabi</w:t>
      </w:r>
      <w:proofErr w:type="spellEnd"/>
      <w:r w:rsidRPr="0049357A">
        <w:rPr>
          <w:rFonts w:ascii="Times New Roman" w:hAnsi="Times New Roman" w:cs="Times New Roman"/>
          <w:color w:val="000000" w:themeColor="text1"/>
          <w:sz w:val="28"/>
          <w:szCs w:val="28"/>
          <w:lang w:val="en-US"/>
        </w:rPr>
        <w:t xml:space="preserve"> Journal of Social Sciences. – 2021. – Vol. 7, №3. – </w:t>
      </w:r>
      <w:r w:rsidR="00EF4C8A">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.10-17.</w:t>
      </w:r>
    </w:p>
    <w:p w14:paraId="5A8D95CF"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National Agency for the Development of Innovations. </w:t>
      </w:r>
      <w:proofErr w:type="spellStart"/>
      <w:r w:rsidRPr="0049357A">
        <w:rPr>
          <w:rFonts w:ascii="Times New Roman" w:hAnsi="Times New Roman" w:cs="Times New Roman"/>
          <w:color w:val="000000" w:themeColor="text1"/>
          <w:sz w:val="28"/>
          <w:szCs w:val="28"/>
          <w:lang w:val="en-US"/>
        </w:rPr>
        <w:t>QazInnovations</w:t>
      </w:r>
      <w:proofErr w:type="spellEnd"/>
      <w:r w:rsidRPr="0049357A">
        <w:rPr>
          <w:rFonts w:ascii="Times New Roman" w:hAnsi="Times New Roman" w:cs="Times New Roman"/>
          <w:color w:val="000000" w:themeColor="text1"/>
          <w:sz w:val="28"/>
          <w:szCs w:val="28"/>
          <w:lang w:val="en-US"/>
        </w:rPr>
        <w:t>.  https://qazinn.kz/en/podderzhka 10.01.2024.</w:t>
      </w:r>
    </w:p>
    <w:p w14:paraId="04B8FCBF" w14:textId="23C24DA0"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Phillips P. Governing Innovation in a Knowledge Society: in the age of knowledge. – Boston: Brill., 2012. – </w:t>
      </w:r>
      <w:r w:rsidR="00EF4C8A">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.167–192.</w:t>
      </w:r>
    </w:p>
    <w:p w14:paraId="47C4D6FF" w14:textId="3526DDA8"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Sekerbayeva</w:t>
      </w:r>
      <w:proofErr w:type="spellEnd"/>
      <w:r w:rsidRPr="0049357A">
        <w:rPr>
          <w:rFonts w:ascii="Times New Roman" w:hAnsi="Times New Roman" w:cs="Times New Roman"/>
          <w:color w:val="000000" w:themeColor="text1"/>
          <w:sz w:val="28"/>
          <w:szCs w:val="28"/>
          <w:lang w:val="en-US"/>
        </w:rPr>
        <w:t xml:space="preserve"> A.M., </w:t>
      </w:r>
      <w:proofErr w:type="spellStart"/>
      <w:r w:rsidRPr="0049357A">
        <w:rPr>
          <w:rFonts w:ascii="Times New Roman" w:hAnsi="Times New Roman" w:cs="Times New Roman"/>
          <w:color w:val="000000" w:themeColor="text1"/>
          <w:sz w:val="28"/>
          <w:szCs w:val="28"/>
          <w:lang w:val="en-US"/>
        </w:rPr>
        <w:t>Pospelova</w:t>
      </w:r>
      <w:proofErr w:type="spellEnd"/>
      <w:r w:rsidRPr="0049357A">
        <w:rPr>
          <w:rFonts w:ascii="Times New Roman" w:hAnsi="Times New Roman" w:cs="Times New Roman"/>
          <w:color w:val="000000" w:themeColor="text1"/>
          <w:sz w:val="28"/>
          <w:szCs w:val="28"/>
          <w:lang w:val="en-US"/>
        </w:rPr>
        <w:t xml:space="preserve"> T.V., </w:t>
      </w:r>
      <w:proofErr w:type="spellStart"/>
      <w:r w:rsidRPr="0049357A">
        <w:rPr>
          <w:rFonts w:ascii="Times New Roman" w:hAnsi="Times New Roman" w:cs="Times New Roman"/>
          <w:color w:val="000000" w:themeColor="text1"/>
          <w:sz w:val="28"/>
          <w:szCs w:val="28"/>
          <w:lang w:val="en-US"/>
        </w:rPr>
        <w:t>Satpayeva</w:t>
      </w:r>
      <w:proofErr w:type="spellEnd"/>
      <w:r w:rsidRPr="0049357A">
        <w:rPr>
          <w:rFonts w:ascii="Times New Roman" w:hAnsi="Times New Roman" w:cs="Times New Roman"/>
          <w:color w:val="000000" w:themeColor="text1"/>
          <w:sz w:val="28"/>
          <w:szCs w:val="28"/>
          <w:lang w:val="en-US"/>
        </w:rPr>
        <w:t xml:space="preserve"> Z.T., </w:t>
      </w:r>
      <w:proofErr w:type="spellStart"/>
      <w:r w:rsidRPr="0049357A">
        <w:rPr>
          <w:rFonts w:ascii="Times New Roman" w:hAnsi="Times New Roman" w:cs="Times New Roman"/>
          <w:color w:val="000000" w:themeColor="text1"/>
          <w:sz w:val="28"/>
          <w:szCs w:val="28"/>
          <w:lang w:val="en-US"/>
        </w:rPr>
        <w:t>Kangalakova</w:t>
      </w:r>
      <w:proofErr w:type="spellEnd"/>
      <w:r w:rsidRPr="0049357A">
        <w:rPr>
          <w:rFonts w:ascii="Times New Roman" w:hAnsi="Times New Roman" w:cs="Times New Roman"/>
          <w:color w:val="000000" w:themeColor="text1"/>
          <w:sz w:val="28"/>
          <w:szCs w:val="28"/>
          <w:lang w:val="en-US"/>
        </w:rPr>
        <w:t xml:space="preserve"> D.М. The bibliometric analysis of regional innovations of Kazakhstan in the context of Triple Helix model // Bulletin of "</w:t>
      </w:r>
      <w:proofErr w:type="spellStart"/>
      <w:r w:rsidRPr="0049357A">
        <w:rPr>
          <w:rFonts w:ascii="Times New Roman" w:hAnsi="Times New Roman" w:cs="Times New Roman"/>
          <w:color w:val="000000" w:themeColor="text1"/>
          <w:sz w:val="28"/>
          <w:szCs w:val="28"/>
          <w:lang w:val="en-US"/>
        </w:rPr>
        <w:t>Turan</w:t>
      </w:r>
      <w:proofErr w:type="spellEnd"/>
      <w:r w:rsidRPr="0049357A">
        <w:rPr>
          <w:rFonts w:ascii="Times New Roman" w:hAnsi="Times New Roman" w:cs="Times New Roman"/>
          <w:color w:val="000000" w:themeColor="text1"/>
          <w:sz w:val="28"/>
          <w:szCs w:val="28"/>
          <w:lang w:val="en-US"/>
        </w:rPr>
        <w:t xml:space="preserve">" University. – 2024. – Vol.3. – </w:t>
      </w:r>
      <w:r w:rsidR="00EF4C8A">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xml:space="preserve">. 9-22.  </w:t>
      </w:r>
    </w:p>
    <w:p w14:paraId="6578C389" w14:textId="0C783C2F"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Wang L., Ni Yu., Zhao Y., Chen Y. The triple helix collaboration: lessons from a Chinese provincial innovation ecosystem // Chinese Management Studies. – 2024. – Vol.18, №4. – </w:t>
      </w:r>
      <w:r w:rsidR="00EF4C8A">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1276-1289.</w:t>
      </w:r>
    </w:p>
    <w:p w14:paraId="64F242DF" w14:textId="5A78C6E9"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Mêgnigbêto</w:t>
      </w:r>
      <w:proofErr w:type="spellEnd"/>
      <w:r w:rsidRPr="0049357A">
        <w:rPr>
          <w:rFonts w:ascii="Times New Roman" w:hAnsi="Times New Roman" w:cs="Times New Roman"/>
          <w:color w:val="000000" w:themeColor="text1"/>
          <w:sz w:val="28"/>
          <w:szCs w:val="28"/>
          <w:lang w:val="en-US"/>
        </w:rPr>
        <w:t xml:space="preserve"> E. The </w:t>
      </w:r>
      <w:proofErr w:type="spellStart"/>
      <w:r w:rsidRPr="0049357A">
        <w:rPr>
          <w:rFonts w:ascii="Times New Roman" w:hAnsi="Times New Roman" w:cs="Times New Roman"/>
          <w:color w:val="000000" w:themeColor="text1"/>
          <w:sz w:val="28"/>
          <w:szCs w:val="28"/>
          <w:lang w:val="en-US"/>
        </w:rPr>
        <w:t>TripleHelix</w:t>
      </w:r>
      <w:proofErr w:type="spellEnd"/>
      <w:r w:rsidRPr="0049357A">
        <w:rPr>
          <w:rFonts w:ascii="Times New Roman" w:hAnsi="Times New Roman" w:cs="Times New Roman"/>
          <w:color w:val="000000" w:themeColor="text1"/>
          <w:sz w:val="28"/>
          <w:szCs w:val="28"/>
          <w:lang w:val="en-US"/>
        </w:rPr>
        <w:t xml:space="preserve"> of innovation as a double game involving domestic and foreign actors // Journal of Data and Information Science. – 2024. – Vol.9, №1. – </w:t>
      </w:r>
      <w:r w:rsidR="00EF4C8A">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xml:space="preserve">.1–14.  </w:t>
      </w:r>
    </w:p>
    <w:p w14:paraId="3CFC58A0" w14:textId="41DE3151"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Gheorghita</w:t>
      </w:r>
      <w:proofErr w:type="spellEnd"/>
      <w:r w:rsidRPr="0049357A">
        <w:rPr>
          <w:rFonts w:ascii="Times New Roman" w:hAnsi="Times New Roman" w:cs="Times New Roman"/>
          <w:color w:val="000000" w:themeColor="text1"/>
          <w:sz w:val="28"/>
          <w:szCs w:val="28"/>
          <w:lang w:val="en-US"/>
        </w:rPr>
        <w:t xml:space="preserve"> M., </w:t>
      </w:r>
      <w:proofErr w:type="spellStart"/>
      <w:r w:rsidRPr="0049357A">
        <w:rPr>
          <w:rFonts w:ascii="Times New Roman" w:hAnsi="Times New Roman" w:cs="Times New Roman"/>
          <w:color w:val="000000" w:themeColor="text1"/>
          <w:sz w:val="28"/>
          <w:szCs w:val="28"/>
          <w:lang w:val="en-US"/>
        </w:rPr>
        <w:t>Pripa</w:t>
      </w:r>
      <w:proofErr w:type="spellEnd"/>
      <w:r w:rsidRPr="0049357A">
        <w:rPr>
          <w:rFonts w:ascii="Times New Roman" w:hAnsi="Times New Roman" w:cs="Times New Roman"/>
          <w:color w:val="000000" w:themeColor="text1"/>
          <w:sz w:val="28"/>
          <w:szCs w:val="28"/>
          <w:lang w:val="en-US"/>
        </w:rPr>
        <w:t xml:space="preserve"> S. The role of the triple helix in designing a viable regional innovation system // 4th Economic International Conference "Competitiveness and Sustainable Development". – 2022. – </w:t>
      </w:r>
      <w:r w:rsidR="00EF4C8A">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79-84.</w:t>
      </w:r>
    </w:p>
    <w:p w14:paraId="37E0D661" w14:textId="546D34E0"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Gatune</w:t>
      </w:r>
      <w:proofErr w:type="spellEnd"/>
      <w:r w:rsidRPr="0049357A">
        <w:rPr>
          <w:rFonts w:ascii="Times New Roman" w:hAnsi="Times New Roman" w:cs="Times New Roman"/>
          <w:color w:val="000000" w:themeColor="text1"/>
          <w:sz w:val="28"/>
          <w:szCs w:val="28"/>
          <w:lang w:val="en-US"/>
        </w:rPr>
        <w:t xml:space="preserve"> J. Triple helix as model for driving innovation in emerging economies – what it takes. - Berlin, Boston: De Gruyter., 2023. – </w:t>
      </w:r>
      <w:r w:rsidR="00EF4C8A">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215-229.</w:t>
      </w:r>
    </w:p>
    <w:p w14:paraId="478D226D" w14:textId="22F1F546"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Naumova Ye., </w:t>
      </w:r>
      <w:proofErr w:type="spellStart"/>
      <w:r w:rsidRPr="0049357A">
        <w:rPr>
          <w:rFonts w:ascii="Times New Roman" w:hAnsi="Times New Roman" w:cs="Times New Roman"/>
          <w:color w:val="000000" w:themeColor="text1"/>
          <w:sz w:val="28"/>
          <w:szCs w:val="28"/>
          <w:lang w:val="en-US"/>
        </w:rPr>
        <w:t>Sokolova</w:t>
      </w:r>
      <w:proofErr w:type="spellEnd"/>
      <w:r w:rsidRPr="0049357A">
        <w:rPr>
          <w:rFonts w:ascii="Times New Roman" w:hAnsi="Times New Roman" w:cs="Times New Roman"/>
          <w:color w:val="000000" w:themeColor="text1"/>
          <w:sz w:val="28"/>
          <w:szCs w:val="28"/>
          <w:lang w:val="en-US"/>
        </w:rPr>
        <w:t xml:space="preserve"> E. V. Regional aspects of the application of the «triple helix» model as a factor in the development of an innovative economy// Entrepreneur’s guide. – 2022. – Vol.15, №14. – </w:t>
      </w:r>
      <w:r w:rsidR="00EF4C8A">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xml:space="preserve">. 45-51.  </w:t>
      </w:r>
    </w:p>
    <w:p w14:paraId="0C6E8B9D" w14:textId="59EDB984"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Mukhamejanova</w:t>
      </w:r>
      <w:proofErr w:type="spellEnd"/>
      <w:r w:rsidRPr="0049357A">
        <w:rPr>
          <w:rFonts w:ascii="Times New Roman" w:hAnsi="Times New Roman" w:cs="Times New Roman"/>
          <w:color w:val="000000" w:themeColor="text1"/>
          <w:sz w:val="28"/>
          <w:szCs w:val="28"/>
          <w:lang w:val="en-US"/>
        </w:rPr>
        <w:t xml:space="preserve"> A., </w:t>
      </w:r>
      <w:proofErr w:type="spellStart"/>
      <w:r w:rsidRPr="0049357A">
        <w:rPr>
          <w:rFonts w:ascii="Times New Roman" w:hAnsi="Times New Roman" w:cs="Times New Roman"/>
          <w:color w:val="000000" w:themeColor="text1"/>
          <w:sz w:val="28"/>
          <w:szCs w:val="28"/>
          <w:lang w:val="en-US"/>
        </w:rPr>
        <w:t>Nurgaliyeva</w:t>
      </w:r>
      <w:proofErr w:type="spellEnd"/>
      <w:r w:rsidRPr="0049357A">
        <w:rPr>
          <w:rFonts w:ascii="Times New Roman" w:hAnsi="Times New Roman" w:cs="Times New Roman"/>
          <w:color w:val="000000" w:themeColor="text1"/>
          <w:sz w:val="28"/>
          <w:szCs w:val="28"/>
          <w:lang w:val="en-US"/>
        </w:rPr>
        <w:t xml:space="preserve"> S., </w:t>
      </w:r>
      <w:proofErr w:type="spellStart"/>
      <w:r w:rsidRPr="0049357A">
        <w:rPr>
          <w:rFonts w:ascii="Times New Roman" w:hAnsi="Times New Roman" w:cs="Times New Roman"/>
          <w:color w:val="000000" w:themeColor="text1"/>
          <w:sz w:val="28"/>
          <w:szCs w:val="28"/>
          <w:lang w:val="en-US"/>
        </w:rPr>
        <w:t>Kaidarova</w:t>
      </w:r>
      <w:proofErr w:type="spellEnd"/>
      <w:r w:rsidRPr="0049357A">
        <w:rPr>
          <w:rFonts w:ascii="Times New Roman" w:hAnsi="Times New Roman" w:cs="Times New Roman"/>
          <w:color w:val="000000" w:themeColor="text1"/>
          <w:sz w:val="28"/>
          <w:szCs w:val="28"/>
          <w:lang w:val="en-US"/>
        </w:rPr>
        <w:t xml:space="preserve"> S., </w:t>
      </w:r>
      <w:proofErr w:type="spellStart"/>
      <w:r w:rsidRPr="0049357A">
        <w:rPr>
          <w:rFonts w:ascii="Times New Roman" w:hAnsi="Times New Roman" w:cs="Times New Roman"/>
          <w:color w:val="000000" w:themeColor="text1"/>
          <w:sz w:val="28"/>
          <w:szCs w:val="28"/>
          <w:lang w:val="en-US"/>
        </w:rPr>
        <w:t>Baibasheva</w:t>
      </w:r>
      <w:proofErr w:type="spellEnd"/>
      <w:r w:rsidRPr="0049357A">
        <w:rPr>
          <w:rFonts w:ascii="Times New Roman" w:hAnsi="Times New Roman" w:cs="Times New Roman"/>
          <w:color w:val="000000" w:themeColor="text1"/>
          <w:sz w:val="28"/>
          <w:szCs w:val="28"/>
          <w:lang w:val="en-US"/>
        </w:rPr>
        <w:t xml:space="preserve"> G. Analysis of innovation activity in the regions of Kazakhstan // Herald of </w:t>
      </w:r>
      <w:proofErr w:type="spellStart"/>
      <w:r w:rsidRPr="0049357A">
        <w:rPr>
          <w:rFonts w:ascii="Times New Roman" w:hAnsi="Times New Roman" w:cs="Times New Roman"/>
          <w:color w:val="000000" w:themeColor="text1"/>
          <w:sz w:val="28"/>
          <w:szCs w:val="28"/>
          <w:lang w:val="en-US"/>
        </w:rPr>
        <w:t>KazUEIFIT</w:t>
      </w:r>
      <w:proofErr w:type="spellEnd"/>
      <w:r w:rsidRPr="0049357A">
        <w:rPr>
          <w:rFonts w:ascii="Times New Roman" w:hAnsi="Times New Roman" w:cs="Times New Roman"/>
          <w:color w:val="000000" w:themeColor="text1"/>
          <w:sz w:val="28"/>
          <w:szCs w:val="28"/>
          <w:lang w:val="en-US"/>
        </w:rPr>
        <w:t xml:space="preserve">. – 2023. – Vol.4, №53. – </w:t>
      </w:r>
      <w:r w:rsidR="00EF4C8A">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xml:space="preserve">. 407-413. </w:t>
      </w:r>
    </w:p>
    <w:p w14:paraId="07EEBB9D" w14:textId="5D08E429"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Myrzakhmet</w:t>
      </w:r>
      <w:proofErr w:type="spellEnd"/>
      <w:r w:rsidRPr="0049357A">
        <w:rPr>
          <w:rFonts w:ascii="Times New Roman" w:hAnsi="Times New Roman" w:cs="Times New Roman"/>
          <w:color w:val="000000" w:themeColor="text1"/>
          <w:sz w:val="28"/>
          <w:szCs w:val="28"/>
          <w:lang w:val="en-US"/>
        </w:rPr>
        <w:t xml:space="preserve"> M., </w:t>
      </w:r>
      <w:proofErr w:type="spellStart"/>
      <w:r w:rsidRPr="0049357A">
        <w:rPr>
          <w:rFonts w:ascii="Times New Roman" w:hAnsi="Times New Roman" w:cs="Times New Roman"/>
          <w:color w:val="000000" w:themeColor="text1"/>
          <w:sz w:val="28"/>
          <w:szCs w:val="28"/>
          <w:lang w:val="en-US"/>
        </w:rPr>
        <w:t>Begimbay</w:t>
      </w:r>
      <w:proofErr w:type="spellEnd"/>
      <w:r w:rsidRPr="0049357A">
        <w:rPr>
          <w:rFonts w:ascii="Times New Roman" w:hAnsi="Times New Roman" w:cs="Times New Roman"/>
          <w:color w:val="000000" w:themeColor="text1"/>
          <w:sz w:val="28"/>
          <w:szCs w:val="28"/>
          <w:lang w:val="en-US"/>
        </w:rPr>
        <w:t xml:space="preserve"> K. Inclusion of universities, enterprises, and regions of Kazakhstan in the process of technological upgrading of the mining industry: a triple helix approach // International Journal of Technological Learning, Innovation and Development. – 2021. – Vol. 14, №1/2. – </w:t>
      </w:r>
      <w:r w:rsidR="00EF4C8A">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xml:space="preserve">.78-107. </w:t>
      </w:r>
    </w:p>
    <w:p w14:paraId="6CA024A3" w14:textId="2C69254B"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Garfield E. Citation indexing—Its theory and application in science, technology, and humanities. - New York: John Wiley.,1979. – </w:t>
      </w:r>
      <w:r w:rsidR="00EF4C8A">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xml:space="preserve">. 1-274. </w:t>
      </w:r>
    </w:p>
    <w:p w14:paraId="56AA80AB" w14:textId="4B8DBC5C"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Small H. Update on science mapping: Creating large document spaces// </w:t>
      </w:r>
      <w:proofErr w:type="spellStart"/>
      <w:r w:rsidRPr="0049357A">
        <w:rPr>
          <w:rFonts w:ascii="Times New Roman" w:hAnsi="Times New Roman" w:cs="Times New Roman"/>
          <w:color w:val="000000" w:themeColor="text1"/>
          <w:sz w:val="28"/>
          <w:szCs w:val="28"/>
          <w:lang w:val="en-US"/>
        </w:rPr>
        <w:t>Scientometrics</w:t>
      </w:r>
      <w:proofErr w:type="spellEnd"/>
      <w:r w:rsidRPr="0049357A">
        <w:rPr>
          <w:rFonts w:ascii="Times New Roman" w:hAnsi="Times New Roman" w:cs="Times New Roman"/>
          <w:color w:val="000000" w:themeColor="text1"/>
          <w:sz w:val="28"/>
          <w:szCs w:val="28"/>
          <w:lang w:val="en-US"/>
        </w:rPr>
        <w:t xml:space="preserve">. – 1997. – Vol.38. – </w:t>
      </w:r>
      <w:r w:rsidR="00EF4C8A">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275–293.</w:t>
      </w:r>
    </w:p>
    <w:p w14:paraId="6616F8E9" w14:textId="1DAA3A6B"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Powell T.H., </w:t>
      </w:r>
      <w:proofErr w:type="spellStart"/>
      <w:r w:rsidRPr="0049357A">
        <w:rPr>
          <w:rFonts w:ascii="Times New Roman" w:hAnsi="Times New Roman" w:cs="Times New Roman"/>
          <w:color w:val="000000" w:themeColor="text1"/>
          <w:sz w:val="28"/>
          <w:szCs w:val="28"/>
          <w:lang w:val="en-US"/>
        </w:rPr>
        <w:t>Kouropalatis</w:t>
      </w:r>
      <w:proofErr w:type="spellEnd"/>
      <w:r w:rsidRPr="0049357A">
        <w:rPr>
          <w:rFonts w:ascii="Times New Roman" w:hAnsi="Times New Roman" w:cs="Times New Roman"/>
          <w:color w:val="000000" w:themeColor="text1"/>
          <w:sz w:val="28"/>
          <w:szCs w:val="28"/>
          <w:lang w:val="en-US"/>
        </w:rPr>
        <w:t xml:space="preserve"> Y., Morgan R.E., Karhu P. Mapping knowledge and innovation research themes: using bibliometrics for classification, evolution, proliferation and determinism // International Journal of Entrepreneurship and Innovation Management. – 2016. – Vol.20, №3-4. – </w:t>
      </w:r>
      <w:r w:rsidR="00EF4C8A">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.174-199.</w:t>
      </w:r>
    </w:p>
    <w:p w14:paraId="1A57E5DA" w14:textId="1BFF6149"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López-Robles J.R., </w:t>
      </w:r>
      <w:proofErr w:type="spellStart"/>
      <w:r w:rsidRPr="0049357A">
        <w:rPr>
          <w:rFonts w:ascii="Times New Roman" w:hAnsi="Times New Roman" w:cs="Times New Roman"/>
          <w:color w:val="000000" w:themeColor="text1"/>
          <w:sz w:val="28"/>
          <w:szCs w:val="28"/>
          <w:lang w:val="en-US"/>
        </w:rPr>
        <w:t>Cobo</w:t>
      </w:r>
      <w:proofErr w:type="spellEnd"/>
      <w:r w:rsidRPr="0049357A">
        <w:rPr>
          <w:rFonts w:ascii="Times New Roman" w:hAnsi="Times New Roman" w:cs="Times New Roman"/>
          <w:color w:val="000000" w:themeColor="text1"/>
          <w:sz w:val="28"/>
          <w:szCs w:val="28"/>
          <w:lang w:val="en-US"/>
        </w:rPr>
        <w:t xml:space="preserve"> M.J., Gutiérrez-Salcedo M., </w:t>
      </w:r>
      <w:hyperlink r:id="rId135" w:anchor="auth-M__J_-Cobo-Aff3" w:history="1">
        <w:proofErr w:type="spellStart"/>
        <w:r w:rsidRPr="00B4623F">
          <w:rPr>
            <w:rFonts w:ascii="Times New Roman" w:hAnsi="Times New Roman" w:cs="Times New Roman"/>
            <w:sz w:val="28"/>
            <w:szCs w:val="28"/>
            <w:lang w:val="en-US"/>
          </w:rPr>
          <w:t>Cobo</w:t>
        </w:r>
        <w:proofErr w:type="spellEnd"/>
      </w:hyperlink>
      <w:r w:rsidRPr="0049357A">
        <w:rPr>
          <w:rFonts w:ascii="Times New Roman" w:hAnsi="Times New Roman" w:cs="Times New Roman"/>
          <w:color w:val="000000" w:themeColor="text1"/>
          <w:sz w:val="28"/>
          <w:szCs w:val="28"/>
          <w:lang w:val="en-US"/>
        </w:rPr>
        <w:t xml:space="preserve"> M. J.,</w:t>
      </w:r>
      <w:hyperlink r:id="rId136" w:anchor="auth-M__A_-Mart_nez_S_nchez-Aff5" w:history="1">
        <w:r w:rsidRPr="00B4623F">
          <w:rPr>
            <w:rFonts w:ascii="Times New Roman" w:hAnsi="Times New Roman" w:cs="Times New Roman"/>
            <w:sz w:val="28"/>
            <w:szCs w:val="28"/>
            <w:lang w:val="en-US"/>
          </w:rPr>
          <w:t xml:space="preserve"> Martínez-Sánchez</w:t>
        </w:r>
      </w:hyperlink>
      <w:r w:rsidRPr="0049357A">
        <w:rPr>
          <w:rFonts w:ascii="Times New Roman" w:hAnsi="Times New Roman" w:cs="Times New Roman"/>
          <w:color w:val="000000" w:themeColor="text1"/>
          <w:sz w:val="28"/>
          <w:szCs w:val="28"/>
          <w:lang w:val="en-US"/>
        </w:rPr>
        <w:t xml:space="preserve"> M. A., </w:t>
      </w:r>
      <w:hyperlink r:id="rId137" w:anchor="auth-N__K_-Gamboa_Rosales-Aff6" w:history="1">
        <w:proofErr w:type="spellStart"/>
        <w:r w:rsidRPr="00B4623F">
          <w:rPr>
            <w:rFonts w:ascii="Times New Roman" w:hAnsi="Times New Roman" w:cs="Times New Roman"/>
            <w:sz w:val="28"/>
            <w:szCs w:val="28"/>
            <w:lang w:val="en-US"/>
          </w:rPr>
          <w:t>Gamboa</w:t>
        </w:r>
        <w:proofErr w:type="spellEnd"/>
        <w:r w:rsidRPr="00B4623F">
          <w:rPr>
            <w:rFonts w:ascii="Times New Roman" w:hAnsi="Times New Roman" w:cs="Times New Roman"/>
            <w:sz w:val="28"/>
            <w:szCs w:val="28"/>
            <w:lang w:val="en-US"/>
          </w:rPr>
          <w:t>-Rosales</w:t>
        </w:r>
      </w:hyperlink>
      <w:r w:rsidRPr="0049357A">
        <w:rPr>
          <w:rFonts w:ascii="Times New Roman" w:hAnsi="Times New Roman" w:cs="Times New Roman"/>
          <w:color w:val="000000" w:themeColor="text1"/>
          <w:sz w:val="28"/>
          <w:szCs w:val="28"/>
          <w:lang w:val="en-US"/>
        </w:rPr>
        <w:t xml:space="preserve">  N. K., </w:t>
      </w:r>
      <w:hyperlink r:id="rId138" w:anchor="auth-E_-Herrera_Viedma-Aff7" w:history="1">
        <w:r w:rsidRPr="00B4623F">
          <w:rPr>
            <w:rFonts w:ascii="Times New Roman" w:hAnsi="Times New Roman" w:cs="Times New Roman"/>
            <w:sz w:val="28"/>
            <w:szCs w:val="28"/>
            <w:lang w:val="en-US"/>
          </w:rPr>
          <w:t>Herrera-</w:t>
        </w:r>
        <w:proofErr w:type="spellStart"/>
        <w:r w:rsidRPr="00B4623F">
          <w:rPr>
            <w:rFonts w:ascii="Times New Roman" w:hAnsi="Times New Roman" w:cs="Times New Roman"/>
            <w:sz w:val="28"/>
            <w:szCs w:val="28"/>
            <w:lang w:val="en-US"/>
          </w:rPr>
          <w:t>Viedma</w:t>
        </w:r>
        <w:proofErr w:type="spellEnd"/>
      </w:hyperlink>
      <w:r w:rsidRPr="0049357A">
        <w:rPr>
          <w:rFonts w:ascii="Times New Roman" w:hAnsi="Times New Roman" w:cs="Times New Roman"/>
          <w:color w:val="000000" w:themeColor="text1"/>
          <w:sz w:val="28"/>
          <w:szCs w:val="28"/>
          <w:lang w:val="en-US"/>
        </w:rPr>
        <w:t> E. 30th Anniversary of Applied Intelligence: A combination of bibliometrics and thematic analysis using </w:t>
      </w:r>
      <w:proofErr w:type="spellStart"/>
      <w:r w:rsidRPr="0049357A">
        <w:rPr>
          <w:rFonts w:ascii="Times New Roman" w:hAnsi="Times New Roman" w:cs="Times New Roman"/>
          <w:color w:val="000000" w:themeColor="text1"/>
          <w:sz w:val="28"/>
          <w:szCs w:val="28"/>
          <w:lang w:val="en-US"/>
        </w:rPr>
        <w:t>SciMAT</w:t>
      </w:r>
      <w:proofErr w:type="spellEnd"/>
      <w:r w:rsidRPr="0049357A">
        <w:rPr>
          <w:rFonts w:ascii="Times New Roman" w:hAnsi="Times New Roman" w:cs="Times New Roman"/>
          <w:color w:val="000000" w:themeColor="text1"/>
          <w:sz w:val="28"/>
          <w:szCs w:val="28"/>
          <w:lang w:val="en-US"/>
        </w:rPr>
        <w:t xml:space="preserve"> // Appl </w:t>
      </w:r>
      <w:proofErr w:type="spellStart"/>
      <w:r w:rsidRPr="0049357A">
        <w:rPr>
          <w:rFonts w:ascii="Times New Roman" w:hAnsi="Times New Roman" w:cs="Times New Roman"/>
          <w:color w:val="000000" w:themeColor="text1"/>
          <w:sz w:val="28"/>
          <w:szCs w:val="28"/>
          <w:lang w:val="en-US"/>
        </w:rPr>
        <w:t>Intell</w:t>
      </w:r>
      <w:proofErr w:type="spellEnd"/>
      <w:r w:rsidRPr="0049357A">
        <w:rPr>
          <w:rFonts w:ascii="Times New Roman" w:hAnsi="Times New Roman" w:cs="Times New Roman"/>
          <w:color w:val="000000" w:themeColor="text1"/>
          <w:sz w:val="28"/>
          <w:szCs w:val="28"/>
          <w:lang w:val="en-US"/>
        </w:rPr>
        <w:t xml:space="preserve"> . – 2021. – Vol.51. – </w:t>
      </w:r>
      <w:r w:rsidR="00EF4C8A">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xml:space="preserve">. 6547–6568 </w:t>
      </w:r>
    </w:p>
    <w:p w14:paraId="3919A28E" w14:textId="686527F1"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lastRenderedPageBreak/>
        <w:t xml:space="preserve">Guha Sh., Steinhardt S.B, </w:t>
      </w:r>
      <w:proofErr w:type="spellStart"/>
      <w:r w:rsidRPr="0049357A">
        <w:rPr>
          <w:rFonts w:ascii="Times New Roman" w:hAnsi="Times New Roman" w:cs="Times New Roman"/>
          <w:color w:val="000000" w:themeColor="text1"/>
          <w:sz w:val="28"/>
          <w:szCs w:val="28"/>
          <w:lang w:val="en-US"/>
        </w:rPr>
        <w:t>Ishtiaque</w:t>
      </w:r>
      <w:proofErr w:type="spellEnd"/>
      <w:r w:rsidRPr="0049357A">
        <w:rPr>
          <w:rFonts w:ascii="Times New Roman" w:hAnsi="Times New Roman" w:cs="Times New Roman"/>
          <w:color w:val="000000" w:themeColor="text1"/>
          <w:sz w:val="28"/>
          <w:szCs w:val="28"/>
          <w:lang w:val="en-US"/>
        </w:rPr>
        <w:t xml:space="preserve"> S., Ahmed S.I., </w:t>
      </w:r>
      <w:proofErr w:type="spellStart"/>
      <w:r w:rsidRPr="0049357A">
        <w:rPr>
          <w:rFonts w:ascii="Times New Roman" w:hAnsi="Times New Roman" w:cs="Times New Roman"/>
          <w:color w:val="000000" w:themeColor="text1"/>
          <w:sz w:val="28"/>
          <w:szCs w:val="28"/>
          <w:lang w:val="en-US"/>
        </w:rPr>
        <w:t>Lagoze</w:t>
      </w:r>
      <w:proofErr w:type="spellEnd"/>
      <w:r w:rsidRPr="0049357A">
        <w:rPr>
          <w:rFonts w:ascii="Times New Roman" w:hAnsi="Times New Roman" w:cs="Times New Roman"/>
          <w:color w:val="000000" w:themeColor="text1"/>
          <w:sz w:val="28"/>
          <w:szCs w:val="28"/>
          <w:lang w:val="en-US"/>
        </w:rPr>
        <w:t xml:space="preserve"> K. Following bibliometric footprints: the ACM digital library and the evolution of computer science // Conference: Proceedings of the 13th ACM/IEEE-CS joint conference on Digital </w:t>
      </w:r>
      <w:proofErr w:type="gramStart"/>
      <w:r w:rsidRPr="0049357A">
        <w:rPr>
          <w:rFonts w:ascii="Times New Roman" w:hAnsi="Times New Roman" w:cs="Times New Roman"/>
          <w:color w:val="000000" w:themeColor="text1"/>
          <w:sz w:val="28"/>
          <w:szCs w:val="28"/>
          <w:lang w:val="en-US"/>
        </w:rPr>
        <w:t>libraries .</w:t>
      </w:r>
      <w:proofErr w:type="gramEnd"/>
      <w:r w:rsidRPr="0049357A">
        <w:rPr>
          <w:rFonts w:ascii="Times New Roman" w:hAnsi="Times New Roman" w:cs="Times New Roman"/>
          <w:color w:val="000000" w:themeColor="text1"/>
          <w:sz w:val="28"/>
          <w:szCs w:val="28"/>
          <w:lang w:val="en-US"/>
        </w:rPr>
        <w:t xml:space="preserve"> – 2013. – </w:t>
      </w:r>
      <w:r w:rsidR="00EF4C8A">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139-142.</w:t>
      </w:r>
    </w:p>
    <w:p w14:paraId="277DEA91"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Cobo</w:t>
      </w:r>
      <w:proofErr w:type="spellEnd"/>
      <w:r w:rsidRPr="0049357A">
        <w:rPr>
          <w:rFonts w:ascii="Times New Roman" w:hAnsi="Times New Roman" w:cs="Times New Roman"/>
          <w:color w:val="000000" w:themeColor="text1"/>
          <w:sz w:val="28"/>
          <w:szCs w:val="28"/>
          <w:lang w:val="en-US"/>
        </w:rPr>
        <w:t xml:space="preserve"> M. J., López-Herrera A. G., Herrera-</w:t>
      </w:r>
      <w:proofErr w:type="spellStart"/>
      <w:r w:rsidRPr="0049357A">
        <w:rPr>
          <w:rFonts w:ascii="Times New Roman" w:hAnsi="Times New Roman" w:cs="Times New Roman"/>
          <w:color w:val="000000" w:themeColor="text1"/>
          <w:sz w:val="28"/>
          <w:szCs w:val="28"/>
          <w:lang w:val="en-US"/>
        </w:rPr>
        <w:t>Viedma</w:t>
      </w:r>
      <w:proofErr w:type="spellEnd"/>
      <w:r w:rsidRPr="0049357A">
        <w:rPr>
          <w:rFonts w:ascii="Times New Roman" w:hAnsi="Times New Roman" w:cs="Times New Roman"/>
          <w:color w:val="000000" w:themeColor="text1"/>
          <w:sz w:val="28"/>
          <w:szCs w:val="28"/>
          <w:lang w:val="en-US"/>
        </w:rPr>
        <w:t xml:space="preserve"> E., </w:t>
      </w:r>
      <w:proofErr w:type="gramStart"/>
      <w:r w:rsidRPr="0049357A">
        <w:rPr>
          <w:rFonts w:ascii="Times New Roman" w:hAnsi="Times New Roman" w:cs="Times New Roman"/>
          <w:color w:val="000000" w:themeColor="text1"/>
          <w:sz w:val="28"/>
          <w:szCs w:val="28"/>
          <w:lang w:val="en-US"/>
        </w:rPr>
        <w:t>Herrera  F.</w:t>
      </w:r>
      <w:proofErr w:type="gramEnd"/>
      <w:r w:rsidRPr="0049357A">
        <w:rPr>
          <w:rFonts w:ascii="Times New Roman" w:hAnsi="Times New Roman" w:cs="Times New Roman"/>
          <w:color w:val="000000" w:themeColor="text1"/>
          <w:sz w:val="28"/>
          <w:szCs w:val="28"/>
          <w:lang w:val="en-US"/>
        </w:rPr>
        <w:t xml:space="preserve"> An approach for detecting, quantifying, and visualizing the evolution of </w:t>
      </w:r>
      <w:proofErr w:type="spellStart"/>
      <w:r w:rsidRPr="0049357A">
        <w:rPr>
          <w:rFonts w:ascii="Times New Roman" w:hAnsi="Times New Roman" w:cs="Times New Roman"/>
          <w:color w:val="000000" w:themeColor="text1"/>
          <w:sz w:val="28"/>
          <w:szCs w:val="28"/>
          <w:lang w:val="en-US"/>
        </w:rPr>
        <w:t>aresearch</w:t>
      </w:r>
      <w:proofErr w:type="spellEnd"/>
      <w:r w:rsidRPr="0049357A">
        <w:rPr>
          <w:rFonts w:ascii="Times New Roman" w:hAnsi="Times New Roman" w:cs="Times New Roman"/>
          <w:color w:val="000000" w:themeColor="text1"/>
          <w:sz w:val="28"/>
          <w:szCs w:val="28"/>
          <w:lang w:val="en-US"/>
        </w:rPr>
        <w:t xml:space="preserve"> field: A practical application to the fuzzy </w:t>
      </w:r>
      <w:proofErr w:type="gramStart"/>
      <w:r w:rsidRPr="0049357A">
        <w:rPr>
          <w:rFonts w:ascii="Times New Roman" w:hAnsi="Times New Roman" w:cs="Times New Roman"/>
          <w:color w:val="000000" w:themeColor="text1"/>
          <w:sz w:val="28"/>
          <w:szCs w:val="28"/>
          <w:lang w:val="en-US"/>
        </w:rPr>
        <w:t>sets</w:t>
      </w:r>
      <w:proofErr w:type="gramEnd"/>
      <w:r w:rsidRPr="0049357A">
        <w:rPr>
          <w:rFonts w:ascii="Times New Roman" w:hAnsi="Times New Roman" w:cs="Times New Roman"/>
          <w:color w:val="000000" w:themeColor="text1"/>
          <w:sz w:val="28"/>
          <w:szCs w:val="28"/>
          <w:lang w:val="en-US"/>
        </w:rPr>
        <w:t xml:space="preserve"> theory field// Journal of </w:t>
      </w:r>
      <w:proofErr w:type="spellStart"/>
      <w:r w:rsidRPr="0049357A">
        <w:rPr>
          <w:rFonts w:ascii="Times New Roman" w:hAnsi="Times New Roman" w:cs="Times New Roman"/>
          <w:color w:val="000000" w:themeColor="text1"/>
          <w:sz w:val="28"/>
          <w:szCs w:val="28"/>
          <w:lang w:val="en-US"/>
        </w:rPr>
        <w:t>Informetrics</w:t>
      </w:r>
      <w:proofErr w:type="spellEnd"/>
      <w:r w:rsidRPr="0049357A">
        <w:rPr>
          <w:rFonts w:ascii="Times New Roman" w:hAnsi="Times New Roman" w:cs="Times New Roman"/>
          <w:color w:val="000000" w:themeColor="text1"/>
          <w:sz w:val="28"/>
          <w:szCs w:val="28"/>
          <w:lang w:val="en-US"/>
        </w:rPr>
        <w:t>. – 2011. – Vol.5, №1. – P.146-166.</w:t>
      </w:r>
    </w:p>
    <w:p w14:paraId="249C935F"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Van Eck N. J., Waltman L. How to normalize cooccurrence data? An analysis of some well‐known similarity measures // Journal of the American society for information science and technology. – 2009. – Vol.60, №8. – P.1635-1651.</w:t>
      </w:r>
    </w:p>
    <w:p w14:paraId="25CE5D0F"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Cuccurullo</w:t>
      </w:r>
      <w:proofErr w:type="spellEnd"/>
      <w:r w:rsidRPr="0049357A">
        <w:rPr>
          <w:rFonts w:ascii="Times New Roman" w:hAnsi="Times New Roman" w:cs="Times New Roman"/>
          <w:color w:val="000000" w:themeColor="text1"/>
          <w:sz w:val="28"/>
          <w:szCs w:val="28"/>
          <w:lang w:val="en-US"/>
        </w:rPr>
        <w:t xml:space="preserve"> C., Massimo A., </w:t>
      </w:r>
      <w:proofErr w:type="spellStart"/>
      <w:r w:rsidRPr="0049357A">
        <w:rPr>
          <w:rFonts w:ascii="Times New Roman" w:hAnsi="Times New Roman" w:cs="Times New Roman"/>
          <w:color w:val="000000" w:themeColor="text1"/>
          <w:sz w:val="28"/>
          <w:szCs w:val="28"/>
          <w:lang w:val="en-US"/>
        </w:rPr>
        <w:t>Sarto</w:t>
      </w:r>
      <w:proofErr w:type="spellEnd"/>
      <w:r w:rsidRPr="0049357A">
        <w:rPr>
          <w:rFonts w:ascii="Times New Roman" w:hAnsi="Times New Roman" w:cs="Times New Roman"/>
          <w:color w:val="000000" w:themeColor="text1"/>
          <w:sz w:val="28"/>
          <w:szCs w:val="28"/>
          <w:lang w:val="en-US"/>
        </w:rPr>
        <w:t xml:space="preserve"> F. Foundations and trends in performance management. A twenty-five years bibliometric analysis in business and public administration domains //</w:t>
      </w:r>
      <w:proofErr w:type="spellStart"/>
      <w:r w:rsidRPr="0049357A">
        <w:rPr>
          <w:rFonts w:ascii="Times New Roman" w:hAnsi="Times New Roman" w:cs="Times New Roman"/>
          <w:color w:val="000000" w:themeColor="text1"/>
          <w:sz w:val="28"/>
          <w:szCs w:val="28"/>
          <w:lang w:val="en-US"/>
        </w:rPr>
        <w:t>Scientometrics</w:t>
      </w:r>
      <w:proofErr w:type="spellEnd"/>
      <w:r w:rsidRPr="0049357A">
        <w:rPr>
          <w:rFonts w:ascii="Times New Roman" w:hAnsi="Times New Roman" w:cs="Times New Roman"/>
          <w:color w:val="000000" w:themeColor="text1"/>
          <w:sz w:val="28"/>
          <w:szCs w:val="28"/>
          <w:lang w:val="en-US"/>
        </w:rPr>
        <w:t xml:space="preserve">. – 2016. – Vol.108, №2. – P. 595-611. </w:t>
      </w:r>
    </w:p>
    <w:p w14:paraId="78D4CF1A" w14:textId="77777777" w:rsidR="00F14E91" w:rsidRPr="0049357A" w:rsidRDefault="002C6007" w:rsidP="00015249">
      <w:pPr>
        <w:pStyle w:val="af"/>
        <w:numPr>
          <w:ilvl w:val="0"/>
          <w:numId w:val="34"/>
        </w:numPr>
        <w:ind w:left="0" w:firstLine="709"/>
        <w:jc w:val="both"/>
        <w:rPr>
          <w:rFonts w:ascii="Times New Roman" w:hAnsi="Times New Roman" w:cs="Times New Roman"/>
          <w:color w:val="000000" w:themeColor="text1"/>
          <w:sz w:val="28"/>
          <w:szCs w:val="28"/>
          <w:lang w:val="en-US"/>
        </w:rPr>
      </w:pPr>
      <w:hyperlink r:id="rId139" w:tgtFrame="_parent" w:history="1">
        <w:proofErr w:type="spellStart"/>
        <w:r w:rsidR="00F14E91" w:rsidRPr="0049357A">
          <w:rPr>
            <w:rFonts w:ascii="Times New Roman" w:hAnsi="Times New Roman" w:cs="Times New Roman"/>
            <w:color w:val="000000" w:themeColor="text1"/>
            <w:sz w:val="28"/>
            <w:szCs w:val="28"/>
            <w:lang w:val="en-US"/>
          </w:rPr>
          <w:t>Leydesdorff</w:t>
        </w:r>
        <w:proofErr w:type="spellEnd"/>
        <w:r w:rsidR="00F14E91" w:rsidRPr="0049357A">
          <w:rPr>
            <w:rFonts w:ascii="Times New Roman" w:hAnsi="Times New Roman" w:cs="Times New Roman"/>
            <w:color w:val="000000" w:themeColor="text1"/>
            <w:sz w:val="28"/>
            <w:szCs w:val="28"/>
            <w:lang w:val="en-US"/>
          </w:rPr>
          <w:t xml:space="preserve"> L. </w:t>
        </w:r>
        <w:r w:rsidR="00F14E91" w:rsidRPr="00B4623F">
          <w:rPr>
            <w:rFonts w:ascii="Times New Roman" w:hAnsi="Times New Roman" w:cs="Times New Roman"/>
            <w:sz w:val="28"/>
            <w:szCs w:val="28"/>
            <w:lang w:val="en-US"/>
          </w:rPr>
          <w:t>The Knowledge-Based Economy</w:t>
        </w:r>
      </w:hyperlink>
      <w:r w:rsidR="00F14E91" w:rsidRPr="0049357A">
        <w:rPr>
          <w:rFonts w:ascii="Times New Roman" w:hAnsi="Times New Roman" w:cs="Times New Roman"/>
          <w:color w:val="000000" w:themeColor="text1"/>
          <w:sz w:val="28"/>
          <w:szCs w:val="28"/>
          <w:lang w:val="en-US"/>
        </w:rPr>
        <w:t xml:space="preserve">. Modeled, Measured, Simulated. – </w:t>
      </w:r>
      <w:proofErr w:type="spellStart"/>
      <w:r w:rsidR="00F14E91" w:rsidRPr="0049357A">
        <w:rPr>
          <w:rFonts w:ascii="Times New Roman" w:hAnsi="Times New Roman" w:cs="Times New Roman"/>
          <w:color w:val="000000" w:themeColor="text1"/>
          <w:sz w:val="28"/>
          <w:szCs w:val="28"/>
          <w:lang w:val="en-US"/>
        </w:rPr>
        <w:t>Floarida</w:t>
      </w:r>
      <w:proofErr w:type="spellEnd"/>
      <w:r w:rsidR="00F14E91" w:rsidRPr="0049357A">
        <w:rPr>
          <w:rFonts w:ascii="Times New Roman" w:hAnsi="Times New Roman" w:cs="Times New Roman"/>
          <w:color w:val="000000" w:themeColor="text1"/>
          <w:sz w:val="28"/>
          <w:szCs w:val="28"/>
          <w:lang w:val="en-US"/>
        </w:rPr>
        <w:t>: Universal Publisher., 2006. –392 р.</w:t>
      </w:r>
    </w:p>
    <w:p w14:paraId="171A23AA"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Lundvall, Bengt-</w:t>
      </w:r>
      <w:proofErr w:type="spellStart"/>
      <w:r w:rsidRPr="0049357A">
        <w:rPr>
          <w:rFonts w:ascii="Times New Roman" w:hAnsi="Times New Roman" w:cs="Times New Roman"/>
          <w:color w:val="000000" w:themeColor="text1"/>
          <w:sz w:val="28"/>
          <w:szCs w:val="28"/>
          <w:lang w:val="en-US"/>
        </w:rPr>
        <w:t>Åke</w:t>
      </w:r>
      <w:proofErr w:type="spellEnd"/>
      <w:r w:rsidRPr="0049357A">
        <w:rPr>
          <w:rFonts w:ascii="Times New Roman" w:hAnsi="Times New Roman" w:cs="Times New Roman"/>
          <w:color w:val="000000" w:themeColor="text1"/>
          <w:sz w:val="28"/>
          <w:szCs w:val="28"/>
          <w:lang w:val="en-US"/>
        </w:rPr>
        <w:t>. (2007). National Innovation Systems—Analytical Concept and Development Tool. Industry &amp; Innovation. 14. 95-119. 10.1080/13662710601130863</w:t>
      </w:r>
    </w:p>
    <w:p w14:paraId="60D6F71D"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Lundvall, B-Å. (ed.) (1992), National Systems of Innovation: Towards a Theory of Innovation and Interactive Learning, London: Pinter Publishers.</w:t>
      </w:r>
    </w:p>
    <w:p w14:paraId="31D302E1" w14:textId="1611DB26"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Business Roadmap – 2025 [Electronic resource] // E-Government Portal of the Republic of Kazakhstan – eGov.kz. – Available at: </w:t>
      </w:r>
      <w:hyperlink r:id="rId140" w:tgtFrame="_new" w:history="1">
        <w:r w:rsidRPr="0049357A">
          <w:rPr>
            <w:rFonts w:ascii="Times New Roman" w:hAnsi="Times New Roman" w:cs="Times New Roman"/>
            <w:color w:val="000000" w:themeColor="text1"/>
            <w:sz w:val="28"/>
            <w:szCs w:val="28"/>
            <w:lang w:val="en-US"/>
          </w:rPr>
          <w:t>https://egov.kz/cms/ru/articles/road_business_map</w:t>
        </w:r>
      </w:hyperlink>
      <w:r w:rsidRPr="0049357A">
        <w:rPr>
          <w:rFonts w:ascii="Times New Roman" w:hAnsi="Times New Roman" w:cs="Times New Roman"/>
          <w:color w:val="000000" w:themeColor="text1"/>
          <w:sz w:val="28"/>
          <w:szCs w:val="28"/>
          <w:lang w:val="en-US"/>
        </w:rPr>
        <w:t>.</w:t>
      </w:r>
    </w:p>
    <w:p w14:paraId="0722486F" w14:textId="76B8AEA8"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Startup Ecosystem in Kazakhstan [Electronic resource] // </w:t>
      </w:r>
      <w:proofErr w:type="spellStart"/>
      <w:r w:rsidRPr="0049357A">
        <w:rPr>
          <w:rFonts w:ascii="Times New Roman" w:hAnsi="Times New Roman" w:cs="Times New Roman"/>
          <w:color w:val="000000" w:themeColor="text1"/>
          <w:sz w:val="28"/>
          <w:szCs w:val="28"/>
          <w:lang w:val="en-US"/>
        </w:rPr>
        <w:t>StartupBlink</w:t>
      </w:r>
      <w:proofErr w:type="spellEnd"/>
      <w:r w:rsidRPr="0049357A">
        <w:rPr>
          <w:rFonts w:ascii="Times New Roman" w:hAnsi="Times New Roman" w:cs="Times New Roman"/>
          <w:color w:val="000000" w:themeColor="text1"/>
          <w:sz w:val="28"/>
          <w:szCs w:val="28"/>
          <w:lang w:val="en-US"/>
        </w:rPr>
        <w:t xml:space="preserve">. –Available at: </w:t>
      </w:r>
      <w:hyperlink r:id="rId141" w:tgtFrame="_new" w:history="1">
        <w:r w:rsidRPr="0049357A">
          <w:rPr>
            <w:rFonts w:ascii="Times New Roman" w:hAnsi="Times New Roman" w:cs="Times New Roman"/>
            <w:color w:val="000000" w:themeColor="text1"/>
            <w:sz w:val="28"/>
            <w:szCs w:val="28"/>
            <w:lang w:val="en-US"/>
          </w:rPr>
          <w:t>https://www.startupblink.com/startup-ecosystem/kazakhstan?page=1</w:t>
        </w:r>
      </w:hyperlink>
      <w:r w:rsidRPr="0049357A">
        <w:rPr>
          <w:rFonts w:ascii="Times New Roman" w:hAnsi="Times New Roman" w:cs="Times New Roman"/>
          <w:color w:val="000000" w:themeColor="text1"/>
          <w:sz w:val="28"/>
          <w:szCs w:val="28"/>
          <w:lang w:val="en-US"/>
        </w:rPr>
        <w:t>.</w:t>
      </w:r>
    </w:p>
    <w:p w14:paraId="494183DE" w14:textId="37093204"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Managing National Innovation Systems [Electronic resource] // OECD Publications. – Available at: </w:t>
      </w:r>
      <w:hyperlink r:id="rId142" w:tgtFrame="_new" w:history="1">
        <w:r w:rsidRPr="0049357A">
          <w:rPr>
            <w:rFonts w:ascii="Times New Roman" w:hAnsi="Times New Roman" w:cs="Times New Roman"/>
            <w:color w:val="000000" w:themeColor="text1"/>
            <w:sz w:val="28"/>
            <w:szCs w:val="28"/>
            <w:lang w:val="en-US"/>
          </w:rPr>
          <w:t>https://www.oecd.org/en/publications/managing-national-innovation-systems_9789264189416-en.html</w:t>
        </w:r>
      </w:hyperlink>
      <w:r w:rsidRPr="0049357A">
        <w:rPr>
          <w:rFonts w:ascii="Times New Roman" w:hAnsi="Times New Roman" w:cs="Times New Roman"/>
          <w:color w:val="000000" w:themeColor="text1"/>
          <w:sz w:val="28"/>
          <w:szCs w:val="28"/>
          <w:lang w:val="en-US"/>
        </w:rPr>
        <w:t>.</w:t>
      </w:r>
    </w:p>
    <w:p w14:paraId="716CC8AB" w14:textId="76D0981E"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Nelson, Richard R., National Innovation Systems: A Comparative Analysis (1993). University of Illinois at Urbana-Champaign's Academy for Entrepreneurial Leadership Historical Research Reference in Entrepreneurship, Available at SSRN: </w:t>
      </w:r>
      <w:hyperlink r:id="rId143" w:tgtFrame="_blank" w:history="1">
        <w:r w:rsidRPr="0049357A">
          <w:rPr>
            <w:rFonts w:ascii="Times New Roman" w:hAnsi="Times New Roman" w:cs="Times New Roman"/>
            <w:color w:val="000000" w:themeColor="text1"/>
            <w:sz w:val="28"/>
            <w:szCs w:val="28"/>
            <w:lang w:val="en-US"/>
          </w:rPr>
          <w:t>https://ssrn.com/abstract=1496195</w:t>
        </w:r>
      </w:hyperlink>
      <w:r w:rsidR="00EF4C8A">
        <w:rPr>
          <w:rFonts w:ascii="Times New Roman" w:hAnsi="Times New Roman" w:cs="Times New Roman"/>
          <w:color w:val="000000" w:themeColor="text1"/>
          <w:sz w:val="28"/>
          <w:szCs w:val="28"/>
          <w:lang w:val="en-US"/>
        </w:rPr>
        <w:t>.</w:t>
      </w:r>
    </w:p>
    <w:p w14:paraId="755B2CF9"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Etzkowitz</w:t>
      </w:r>
      <w:proofErr w:type="spellEnd"/>
      <w:r w:rsidRPr="0049357A">
        <w:rPr>
          <w:rFonts w:ascii="Times New Roman" w:hAnsi="Times New Roman" w:cs="Times New Roman"/>
          <w:color w:val="000000" w:themeColor="text1"/>
          <w:sz w:val="28"/>
          <w:szCs w:val="28"/>
          <w:lang w:val="en-US"/>
        </w:rPr>
        <w:t xml:space="preserve">, Henry and </w:t>
      </w:r>
      <w:proofErr w:type="spellStart"/>
      <w:r w:rsidRPr="0049357A">
        <w:rPr>
          <w:rFonts w:ascii="Times New Roman" w:hAnsi="Times New Roman" w:cs="Times New Roman"/>
          <w:color w:val="000000" w:themeColor="text1"/>
          <w:sz w:val="28"/>
          <w:szCs w:val="28"/>
          <w:lang w:val="en-US"/>
        </w:rPr>
        <w:t>Leydesdorff</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Loet</w:t>
      </w:r>
      <w:proofErr w:type="spellEnd"/>
      <w:r w:rsidRPr="0049357A">
        <w:rPr>
          <w:rFonts w:ascii="Times New Roman" w:hAnsi="Times New Roman" w:cs="Times New Roman"/>
          <w:color w:val="000000" w:themeColor="text1"/>
          <w:sz w:val="28"/>
          <w:szCs w:val="28"/>
          <w:lang w:val="en-US"/>
        </w:rPr>
        <w:t>, The Triple Helix -- University-Industry-Government Relations: A Laboratory for Knowledge Based Economic Development (January 1, 1995). EASST Review, Vol. 14, No. 1, pp. 14-19, 1995, Available at SSRN: </w:t>
      </w:r>
      <w:hyperlink r:id="rId144" w:tgtFrame="_blank" w:history="1">
        <w:r w:rsidRPr="0049357A">
          <w:rPr>
            <w:rFonts w:ascii="Times New Roman" w:hAnsi="Times New Roman" w:cs="Times New Roman"/>
            <w:color w:val="000000" w:themeColor="text1"/>
            <w:sz w:val="28"/>
            <w:szCs w:val="28"/>
            <w:lang w:val="en-US"/>
          </w:rPr>
          <w:t>https://ssrn.com/abstract=2480085</w:t>
        </w:r>
      </w:hyperlink>
    </w:p>
    <w:p w14:paraId="45D9392E" w14:textId="174309B1"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Leydesdorff</w:t>
      </w:r>
      <w:proofErr w:type="spellEnd"/>
      <w:r w:rsidRPr="0049357A">
        <w:rPr>
          <w:rFonts w:ascii="Times New Roman" w:hAnsi="Times New Roman" w:cs="Times New Roman"/>
          <w:color w:val="000000" w:themeColor="text1"/>
          <w:sz w:val="28"/>
          <w:szCs w:val="28"/>
          <w:lang w:val="en-US"/>
        </w:rPr>
        <w:t xml:space="preserve"> L. The Triple Helix, Quadruple Helix, …, and an N-Tuple of Helices: Explanatory Models for Analyzing the Knowledge-Based Economy? // Journal of The Knowledge Economy. – 2012. – Vol.3. – </w:t>
      </w:r>
      <w:r w:rsidR="00EF4C8A">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xml:space="preserve">. 25-35. </w:t>
      </w:r>
    </w:p>
    <w:p w14:paraId="397362C4" w14:textId="45E2EEF5"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Goto</w:t>
      </w:r>
      <w:proofErr w:type="spellEnd"/>
      <w:r w:rsidRPr="0049357A">
        <w:rPr>
          <w:rFonts w:ascii="Times New Roman" w:hAnsi="Times New Roman" w:cs="Times New Roman"/>
          <w:color w:val="000000" w:themeColor="text1"/>
          <w:sz w:val="28"/>
          <w:szCs w:val="28"/>
          <w:lang w:val="en-US"/>
        </w:rPr>
        <w:t xml:space="preserve"> A. Japan's National Innovation System: Current Status and Problems // </w:t>
      </w:r>
      <w:r w:rsidRPr="00B4623F">
        <w:rPr>
          <w:rFonts w:ascii="Times New Roman" w:hAnsi="Times New Roman" w:cs="Times New Roman"/>
          <w:sz w:val="28"/>
          <w:szCs w:val="28"/>
          <w:lang w:val="en-US"/>
        </w:rPr>
        <w:t xml:space="preserve">Oxford Review of Economic Policy. – 2000. – Vol.16. – </w:t>
      </w:r>
      <w:r w:rsidR="00EF4C8A">
        <w:rPr>
          <w:rFonts w:ascii="Times New Roman" w:hAnsi="Times New Roman" w:cs="Times New Roman"/>
          <w:sz w:val="28"/>
          <w:szCs w:val="28"/>
          <w:lang w:val="en-US"/>
        </w:rPr>
        <w:t>pp</w:t>
      </w:r>
      <w:r w:rsidRPr="00B4623F">
        <w:rPr>
          <w:rFonts w:ascii="Times New Roman" w:hAnsi="Times New Roman" w:cs="Times New Roman"/>
          <w:sz w:val="28"/>
          <w:szCs w:val="28"/>
          <w:lang w:val="en-US"/>
        </w:rPr>
        <w:t>.</w:t>
      </w:r>
      <w:r w:rsidRPr="0049357A">
        <w:rPr>
          <w:rFonts w:ascii="Times New Roman" w:hAnsi="Times New Roman" w:cs="Times New Roman"/>
          <w:color w:val="000000" w:themeColor="text1"/>
          <w:sz w:val="28"/>
          <w:szCs w:val="28"/>
          <w:lang w:val="en-US"/>
        </w:rPr>
        <w:t xml:space="preserve"> 103-113.</w:t>
      </w:r>
    </w:p>
    <w:p w14:paraId="1AA0D6DE" w14:textId="77777777" w:rsidR="00F14E91" w:rsidRPr="00B4623F" w:rsidRDefault="00F14E91" w:rsidP="00015249">
      <w:pPr>
        <w:pStyle w:val="af"/>
        <w:numPr>
          <w:ilvl w:val="0"/>
          <w:numId w:val="34"/>
        </w:numPr>
        <w:ind w:left="0" w:firstLine="709"/>
        <w:jc w:val="both"/>
        <w:rPr>
          <w:rFonts w:ascii="Times New Roman" w:hAnsi="Times New Roman" w:cs="Times New Roman"/>
          <w:sz w:val="28"/>
          <w:szCs w:val="28"/>
          <w:lang w:val="en-US"/>
        </w:rPr>
      </w:pPr>
      <w:r w:rsidRPr="0049357A">
        <w:rPr>
          <w:rFonts w:ascii="Times New Roman" w:hAnsi="Times New Roman" w:cs="Times New Roman"/>
          <w:color w:val="000000" w:themeColor="text1"/>
          <w:sz w:val="28"/>
          <w:szCs w:val="28"/>
          <w:lang w:val="en-US"/>
        </w:rPr>
        <w:lastRenderedPageBreak/>
        <w:t xml:space="preserve">Global Innovation Index 2020 report. </w:t>
      </w:r>
      <w:hyperlink r:id="rId145" w:history="1">
        <w:r w:rsidRPr="00B4623F">
          <w:rPr>
            <w:rFonts w:ascii="Times New Roman" w:hAnsi="Times New Roman" w:cs="Times New Roman"/>
            <w:sz w:val="28"/>
            <w:szCs w:val="28"/>
            <w:lang w:val="en-US"/>
          </w:rPr>
          <w:t>https://www.wipo.int/edocs/pubdocs/en/wipo_pub_gii_2020.pdf</w:t>
        </w:r>
      </w:hyperlink>
      <w:r w:rsidRPr="0049357A">
        <w:rPr>
          <w:rFonts w:ascii="Times New Roman" w:hAnsi="Times New Roman" w:cs="Times New Roman"/>
          <w:color w:val="000000" w:themeColor="text1"/>
          <w:sz w:val="28"/>
          <w:szCs w:val="28"/>
          <w:lang w:val="en-US"/>
        </w:rPr>
        <w:t xml:space="preserve"> 01.02.2021.</w:t>
      </w:r>
    </w:p>
    <w:p w14:paraId="275FB813" w14:textId="263EF5F3"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Lu L. Creating knowledge-based innovation in China: The strategic implications of triple helix model // Journal of Technology Management in China. – 2007. – Vol.3. – </w:t>
      </w:r>
      <w:r w:rsidR="00B4072F">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249-263.</w:t>
      </w:r>
    </w:p>
    <w:p w14:paraId="1E2577F0" w14:textId="28C23CBA"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Eun</w:t>
      </w:r>
      <w:proofErr w:type="spellEnd"/>
      <w:r w:rsidRPr="0049357A">
        <w:rPr>
          <w:rFonts w:ascii="Times New Roman" w:hAnsi="Times New Roman" w:cs="Times New Roman"/>
          <w:color w:val="000000" w:themeColor="text1"/>
          <w:sz w:val="28"/>
          <w:szCs w:val="28"/>
          <w:lang w:val="en-US"/>
        </w:rPr>
        <w:t xml:space="preserve"> J., Lee K., Wu G. Explaining the “University-run enterprises” in China: A theoretical framework for university–industry relationship in developing countries and its application to China // </w:t>
      </w:r>
      <w:r w:rsidRPr="00B4623F">
        <w:rPr>
          <w:rFonts w:ascii="Times New Roman" w:hAnsi="Times New Roman" w:cs="Times New Roman"/>
          <w:sz w:val="28"/>
          <w:szCs w:val="28"/>
          <w:lang w:val="en-US"/>
        </w:rPr>
        <w:t xml:space="preserve">Research Policy. – 2006. – Vol.35. – </w:t>
      </w:r>
      <w:r w:rsidR="00B4072F">
        <w:rPr>
          <w:rFonts w:ascii="Times New Roman" w:hAnsi="Times New Roman" w:cs="Times New Roman"/>
          <w:sz w:val="28"/>
          <w:szCs w:val="28"/>
          <w:lang w:val="en-US"/>
        </w:rPr>
        <w:t>pp</w:t>
      </w:r>
      <w:r w:rsidRPr="00B4623F">
        <w:rPr>
          <w:rFonts w:ascii="Times New Roman" w:hAnsi="Times New Roman" w:cs="Times New Roman"/>
          <w:sz w:val="28"/>
          <w:szCs w:val="28"/>
          <w:lang w:val="en-US"/>
        </w:rPr>
        <w:t>.</w:t>
      </w:r>
      <w:r w:rsidRPr="0049357A">
        <w:rPr>
          <w:rFonts w:ascii="Times New Roman" w:hAnsi="Times New Roman" w:cs="Times New Roman"/>
          <w:color w:val="000000" w:themeColor="text1"/>
          <w:sz w:val="28"/>
          <w:szCs w:val="28"/>
          <w:lang w:val="en-US"/>
        </w:rPr>
        <w:t>1329-1346.</w:t>
      </w:r>
    </w:p>
    <w:p w14:paraId="1E76ED29" w14:textId="724C104F"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Chen S. Contributing knowledge and knowledge workers: the role of Chinese universities in the knowledge economy // </w:t>
      </w:r>
      <w:r w:rsidRPr="00B4623F">
        <w:rPr>
          <w:rFonts w:ascii="Times New Roman" w:hAnsi="Times New Roman" w:cs="Times New Roman"/>
          <w:sz w:val="28"/>
          <w:szCs w:val="28"/>
          <w:lang w:val="en-US"/>
        </w:rPr>
        <w:t>London Review of Education. – 2012. – Vol.10</w:t>
      </w:r>
      <w:r w:rsidRPr="0049357A">
        <w:rPr>
          <w:rFonts w:ascii="Times New Roman" w:hAnsi="Times New Roman" w:cs="Times New Roman"/>
          <w:color w:val="000000" w:themeColor="text1"/>
          <w:sz w:val="28"/>
          <w:szCs w:val="28"/>
          <w:lang w:val="en-US"/>
        </w:rPr>
        <w:t xml:space="preserve">. – </w:t>
      </w:r>
      <w:r w:rsidR="00B4072F">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101-112.</w:t>
      </w:r>
    </w:p>
    <w:p w14:paraId="5374EF7F" w14:textId="16F45D61"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Cai Y. Implementing the Triple Helix model in a non-Western context: an institutional</w:t>
      </w:r>
      <w:r w:rsidR="00C13276">
        <w:rPr>
          <w:rFonts w:ascii="Times New Roman" w:hAnsi="Times New Roman" w:cs="Times New Roman"/>
          <w:color w:val="000000" w:themeColor="text1"/>
          <w:sz w:val="28"/>
          <w:szCs w:val="28"/>
          <w:lang w:val="en-US"/>
        </w:rPr>
        <w:t xml:space="preserve"> </w:t>
      </w:r>
      <w:r w:rsidRPr="0049357A">
        <w:rPr>
          <w:rFonts w:ascii="Times New Roman" w:hAnsi="Times New Roman" w:cs="Times New Roman"/>
          <w:color w:val="000000" w:themeColor="text1"/>
          <w:sz w:val="28"/>
          <w:szCs w:val="28"/>
          <w:lang w:val="en-US"/>
        </w:rPr>
        <w:t>logics perspective // </w:t>
      </w:r>
      <w:r w:rsidRPr="00B4623F">
        <w:rPr>
          <w:rFonts w:ascii="Times New Roman" w:hAnsi="Times New Roman" w:cs="Times New Roman"/>
          <w:sz w:val="28"/>
          <w:szCs w:val="28"/>
          <w:lang w:val="en-US"/>
        </w:rPr>
        <w:t>Triple Helix. – 2014. -Vol.1</w:t>
      </w:r>
      <w:r w:rsidRPr="0049357A">
        <w:rPr>
          <w:rFonts w:ascii="Times New Roman" w:hAnsi="Times New Roman" w:cs="Times New Roman"/>
          <w:color w:val="000000" w:themeColor="text1"/>
          <w:sz w:val="28"/>
          <w:szCs w:val="28"/>
          <w:lang w:val="en-US"/>
        </w:rPr>
        <w:t xml:space="preserve">. – </w:t>
      </w:r>
      <w:r w:rsidR="00B4072F">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1-20.</w:t>
      </w:r>
    </w:p>
    <w:p w14:paraId="4814BE6B" w14:textId="2F06D8E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Harms R., Reschke C., Kraus S., Fink M.  Antecedents of innovation and growth: </w:t>
      </w:r>
      <w:proofErr w:type="spellStart"/>
      <w:r w:rsidRPr="0049357A">
        <w:rPr>
          <w:rFonts w:ascii="Times New Roman" w:hAnsi="Times New Roman" w:cs="Times New Roman"/>
          <w:color w:val="000000" w:themeColor="text1"/>
          <w:sz w:val="28"/>
          <w:szCs w:val="28"/>
          <w:lang w:val="en-US"/>
        </w:rPr>
        <w:t>analysing</w:t>
      </w:r>
      <w:proofErr w:type="spellEnd"/>
      <w:r w:rsidRPr="0049357A">
        <w:rPr>
          <w:rFonts w:ascii="Times New Roman" w:hAnsi="Times New Roman" w:cs="Times New Roman"/>
          <w:color w:val="000000" w:themeColor="text1"/>
          <w:sz w:val="28"/>
          <w:szCs w:val="28"/>
          <w:lang w:val="en-US"/>
        </w:rPr>
        <w:t xml:space="preserve"> the impact of entrepreneurial orientation and goal-oriented management // </w:t>
      </w:r>
      <w:r w:rsidRPr="00B4623F">
        <w:rPr>
          <w:rFonts w:ascii="Times New Roman" w:hAnsi="Times New Roman" w:cs="Times New Roman"/>
          <w:sz w:val="28"/>
          <w:szCs w:val="28"/>
          <w:lang w:val="en-US"/>
        </w:rPr>
        <w:t xml:space="preserve">Int. J. Technol. </w:t>
      </w:r>
      <w:proofErr w:type="spellStart"/>
      <w:r w:rsidRPr="0049357A">
        <w:rPr>
          <w:rFonts w:ascii="Times New Roman" w:hAnsi="Times New Roman" w:cs="Times New Roman"/>
          <w:sz w:val="28"/>
          <w:szCs w:val="28"/>
        </w:rPr>
        <w:t>Manag</w:t>
      </w:r>
      <w:proofErr w:type="spellEnd"/>
      <w:r w:rsidRPr="0049357A">
        <w:rPr>
          <w:rFonts w:ascii="Times New Roman" w:hAnsi="Times New Roman" w:cs="Times New Roman"/>
          <w:sz w:val="28"/>
          <w:szCs w:val="28"/>
        </w:rPr>
        <w:t>. – 2010. – Vol.52</w:t>
      </w:r>
      <w:r w:rsidRPr="0049357A">
        <w:rPr>
          <w:rFonts w:ascii="Times New Roman" w:hAnsi="Times New Roman" w:cs="Times New Roman"/>
          <w:color w:val="000000" w:themeColor="text1"/>
          <w:sz w:val="28"/>
          <w:szCs w:val="28"/>
          <w:lang w:val="en-US"/>
        </w:rPr>
        <w:t xml:space="preserve">. – </w:t>
      </w:r>
      <w:r w:rsidR="00B4072F">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.135-152.</w:t>
      </w:r>
    </w:p>
    <w:p w14:paraId="5ED9DC32" w14:textId="1C414C85"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Cai Y., Liu C.  The roles of universities in fostering knowledge-intensive clusters in Chinese regional innovation systems // </w:t>
      </w:r>
      <w:r w:rsidRPr="00B4623F">
        <w:rPr>
          <w:rFonts w:ascii="Times New Roman" w:hAnsi="Times New Roman" w:cs="Times New Roman"/>
          <w:sz w:val="28"/>
          <w:szCs w:val="28"/>
          <w:lang w:val="en-US"/>
        </w:rPr>
        <w:t xml:space="preserve">Science and Public Policy. – 2015. – Vol. 42. – </w:t>
      </w:r>
      <w:r w:rsidR="00B4072F">
        <w:rPr>
          <w:rFonts w:ascii="Times New Roman" w:hAnsi="Times New Roman" w:cs="Times New Roman"/>
          <w:sz w:val="28"/>
          <w:szCs w:val="28"/>
          <w:lang w:val="en-US"/>
        </w:rPr>
        <w:t>pp</w:t>
      </w:r>
      <w:r w:rsidRPr="00B4623F">
        <w:rPr>
          <w:rFonts w:ascii="Times New Roman" w:hAnsi="Times New Roman" w:cs="Times New Roman"/>
          <w:sz w:val="28"/>
          <w:szCs w:val="28"/>
          <w:lang w:val="en-US"/>
        </w:rPr>
        <w:t>.</w:t>
      </w:r>
      <w:r w:rsidRPr="0049357A">
        <w:rPr>
          <w:rFonts w:ascii="Times New Roman" w:hAnsi="Times New Roman" w:cs="Times New Roman"/>
          <w:color w:val="000000" w:themeColor="text1"/>
          <w:sz w:val="28"/>
          <w:szCs w:val="28"/>
          <w:lang w:val="en-US"/>
        </w:rPr>
        <w:t>15-29.</w:t>
      </w:r>
    </w:p>
    <w:p w14:paraId="66E15562" w14:textId="7450D640"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Xue</w:t>
      </w:r>
      <w:proofErr w:type="spellEnd"/>
      <w:r w:rsidRPr="0049357A">
        <w:rPr>
          <w:rFonts w:ascii="Times New Roman" w:hAnsi="Times New Roman" w:cs="Times New Roman"/>
          <w:color w:val="000000" w:themeColor="text1"/>
          <w:sz w:val="28"/>
          <w:szCs w:val="28"/>
          <w:lang w:val="en-US"/>
        </w:rPr>
        <w:t xml:space="preserve"> L, Zhou L.  Academia-industry-government interaction: The case of China. In: Martin M (ed) In search of the Triple Helix. Academia-industry-government interaction in China, Poland, and the Republic of Korea, </w:t>
      </w:r>
      <w:proofErr w:type="spellStart"/>
      <w:r w:rsidRPr="0049357A">
        <w:rPr>
          <w:rFonts w:ascii="Times New Roman" w:hAnsi="Times New Roman" w:cs="Times New Roman"/>
          <w:color w:val="000000" w:themeColor="text1"/>
          <w:sz w:val="28"/>
          <w:szCs w:val="28"/>
          <w:lang w:val="en-US"/>
        </w:rPr>
        <w:t>Unesco</w:t>
      </w:r>
      <w:proofErr w:type="spellEnd"/>
      <w:r w:rsidRPr="0049357A">
        <w:rPr>
          <w:rFonts w:ascii="Times New Roman" w:hAnsi="Times New Roman" w:cs="Times New Roman"/>
          <w:color w:val="000000" w:themeColor="text1"/>
          <w:sz w:val="28"/>
          <w:szCs w:val="28"/>
          <w:lang w:val="en-US"/>
        </w:rPr>
        <w:t xml:space="preserve">. – Paris: International Institute for Educational Planning, 2011. – </w:t>
      </w:r>
      <w:r w:rsidR="00B4072F">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33–107.</w:t>
      </w:r>
    </w:p>
    <w:p w14:paraId="6D958E07" w14:textId="23A06A7E"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Chang P.L, Shih H.Y. The innovation systems of Taiwan and China: a comparative analysis // </w:t>
      </w:r>
      <w:proofErr w:type="spellStart"/>
      <w:r w:rsidRPr="0049357A">
        <w:rPr>
          <w:rFonts w:ascii="Times New Roman" w:hAnsi="Times New Roman" w:cs="Times New Roman"/>
          <w:color w:val="000000" w:themeColor="text1"/>
          <w:sz w:val="28"/>
          <w:szCs w:val="28"/>
          <w:lang w:val="en-US"/>
        </w:rPr>
        <w:t>Technovation</w:t>
      </w:r>
      <w:proofErr w:type="spellEnd"/>
      <w:r w:rsidRPr="0049357A">
        <w:rPr>
          <w:rFonts w:ascii="Times New Roman" w:hAnsi="Times New Roman" w:cs="Times New Roman"/>
          <w:color w:val="000000" w:themeColor="text1"/>
          <w:sz w:val="28"/>
          <w:szCs w:val="28"/>
          <w:lang w:val="en-US"/>
        </w:rPr>
        <w:t xml:space="preserve">. – 2004. – Vol. 24. – </w:t>
      </w:r>
      <w:r w:rsidR="00B4072F">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529-539.</w:t>
      </w:r>
    </w:p>
    <w:p w14:paraId="1D76A54C" w14:textId="169EBDB8"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Liu F.Ch., Simon D.F., Sun Y.T, Cao C. China's innovation policies: Evolution, institutional structure, and trajectory // Research Policy. – 2011. – Vol.40. – </w:t>
      </w:r>
      <w:r w:rsidR="00B4072F">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xml:space="preserve">. 917-931. </w:t>
      </w:r>
    </w:p>
    <w:p w14:paraId="6BB006BC" w14:textId="3D6F4A7D"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Liu X., White S. Comparing innovation systems: a framework and application to China’s transitional context // Research Policy. – 2001. – Vol.30. – </w:t>
      </w:r>
      <w:r w:rsidR="00B4072F">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xml:space="preserve">. 1091-1114. </w:t>
      </w:r>
    </w:p>
    <w:p w14:paraId="5AFF47FE"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Motohashi</w:t>
      </w:r>
      <w:proofErr w:type="spellEnd"/>
      <w:r w:rsidRPr="0049357A">
        <w:rPr>
          <w:rFonts w:ascii="Times New Roman" w:hAnsi="Times New Roman" w:cs="Times New Roman"/>
          <w:color w:val="000000" w:themeColor="text1"/>
          <w:sz w:val="28"/>
          <w:szCs w:val="28"/>
          <w:lang w:val="en-US"/>
        </w:rPr>
        <w:t xml:space="preserve"> K., Yun X. China's innovation system reform and growing industry and science linkages //Research Policy. – 2007. – Vol. 36. – P. 1251-1260. </w:t>
      </w:r>
    </w:p>
    <w:p w14:paraId="0E79B21E" w14:textId="49BDF2DE"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Zhang Y., Chen K., Fu X. Scientific effects of Triple Helix interactions among research institutes, industries and universities // </w:t>
      </w:r>
      <w:proofErr w:type="spellStart"/>
      <w:r w:rsidRPr="0049357A">
        <w:rPr>
          <w:rFonts w:ascii="Times New Roman" w:hAnsi="Times New Roman" w:cs="Times New Roman"/>
          <w:color w:val="000000" w:themeColor="text1"/>
          <w:sz w:val="28"/>
          <w:szCs w:val="28"/>
          <w:lang w:val="en-US"/>
        </w:rPr>
        <w:t>Technovation</w:t>
      </w:r>
      <w:proofErr w:type="spellEnd"/>
      <w:r w:rsidRPr="0049357A">
        <w:rPr>
          <w:rFonts w:ascii="Times New Roman" w:hAnsi="Times New Roman" w:cs="Times New Roman"/>
          <w:color w:val="000000" w:themeColor="text1"/>
          <w:sz w:val="28"/>
          <w:szCs w:val="28"/>
          <w:lang w:val="en-US"/>
        </w:rPr>
        <w:t xml:space="preserve">. – 2019. – Vol. 86–87. – </w:t>
      </w:r>
      <w:r w:rsidR="00B4072F">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xml:space="preserve">. 33-47. </w:t>
      </w:r>
    </w:p>
    <w:p w14:paraId="6DB2F061" w14:textId="2D5CC419"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Kafouros</w:t>
      </w:r>
      <w:proofErr w:type="spellEnd"/>
      <w:r w:rsidRPr="0049357A">
        <w:rPr>
          <w:rFonts w:ascii="Times New Roman" w:hAnsi="Times New Roman" w:cs="Times New Roman"/>
          <w:color w:val="000000" w:themeColor="text1"/>
          <w:sz w:val="28"/>
          <w:szCs w:val="28"/>
          <w:lang w:val="en-US"/>
        </w:rPr>
        <w:t xml:space="preserve"> M., Wang C., </w:t>
      </w:r>
      <w:proofErr w:type="spellStart"/>
      <w:r w:rsidRPr="0049357A">
        <w:rPr>
          <w:rFonts w:ascii="Times New Roman" w:hAnsi="Times New Roman" w:cs="Times New Roman"/>
          <w:color w:val="000000" w:themeColor="text1"/>
          <w:sz w:val="28"/>
          <w:szCs w:val="28"/>
          <w:lang w:val="en-US"/>
        </w:rPr>
        <w:t>Piperopoulos</w:t>
      </w:r>
      <w:proofErr w:type="spellEnd"/>
      <w:r w:rsidRPr="0049357A">
        <w:rPr>
          <w:rFonts w:ascii="Times New Roman" w:hAnsi="Times New Roman" w:cs="Times New Roman"/>
          <w:color w:val="000000" w:themeColor="text1"/>
          <w:sz w:val="28"/>
          <w:szCs w:val="28"/>
          <w:lang w:val="en-US"/>
        </w:rPr>
        <w:t xml:space="preserve"> P., Zhang M. Academic collaborations and firm innovation performance in China: The role of region-specific institutions // Research Policy. – 2015. – Vol. 44, №3. – </w:t>
      </w:r>
      <w:r w:rsidR="00B4072F">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.803-817.</w:t>
      </w:r>
    </w:p>
    <w:p w14:paraId="04BC9E05"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Zheng L., </w:t>
      </w:r>
      <w:proofErr w:type="spellStart"/>
      <w:r w:rsidRPr="0049357A">
        <w:rPr>
          <w:rFonts w:ascii="Times New Roman" w:hAnsi="Times New Roman" w:cs="Times New Roman"/>
          <w:color w:val="000000" w:themeColor="text1"/>
          <w:sz w:val="28"/>
          <w:szCs w:val="28"/>
          <w:lang w:val="en-US"/>
        </w:rPr>
        <w:t>Lyu</w:t>
      </w:r>
      <w:proofErr w:type="spellEnd"/>
      <w:r w:rsidRPr="0049357A">
        <w:rPr>
          <w:rFonts w:ascii="Times New Roman" w:hAnsi="Times New Roman" w:cs="Times New Roman"/>
          <w:color w:val="000000" w:themeColor="text1"/>
          <w:sz w:val="28"/>
          <w:szCs w:val="28"/>
          <w:lang w:val="en-US"/>
        </w:rPr>
        <w:t xml:space="preserve"> L. Innovating Motivation Mechanisms and Interaction Channels of University-Industry Educational Collaboration: A Pilot Chinese Case // </w:t>
      </w:r>
      <w:hyperlink r:id="rId146" w:history="1">
        <w:r w:rsidRPr="00B4623F">
          <w:rPr>
            <w:rFonts w:ascii="Times New Roman" w:hAnsi="Times New Roman" w:cs="Times New Roman"/>
            <w:sz w:val="28"/>
            <w:szCs w:val="28"/>
            <w:lang w:val="en-US"/>
          </w:rPr>
          <w:t>2024 ASEE Annual Conference &amp; Exposition</w:t>
        </w:r>
      </w:hyperlink>
      <w:r w:rsidRPr="0049357A">
        <w:rPr>
          <w:rFonts w:ascii="Times New Roman" w:hAnsi="Times New Roman" w:cs="Times New Roman"/>
          <w:color w:val="000000" w:themeColor="text1"/>
          <w:sz w:val="28"/>
          <w:szCs w:val="28"/>
          <w:lang w:val="en-US"/>
        </w:rPr>
        <w:t>. – Portland. –17 р.</w:t>
      </w:r>
    </w:p>
    <w:p w14:paraId="5306E521" w14:textId="077B58AD"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lastRenderedPageBreak/>
        <w:t xml:space="preserve">Liu Y., Fu W., Schiller D. University–industry linkages in China from the agency perspective of university engagement: a systematic literature review //Science and Public Policy. – 2024. – Vol. 51, №3. – </w:t>
      </w:r>
      <w:r w:rsidR="00B4072F">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xml:space="preserve">.435-449. </w:t>
      </w:r>
    </w:p>
    <w:p w14:paraId="4A910F7C"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Zhang S., Chen C., Deng C. University-industry collaboration portfolio concentration and focal firms’ innovation performance: evidence from China // Technology Analysis &amp; Strategic Management. – 2022. – Vol.36, №5. – P.975–988. </w:t>
      </w:r>
    </w:p>
    <w:p w14:paraId="3A0BE27C" w14:textId="14685C55"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Li Y., Li Z., Liu T. Does university-industry collaboration improve firm productivity? Evidence from China // </w:t>
      </w:r>
      <w:proofErr w:type="spellStart"/>
      <w:r w:rsidRPr="0049357A">
        <w:rPr>
          <w:rFonts w:ascii="Times New Roman" w:hAnsi="Times New Roman" w:cs="Times New Roman"/>
          <w:color w:val="000000" w:themeColor="text1"/>
          <w:sz w:val="28"/>
          <w:szCs w:val="28"/>
          <w:lang w:val="en-US"/>
        </w:rPr>
        <w:t>PLoS</w:t>
      </w:r>
      <w:proofErr w:type="spellEnd"/>
      <w:r w:rsidRPr="0049357A">
        <w:rPr>
          <w:rFonts w:ascii="Times New Roman" w:hAnsi="Times New Roman" w:cs="Times New Roman"/>
          <w:color w:val="000000" w:themeColor="text1"/>
          <w:sz w:val="28"/>
          <w:szCs w:val="28"/>
          <w:lang w:val="en-US"/>
        </w:rPr>
        <w:t xml:space="preserve"> One. – 2024. – Vol.19, №7. – </w:t>
      </w:r>
      <w:r w:rsidR="00B4072F">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1-19.</w:t>
      </w:r>
    </w:p>
    <w:p w14:paraId="74FC9219" w14:textId="575557C6"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Tian R. Collaboration with Industry in Chinese Higher Education: Evaluation Based on a Matter-element Model. Journal of humanities, arts and social science // Journal of Humanities, Arts and Social Science. – 2024. – Vol.8, №2. – </w:t>
      </w:r>
      <w:r w:rsidR="00B4072F">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xml:space="preserve">. 446-451. </w:t>
      </w:r>
    </w:p>
    <w:p w14:paraId="187DCE3B"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Wang X. Research on the Coupling Coordination Degree of Triple Helix of Government Guidance, Industrial Innovation and Scientific Research Systems: Evidence from China// Sustainability. – 2023. – Vol 15, №6. –4892 р.</w:t>
      </w:r>
    </w:p>
    <w:p w14:paraId="2D5D7EBB" w14:textId="67B02939"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Bonomi </w:t>
      </w:r>
      <w:proofErr w:type="spellStart"/>
      <w:r w:rsidRPr="0049357A">
        <w:rPr>
          <w:rFonts w:ascii="Times New Roman" w:hAnsi="Times New Roman" w:cs="Times New Roman"/>
          <w:color w:val="000000" w:themeColor="text1"/>
          <w:sz w:val="28"/>
          <w:szCs w:val="28"/>
          <w:lang w:val="en-US"/>
        </w:rPr>
        <w:t>Savignon</w:t>
      </w:r>
      <w:proofErr w:type="spellEnd"/>
      <w:r w:rsidRPr="0049357A">
        <w:rPr>
          <w:rFonts w:ascii="Times New Roman" w:hAnsi="Times New Roman" w:cs="Times New Roman"/>
          <w:color w:val="000000" w:themeColor="text1"/>
          <w:sz w:val="28"/>
          <w:szCs w:val="28"/>
          <w:lang w:val="en-US"/>
        </w:rPr>
        <w:t xml:space="preserve"> A., </w:t>
      </w:r>
      <w:proofErr w:type="spellStart"/>
      <w:r w:rsidRPr="0049357A">
        <w:rPr>
          <w:rFonts w:ascii="Times New Roman" w:hAnsi="Times New Roman" w:cs="Times New Roman"/>
          <w:color w:val="000000" w:themeColor="text1"/>
          <w:sz w:val="28"/>
          <w:szCs w:val="28"/>
          <w:lang w:val="en-US"/>
        </w:rPr>
        <w:t>Corvo</w:t>
      </w:r>
      <w:proofErr w:type="spellEnd"/>
      <w:r w:rsidRPr="0049357A">
        <w:rPr>
          <w:rFonts w:ascii="Times New Roman" w:hAnsi="Times New Roman" w:cs="Times New Roman"/>
          <w:color w:val="000000" w:themeColor="text1"/>
          <w:sz w:val="28"/>
          <w:szCs w:val="28"/>
          <w:lang w:val="en-US"/>
        </w:rPr>
        <w:t xml:space="preserve"> L. Government-Third Sector Relations and The Triple Helix Approach: Patterns in The Italian Social Innovation Ecosystem. Cross-Sectoral Relations in the Delivery of Public Services Studies in Public and Non-Profit Governance. – Leeds: Emerald Publishing Limited.,2018. – </w:t>
      </w:r>
      <w:r w:rsidR="00C13276">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xml:space="preserve">. 95-109. </w:t>
      </w:r>
    </w:p>
    <w:p w14:paraId="76D3A8D7" w14:textId="39C30089"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Lew Y.K., Khan Z., </w:t>
      </w:r>
      <w:proofErr w:type="spellStart"/>
      <w:r w:rsidRPr="0049357A">
        <w:rPr>
          <w:rFonts w:ascii="Times New Roman" w:hAnsi="Times New Roman" w:cs="Times New Roman"/>
          <w:color w:val="000000" w:themeColor="text1"/>
          <w:sz w:val="28"/>
          <w:szCs w:val="28"/>
          <w:lang w:val="en-US"/>
        </w:rPr>
        <w:t>Cozzio</w:t>
      </w:r>
      <w:proofErr w:type="spellEnd"/>
      <w:r w:rsidRPr="0049357A">
        <w:rPr>
          <w:rFonts w:ascii="Times New Roman" w:hAnsi="Times New Roman" w:cs="Times New Roman"/>
          <w:color w:val="000000" w:themeColor="text1"/>
          <w:sz w:val="28"/>
          <w:szCs w:val="28"/>
          <w:lang w:val="en-US"/>
        </w:rPr>
        <w:t xml:space="preserve"> S. Gravitating toward the quadruple helix: international connections for the enhancement of a regional innovation system in Northeast Italy // R&amp;D Management. – 2018. – Vol. 48. –</w:t>
      </w:r>
      <w:r w:rsidR="00C13276">
        <w:rPr>
          <w:rFonts w:ascii="Times New Roman" w:hAnsi="Times New Roman" w:cs="Times New Roman"/>
          <w:color w:val="000000" w:themeColor="text1"/>
          <w:sz w:val="28"/>
          <w:szCs w:val="28"/>
          <w:lang w:val="en-US"/>
        </w:rPr>
        <w:t xml:space="preserve"> pp</w:t>
      </w:r>
      <w:r w:rsidRPr="0049357A">
        <w:rPr>
          <w:rFonts w:ascii="Times New Roman" w:hAnsi="Times New Roman" w:cs="Times New Roman"/>
          <w:color w:val="000000" w:themeColor="text1"/>
          <w:sz w:val="28"/>
          <w:szCs w:val="28"/>
          <w:lang w:val="en-US"/>
        </w:rPr>
        <w:t>. 44-59.</w:t>
      </w:r>
    </w:p>
    <w:p w14:paraId="3101494D"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Virgillito</w:t>
      </w:r>
      <w:proofErr w:type="spellEnd"/>
      <w:r w:rsidRPr="0049357A">
        <w:rPr>
          <w:rFonts w:ascii="Times New Roman" w:hAnsi="Times New Roman" w:cs="Times New Roman"/>
          <w:color w:val="000000" w:themeColor="text1"/>
          <w:sz w:val="28"/>
          <w:szCs w:val="28"/>
          <w:lang w:val="en-US"/>
        </w:rPr>
        <w:t xml:space="preserve"> D., Romano M. National Innovation System of Italy // Wiley Encyclopedia of Management. – Hoboken: Wiley, 2015. –6536 р.</w:t>
      </w:r>
    </w:p>
    <w:p w14:paraId="1965D8EE" w14:textId="17BB805E"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Ministry of Economy, Trade and Industry of Japan. Industry-Academia Collaboration [Electronic resource]. Available at: </w:t>
      </w:r>
      <w:hyperlink r:id="rId147" w:tgtFrame="_new" w:history="1">
        <w:r w:rsidRPr="00B4623F">
          <w:rPr>
            <w:rFonts w:ascii="Times New Roman" w:hAnsi="Times New Roman" w:cs="Times New Roman"/>
            <w:sz w:val="28"/>
            <w:szCs w:val="28"/>
            <w:lang w:val="en-US"/>
          </w:rPr>
          <w:t>https://www.meti.go.jp/english/policy/economy/industry_academia/index.html</w:t>
        </w:r>
      </w:hyperlink>
      <w:r w:rsidRPr="0049357A">
        <w:rPr>
          <w:rFonts w:ascii="Times New Roman" w:hAnsi="Times New Roman" w:cs="Times New Roman"/>
          <w:color w:val="000000" w:themeColor="text1"/>
          <w:sz w:val="28"/>
          <w:szCs w:val="28"/>
          <w:lang w:val="en-US"/>
        </w:rPr>
        <w:t>.</w:t>
      </w:r>
    </w:p>
    <w:p w14:paraId="733FE0A6" w14:textId="2FFD9029"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U.S. Embassy &amp; Consulates in China. Four-Year Review of Actions Taken in the Section 301 Investigation [Electronic resource]. Available at: </w:t>
      </w:r>
      <w:hyperlink r:id="rId148" w:tgtFrame="_new" w:history="1">
        <w:r w:rsidRPr="00B4623F">
          <w:rPr>
            <w:rFonts w:ascii="Times New Roman" w:hAnsi="Times New Roman" w:cs="Times New Roman"/>
            <w:sz w:val="28"/>
            <w:szCs w:val="28"/>
            <w:lang w:val="en-US"/>
          </w:rPr>
          <w:t>https://china.usembassy-china.org.cn/four-year-review-of-actions-taken-in-the-section-301-investigation/</w:t>
        </w:r>
      </w:hyperlink>
      <w:r w:rsidRPr="0049357A">
        <w:rPr>
          <w:rFonts w:ascii="Times New Roman" w:hAnsi="Times New Roman" w:cs="Times New Roman"/>
          <w:color w:val="000000" w:themeColor="text1"/>
          <w:sz w:val="28"/>
          <w:szCs w:val="28"/>
          <w:lang w:val="en-US"/>
        </w:rPr>
        <w:t>.</w:t>
      </w:r>
    </w:p>
    <w:p w14:paraId="749A375D" w14:textId="2E90FEA4"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University of Bologna. NRRP Projects 2013 – Innovative PhD </w:t>
      </w:r>
      <w:proofErr w:type="spellStart"/>
      <w:r w:rsidRPr="0049357A">
        <w:rPr>
          <w:rFonts w:ascii="Times New Roman" w:hAnsi="Times New Roman" w:cs="Times New Roman"/>
          <w:color w:val="000000" w:themeColor="text1"/>
          <w:sz w:val="28"/>
          <w:szCs w:val="28"/>
          <w:lang w:val="en-US"/>
        </w:rPr>
        <w:t>Programmes</w:t>
      </w:r>
      <w:proofErr w:type="spellEnd"/>
      <w:r w:rsidRPr="0049357A">
        <w:rPr>
          <w:rFonts w:ascii="Times New Roman" w:hAnsi="Times New Roman" w:cs="Times New Roman"/>
          <w:color w:val="000000" w:themeColor="text1"/>
          <w:sz w:val="28"/>
          <w:szCs w:val="28"/>
          <w:lang w:val="en-US"/>
        </w:rPr>
        <w:t xml:space="preserve"> in Cooperation with Businesses [Electronic resource]. Available at: </w:t>
      </w:r>
      <w:hyperlink r:id="rId149" w:tgtFrame="_new" w:history="1">
        <w:r w:rsidRPr="00B4623F">
          <w:rPr>
            <w:rFonts w:ascii="Times New Roman" w:hAnsi="Times New Roman" w:cs="Times New Roman"/>
            <w:sz w:val="28"/>
            <w:szCs w:val="28"/>
            <w:lang w:val="en-US"/>
          </w:rPr>
          <w:t>https://www.unibo.it/en/research/nrrp-opportunities-expectations-and-results/nrrp-projects-2013-innovative-phd-programmes-in-cooperation-with-businesses</w:t>
        </w:r>
      </w:hyperlink>
      <w:r w:rsidRPr="0049357A">
        <w:rPr>
          <w:rFonts w:ascii="Times New Roman" w:hAnsi="Times New Roman" w:cs="Times New Roman"/>
          <w:color w:val="000000" w:themeColor="text1"/>
          <w:sz w:val="28"/>
          <w:szCs w:val="28"/>
          <w:lang w:val="en-US"/>
        </w:rPr>
        <w:t>.</w:t>
      </w:r>
    </w:p>
    <w:p w14:paraId="5B4ADCC0" w14:textId="40C21769"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Università</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Politecnica</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delle</w:t>
      </w:r>
      <w:proofErr w:type="spellEnd"/>
      <w:r w:rsidRPr="0049357A">
        <w:rPr>
          <w:rFonts w:ascii="Times New Roman" w:hAnsi="Times New Roman" w:cs="Times New Roman"/>
          <w:color w:val="000000" w:themeColor="text1"/>
          <w:sz w:val="28"/>
          <w:szCs w:val="28"/>
          <w:lang w:val="en-US"/>
        </w:rPr>
        <w:t xml:space="preserve"> Marche. University and Business: Research Collaboration [Electronic resource]. Available at: </w:t>
      </w:r>
      <w:hyperlink r:id="rId150" w:tgtFrame="_new" w:history="1">
        <w:r w:rsidRPr="00B4623F">
          <w:rPr>
            <w:rFonts w:ascii="Times New Roman" w:hAnsi="Times New Roman" w:cs="Times New Roman"/>
            <w:sz w:val="28"/>
            <w:szCs w:val="28"/>
            <w:lang w:val="en-US"/>
          </w:rPr>
          <w:t>https://www.univpm.it/Entra/Research_1/University_and_Business/</w:t>
        </w:r>
      </w:hyperlink>
      <w:r w:rsidRPr="0049357A">
        <w:rPr>
          <w:rFonts w:ascii="Times New Roman" w:hAnsi="Times New Roman" w:cs="Times New Roman"/>
          <w:color w:val="000000" w:themeColor="text1"/>
          <w:sz w:val="28"/>
          <w:szCs w:val="28"/>
          <w:lang w:val="en-US"/>
        </w:rPr>
        <w:t>.</w:t>
      </w:r>
    </w:p>
    <w:p w14:paraId="6203963A" w14:textId="30C857C8"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Interreg Europe. 2i3T Business Incubator and Technology Transfer – University of Turin [Electronic resource]. Available at: </w:t>
      </w:r>
      <w:hyperlink r:id="rId151" w:tgtFrame="_new" w:history="1">
        <w:r w:rsidRPr="00B4623F">
          <w:rPr>
            <w:rFonts w:ascii="Times New Roman" w:hAnsi="Times New Roman" w:cs="Times New Roman"/>
            <w:sz w:val="28"/>
            <w:szCs w:val="28"/>
            <w:lang w:val="en-US"/>
          </w:rPr>
          <w:t>https://www.interregeurope.eu/good-practices/2i3t-business-incubator-and-technology-transfer-university-of-turin</w:t>
        </w:r>
      </w:hyperlink>
      <w:r w:rsidRPr="0049357A">
        <w:rPr>
          <w:rFonts w:ascii="Times New Roman" w:hAnsi="Times New Roman" w:cs="Times New Roman"/>
          <w:color w:val="000000" w:themeColor="text1"/>
          <w:sz w:val="28"/>
          <w:szCs w:val="28"/>
          <w:lang w:val="en-US"/>
        </w:rPr>
        <w:t>.</w:t>
      </w:r>
    </w:p>
    <w:p w14:paraId="3EA71F2A" w14:textId="0E5ABDF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Nazarbayev University. Research [Electronic resource]. Available at: </w:t>
      </w:r>
      <w:hyperlink r:id="rId152" w:tgtFrame="_new" w:history="1">
        <w:r w:rsidRPr="0049357A">
          <w:rPr>
            <w:rFonts w:ascii="Times New Roman" w:hAnsi="Times New Roman" w:cs="Times New Roman"/>
            <w:color w:val="000000" w:themeColor="text1"/>
            <w:sz w:val="28"/>
            <w:szCs w:val="28"/>
            <w:lang w:val="en-US"/>
          </w:rPr>
          <w:t>https://nu.edu.kz/research</w:t>
        </w:r>
      </w:hyperlink>
      <w:r w:rsidRPr="0049357A">
        <w:rPr>
          <w:rFonts w:ascii="Times New Roman" w:hAnsi="Times New Roman" w:cs="Times New Roman"/>
          <w:color w:val="000000" w:themeColor="text1"/>
          <w:sz w:val="28"/>
          <w:szCs w:val="28"/>
          <w:lang w:val="en-US"/>
        </w:rPr>
        <w:t>.</w:t>
      </w:r>
    </w:p>
    <w:p w14:paraId="2C635DE8" w14:textId="06FFA9A4"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lastRenderedPageBreak/>
        <w:t xml:space="preserve">Center for Communication Technologies of Kazakhstan. Official website [Electronic resource]. Available at: </w:t>
      </w:r>
      <w:hyperlink r:id="rId153" w:tgtFrame="_new" w:history="1">
        <w:r w:rsidRPr="0049357A">
          <w:rPr>
            <w:rFonts w:ascii="Times New Roman" w:hAnsi="Times New Roman" w:cs="Times New Roman"/>
            <w:color w:val="000000" w:themeColor="text1"/>
            <w:sz w:val="28"/>
            <w:szCs w:val="28"/>
            <w:lang w:val="en-US"/>
          </w:rPr>
          <w:t>https://kazckt.kz/</w:t>
        </w:r>
      </w:hyperlink>
      <w:r w:rsidRPr="0049357A">
        <w:rPr>
          <w:rFonts w:ascii="Times New Roman" w:hAnsi="Times New Roman" w:cs="Times New Roman"/>
          <w:color w:val="000000" w:themeColor="text1"/>
          <w:sz w:val="28"/>
          <w:szCs w:val="28"/>
          <w:lang w:val="en-US"/>
        </w:rPr>
        <w:t>.</w:t>
      </w:r>
    </w:p>
    <w:p w14:paraId="7B166A57" w14:textId="7525E066"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Almaty Management University. Technology Commercialization Center Based at </w:t>
      </w:r>
      <w:proofErr w:type="spellStart"/>
      <w:r w:rsidRPr="0049357A">
        <w:rPr>
          <w:rFonts w:ascii="Times New Roman" w:hAnsi="Times New Roman" w:cs="Times New Roman"/>
          <w:color w:val="000000" w:themeColor="text1"/>
          <w:sz w:val="28"/>
          <w:szCs w:val="28"/>
          <w:lang w:val="en-US"/>
        </w:rPr>
        <w:t>AlmaU</w:t>
      </w:r>
      <w:proofErr w:type="spellEnd"/>
      <w:r w:rsidRPr="0049357A">
        <w:rPr>
          <w:rFonts w:ascii="Times New Roman" w:hAnsi="Times New Roman" w:cs="Times New Roman"/>
          <w:color w:val="000000" w:themeColor="text1"/>
          <w:sz w:val="28"/>
          <w:szCs w:val="28"/>
          <w:lang w:val="en-US"/>
        </w:rPr>
        <w:t xml:space="preserve"> [Electronic resource].</w:t>
      </w:r>
      <w:r w:rsidR="00C13276">
        <w:rPr>
          <w:rFonts w:ascii="Times New Roman" w:hAnsi="Times New Roman" w:cs="Times New Roman"/>
          <w:color w:val="000000" w:themeColor="text1"/>
          <w:sz w:val="28"/>
          <w:szCs w:val="28"/>
          <w:lang w:val="en-US"/>
        </w:rPr>
        <w:t xml:space="preserve"> </w:t>
      </w:r>
      <w:r w:rsidRPr="0049357A">
        <w:rPr>
          <w:rFonts w:ascii="Times New Roman" w:hAnsi="Times New Roman" w:cs="Times New Roman"/>
          <w:color w:val="000000" w:themeColor="text1"/>
          <w:sz w:val="28"/>
          <w:szCs w:val="28"/>
          <w:lang w:val="en-US"/>
        </w:rPr>
        <w:t xml:space="preserve">Available at: </w:t>
      </w:r>
      <w:hyperlink r:id="rId154" w:tgtFrame="_new" w:history="1">
        <w:r w:rsidRPr="0049357A">
          <w:rPr>
            <w:rFonts w:ascii="Times New Roman" w:hAnsi="Times New Roman" w:cs="Times New Roman"/>
            <w:color w:val="000000" w:themeColor="text1"/>
            <w:sz w:val="28"/>
            <w:szCs w:val="28"/>
            <w:lang w:val="en-US"/>
          </w:rPr>
          <w:t>https://almau.edu.kz/en/study/technology-commercialization-center-based-at-almau/</w:t>
        </w:r>
      </w:hyperlink>
      <w:r w:rsidRPr="0049357A">
        <w:rPr>
          <w:rFonts w:ascii="Times New Roman" w:hAnsi="Times New Roman" w:cs="Times New Roman"/>
          <w:color w:val="000000" w:themeColor="text1"/>
          <w:sz w:val="28"/>
          <w:szCs w:val="28"/>
          <w:lang w:val="en-US"/>
        </w:rPr>
        <w:t>.</w:t>
      </w:r>
    </w:p>
    <w:p w14:paraId="25FA7C60" w14:textId="00B5C8E6"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Turan</w:t>
      </w:r>
      <w:proofErr w:type="spellEnd"/>
      <w:r w:rsidRPr="0049357A">
        <w:rPr>
          <w:rFonts w:ascii="Times New Roman" w:hAnsi="Times New Roman" w:cs="Times New Roman"/>
          <w:color w:val="000000" w:themeColor="text1"/>
          <w:sz w:val="28"/>
          <w:szCs w:val="28"/>
          <w:lang w:val="en-US"/>
        </w:rPr>
        <w:t xml:space="preserve"> University. Centre for Commercialization of Scientific Results and Innovative Activities</w:t>
      </w:r>
      <w:r w:rsidR="00C13276">
        <w:rPr>
          <w:rFonts w:ascii="Times New Roman" w:hAnsi="Times New Roman" w:cs="Times New Roman"/>
          <w:color w:val="000000" w:themeColor="text1"/>
          <w:sz w:val="28"/>
          <w:szCs w:val="28"/>
          <w:lang w:val="en-US"/>
        </w:rPr>
        <w:t xml:space="preserve"> </w:t>
      </w:r>
      <w:r w:rsidRPr="0049357A">
        <w:rPr>
          <w:rFonts w:ascii="Times New Roman" w:hAnsi="Times New Roman" w:cs="Times New Roman"/>
          <w:color w:val="000000" w:themeColor="text1"/>
          <w:sz w:val="28"/>
          <w:szCs w:val="28"/>
          <w:lang w:val="en-US"/>
        </w:rPr>
        <w:t>[Electronic resource].</w:t>
      </w:r>
      <w:r w:rsidR="00C13276">
        <w:rPr>
          <w:rFonts w:ascii="Times New Roman" w:hAnsi="Times New Roman" w:cs="Times New Roman"/>
          <w:color w:val="000000" w:themeColor="text1"/>
          <w:sz w:val="28"/>
          <w:szCs w:val="28"/>
          <w:lang w:val="en-US"/>
        </w:rPr>
        <w:t xml:space="preserve"> </w:t>
      </w:r>
      <w:r w:rsidRPr="0049357A">
        <w:rPr>
          <w:rFonts w:ascii="Times New Roman" w:hAnsi="Times New Roman" w:cs="Times New Roman"/>
          <w:color w:val="000000" w:themeColor="text1"/>
          <w:sz w:val="28"/>
          <w:szCs w:val="28"/>
          <w:lang w:val="en-US"/>
        </w:rPr>
        <w:t xml:space="preserve">Available at: </w:t>
      </w:r>
      <w:hyperlink r:id="rId155" w:tgtFrame="_new" w:history="1">
        <w:r w:rsidRPr="0049357A">
          <w:rPr>
            <w:rFonts w:ascii="Times New Roman" w:hAnsi="Times New Roman" w:cs="Times New Roman"/>
            <w:color w:val="000000" w:themeColor="text1"/>
            <w:sz w:val="28"/>
            <w:szCs w:val="28"/>
            <w:lang w:val="en-US"/>
          </w:rPr>
          <w:t>https://turan.edu.kz/en/science-and-innovation/centre-commercialization-scientific-results-and-innovative-activities/</w:t>
        </w:r>
      </w:hyperlink>
      <w:r w:rsidRPr="0049357A">
        <w:rPr>
          <w:rFonts w:ascii="Times New Roman" w:hAnsi="Times New Roman" w:cs="Times New Roman"/>
          <w:color w:val="000000" w:themeColor="text1"/>
          <w:sz w:val="28"/>
          <w:szCs w:val="28"/>
          <w:lang w:val="en-US"/>
        </w:rPr>
        <w:t>.</w:t>
      </w:r>
    </w:p>
    <w:p w14:paraId="15823097" w14:textId="4DD74226"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Satbayev</w:t>
      </w:r>
      <w:proofErr w:type="spellEnd"/>
      <w:r w:rsidRPr="0049357A">
        <w:rPr>
          <w:rFonts w:ascii="Times New Roman" w:hAnsi="Times New Roman" w:cs="Times New Roman"/>
          <w:color w:val="000000" w:themeColor="text1"/>
          <w:sz w:val="28"/>
          <w:szCs w:val="28"/>
          <w:lang w:val="en-US"/>
        </w:rPr>
        <w:t xml:space="preserve"> University. Innovations in Research [Electronic resource]. Available at: </w:t>
      </w:r>
      <w:hyperlink r:id="rId156" w:tgtFrame="_new" w:history="1">
        <w:r w:rsidRPr="0049357A">
          <w:rPr>
            <w:rFonts w:ascii="Times New Roman" w:hAnsi="Times New Roman" w:cs="Times New Roman"/>
            <w:color w:val="000000" w:themeColor="text1"/>
            <w:sz w:val="28"/>
            <w:szCs w:val="28"/>
            <w:lang w:val="en-US"/>
          </w:rPr>
          <w:t>https://satbayev.university/en/research/innovations</w:t>
        </w:r>
      </w:hyperlink>
      <w:r w:rsidRPr="0049357A">
        <w:rPr>
          <w:rFonts w:ascii="Times New Roman" w:hAnsi="Times New Roman" w:cs="Times New Roman"/>
          <w:color w:val="000000" w:themeColor="text1"/>
          <w:sz w:val="28"/>
          <w:szCs w:val="28"/>
          <w:lang w:val="en-US"/>
        </w:rPr>
        <w:t>.</w:t>
      </w:r>
    </w:p>
    <w:p w14:paraId="3E8ECFCC" w14:textId="19E327E8"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Kenzhaliyev</w:t>
      </w:r>
      <w:proofErr w:type="spellEnd"/>
      <w:r w:rsidRPr="0049357A">
        <w:rPr>
          <w:rFonts w:ascii="Times New Roman" w:hAnsi="Times New Roman" w:cs="Times New Roman"/>
          <w:color w:val="000000" w:themeColor="text1"/>
          <w:sz w:val="28"/>
          <w:szCs w:val="28"/>
          <w:lang w:val="en-US"/>
        </w:rPr>
        <w:t xml:space="preserve">, O. &amp; </w:t>
      </w:r>
      <w:proofErr w:type="spellStart"/>
      <w:r w:rsidRPr="0049357A">
        <w:rPr>
          <w:rFonts w:ascii="Times New Roman" w:hAnsi="Times New Roman" w:cs="Times New Roman"/>
          <w:color w:val="000000" w:themeColor="text1"/>
          <w:sz w:val="28"/>
          <w:szCs w:val="28"/>
          <w:lang w:val="en-US"/>
        </w:rPr>
        <w:t>Ilmaliyev</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Zhanserik</w:t>
      </w:r>
      <w:proofErr w:type="spellEnd"/>
      <w:r w:rsidRPr="0049357A">
        <w:rPr>
          <w:rFonts w:ascii="Times New Roman" w:hAnsi="Times New Roman" w:cs="Times New Roman"/>
          <w:color w:val="000000" w:themeColor="text1"/>
          <w:sz w:val="28"/>
          <w:szCs w:val="28"/>
          <w:lang w:val="en-US"/>
        </w:rPr>
        <w:t xml:space="preserve"> &amp; </w:t>
      </w:r>
      <w:proofErr w:type="spellStart"/>
      <w:r w:rsidRPr="0049357A">
        <w:rPr>
          <w:rFonts w:ascii="Times New Roman" w:hAnsi="Times New Roman" w:cs="Times New Roman"/>
          <w:color w:val="000000" w:themeColor="text1"/>
          <w:sz w:val="28"/>
          <w:szCs w:val="28"/>
          <w:lang w:val="en-US"/>
        </w:rPr>
        <w:t>Triyono</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Mochamad</w:t>
      </w:r>
      <w:proofErr w:type="spellEnd"/>
      <w:r w:rsidRPr="0049357A">
        <w:rPr>
          <w:rFonts w:ascii="Times New Roman" w:hAnsi="Times New Roman" w:cs="Times New Roman"/>
          <w:color w:val="000000" w:themeColor="text1"/>
          <w:sz w:val="28"/>
          <w:szCs w:val="28"/>
          <w:lang w:val="en-US"/>
        </w:rPr>
        <w:t xml:space="preserve"> &amp; </w:t>
      </w:r>
      <w:proofErr w:type="spellStart"/>
      <w:r w:rsidRPr="0049357A">
        <w:rPr>
          <w:rFonts w:ascii="Times New Roman" w:hAnsi="Times New Roman" w:cs="Times New Roman"/>
          <w:color w:val="000000" w:themeColor="text1"/>
          <w:sz w:val="28"/>
          <w:szCs w:val="28"/>
          <w:lang w:val="en-US"/>
        </w:rPr>
        <w:t>Minghat</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Asnul</w:t>
      </w:r>
      <w:proofErr w:type="spellEnd"/>
      <w:r w:rsidRPr="0049357A">
        <w:rPr>
          <w:rFonts w:ascii="Times New Roman" w:hAnsi="Times New Roman" w:cs="Times New Roman"/>
          <w:color w:val="000000" w:themeColor="text1"/>
          <w:sz w:val="28"/>
          <w:szCs w:val="28"/>
          <w:lang w:val="en-US"/>
        </w:rPr>
        <w:t xml:space="preserve"> &amp; </w:t>
      </w:r>
      <w:proofErr w:type="spellStart"/>
      <w:r w:rsidR="00E97691">
        <w:rPr>
          <w:rFonts w:ascii="Times New Roman" w:hAnsi="Times New Roman" w:cs="Times New Roman"/>
          <w:color w:val="000000" w:themeColor="text1"/>
          <w:sz w:val="28"/>
          <w:szCs w:val="28"/>
          <w:lang w:val="en-US"/>
        </w:rPr>
        <w:t>Artpentieva</w:t>
      </w:r>
      <w:proofErr w:type="spellEnd"/>
      <w:r w:rsidR="00E97691">
        <w:rPr>
          <w:rFonts w:ascii="Times New Roman" w:hAnsi="Times New Roman" w:cs="Times New Roman"/>
          <w:color w:val="000000" w:themeColor="text1"/>
          <w:sz w:val="28"/>
          <w:szCs w:val="28"/>
          <w:lang w:val="en-US"/>
        </w:rPr>
        <w:t xml:space="preserve"> Mariyam </w:t>
      </w:r>
      <w:r w:rsidRPr="0049357A">
        <w:rPr>
          <w:rFonts w:ascii="Times New Roman" w:hAnsi="Times New Roman" w:cs="Times New Roman"/>
          <w:color w:val="000000" w:themeColor="text1"/>
          <w:sz w:val="28"/>
          <w:szCs w:val="28"/>
          <w:lang w:val="en-US"/>
        </w:rPr>
        <w:t xml:space="preserve">&amp; </w:t>
      </w:r>
      <w:proofErr w:type="spellStart"/>
      <w:r w:rsidRPr="0049357A">
        <w:rPr>
          <w:rFonts w:ascii="Times New Roman" w:hAnsi="Times New Roman" w:cs="Times New Roman"/>
          <w:color w:val="000000" w:themeColor="text1"/>
          <w:sz w:val="28"/>
          <w:szCs w:val="28"/>
          <w:lang w:val="en-US"/>
        </w:rPr>
        <w:t>Kassymova</w:t>
      </w:r>
      <w:proofErr w:type="spellEnd"/>
      <w:r w:rsidRPr="0049357A">
        <w:rPr>
          <w:rFonts w:ascii="Times New Roman" w:hAnsi="Times New Roman" w:cs="Times New Roman"/>
          <w:color w:val="000000" w:themeColor="text1"/>
          <w:sz w:val="28"/>
          <w:szCs w:val="28"/>
          <w:lang w:val="en-US"/>
        </w:rPr>
        <w:t>, G.</w:t>
      </w:r>
      <w:r w:rsidR="00E97691">
        <w:rPr>
          <w:rFonts w:ascii="Times New Roman" w:hAnsi="Times New Roman" w:cs="Times New Roman"/>
          <w:color w:val="000000" w:themeColor="text1"/>
          <w:sz w:val="28"/>
          <w:szCs w:val="28"/>
          <w:lang w:val="en-US"/>
        </w:rPr>
        <w:t xml:space="preserve"> </w:t>
      </w:r>
      <w:r w:rsidRPr="0049357A">
        <w:rPr>
          <w:rFonts w:ascii="Times New Roman" w:hAnsi="Times New Roman" w:cs="Times New Roman"/>
          <w:color w:val="000000" w:themeColor="text1"/>
          <w:sz w:val="28"/>
          <w:szCs w:val="28"/>
          <w:lang w:val="en-US"/>
        </w:rPr>
        <w:t xml:space="preserve">(2020). Commercialization of Research and Development Results as the Economy Growth Factor of the Republic of Kazakhstan. 29. </w:t>
      </w:r>
      <w:r w:rsidR="00E97691">
        <w:rPr>
          <w:rFonts w:ascii="Times New Roman" w:hAnsi="Times New Roman" w:cs="Times New Roman"/>
          <w:color w:val="000000" w:themeColor="text1"/>
          <w:sz w:val="28"/>
          <w:szCs w:val="28"/>
          <w:lang w:val="en-US"/>
        </w:rPr>
        <w:t xml:space="preserve">pp. </w:t>
      </w:r>
      <w:r w:rsidRPr="0049357A">
        <w:rPr>
          <w:rFonts w:ascii="Times New Roman" w:hAnsi="Times New Roman" w:cs="Times New Roman"/>
          <w:color w:val="000000" w:themeColor="text1"/>
          <w:sz w:val="28"/>
          <w:szCs w:val="28"/>
          <w:lang w:val="en-US"/>
        </w:rPr>
        <w:t>18-28.</w:t>
      </w:r>
      <w:r w:rsidR="00E97691">
        <w:rPr>
          <w:rFonts w:ascii="Times New Roman" w:hAnsi="Times New Roman" w:cs="Times New Roman"/>
          <w:color w:val="000000" w:themeColor="text1"/>
          <w:sz w:val="28"/>
          <w:szCs w:val="28"/>
          <w:lang w:val="en-US"/>
        </w:rPr>
        <w:t xml:space="preserve">  </w:t>
      </w:r>
    </w:p>
    <w:p w14:paraId="07C68EC5" w14:textId="48BA6098"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Results of the year: science funding, new training programs and an emphasis on the practical application of scientific developments [Electronic resource] // Portal of the Prime Minister of the Republic of Kazakhstan. - 2024. - URL: https://primeminister.kz/ru/news/reviews/itogi-goda-finansirovanie-nauki-novye-programmy-obucheniya-i-aktsent-na-prakticheskom-primenenii-nauchnykh-razrabotok-29536?utm_source=chatgpt.com</w:t>
      </w:r>
      <w:r w:rsidR="001B3985">
        <w:rPr>
          <w:rFonts w:ascii="Times New Roman" w:hAnsi="Times New Roman" w:cs="Times New Roman"/>
          <w:color w:val="000000" w:themeColor="text1"/>
          <w:sz w:val="28"/>
          <w:szCs w:val="28"/>
          <w:lang w:val="en-US"/>
        </w:rPr>
        <w:t>.</w:t>
      </w:r>
    </w:p>
    <w:p w14:paraId="675FBDE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Bureau of National statistics Agency for Strategic planning and reforms of the Republic of Kazakhstan -  </w:t>
      </w:r>
      <w:hyperlink r:id="rId157" w:history="1">
        <w:r w:rsidRPr="0049357A">
          <w:rPr>
            <w:rFonts w:ascii="Times New Roman" w:hAnsi="Times New Roman" w:cs="Times New Roman"/>
            <w:color w:val="000000" w:themeColor="text1"/>
            <w:sz w:val="28"/>
            <w:szCs w:val="28"/>
            <w:lang w:val="en-US"/>
          </w:rPr>
          <w:t>https://stat.gov.kz/</w:t>
        </w:r>
      </w:hyperlink>
    </w:p>
    <w:p w14:paraId="5F046848"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The Code of the Republic of Kazakhstan dated October 29, 2015 № 375-V LRK, Entrepreneur Code of the Republic of Kazakhstan. https://adilet.zan.kz/eng/docs/K1500000375.</w:t>
      </w:r>
    </w:p>
    <w:p w14:paraId="4721828C" w14:textId="35E8F666"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OECD Digital Economy Outlook 2017 Published on October 11, OECD Publishing. 2017. Paris.</w:t>
      </w:r>
      <w:r w:rsidR="00C13276">
        <w:rPr>
          <w:rFonts w:ascii="Times New Roman" w:hAnsi="Times New Roman" w:cs="Times New Roman"/>
          <w:color w:val="000000" w:themeColor="text1"/>
          <w:sz w:val="28"/>
          <w:szCs w:val="28"/>
          <w:lang w:val="en-US"/>
        </w:rPr>
        <w:t xml:space="preserve"> </w:t>
      </w:r>
    </w:p>
    <w:p w14:paraId="6B9A2061" w14:textId="0A2F0FA0"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Tax credits and incentives in Japan [Electronic resource] // PwC Tax Summaries. — 2024. — URL: </w:t>
      </w:r>
      <w:hyperlink r:id="rId158" w:tgtFrame="_new" w:history="1">
        <w:r w:rsidRPr="00B4623F">
          <w:rPr>
            <w:rFonts w:ascii="Times New Roman" w:hAnsi="Times New Roman" w:cs="Times New Roman"/>
            <w:sz w:val="28"/>
            <w:szCs w:val="28"/>
            <w:lang w:val="en-US"/>
          </w:rPr>
          <w:t>https://taxsummaries.pwc.com/japan/corporate/tax-credits-and-incentives</w:t>
        </w:r>
      </w:hyperlink>
      <w:r w:rsidRPr="0049357A">
        <w:rPr>
          <w:rFonts w:ascii="Times New Roman" w:hAnsi="Times New Roman" w:cs="Times New Roman"/>
          <w:color w:val="000000" w:themeColor="text1"/>
          <w:sz w:val="28"/>
          <w:szCs w:val="28"/>
          <w:lang w:val="en-US"/>
        </w:rPr>
        <w:t>.</w:t>
      </w:r>
    </w:p>
    <w:p w14:paraId="12D91C2E" w14:textId="2F5E8ACB"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Deductions in the People's Republic of China [Electronic resource] // PwC Tax Summaries. — 2024. — URL: </w:t>
      </w:r>
      <w:hyperlink r:id="rId159" w:tgtFrame="_new" w:history="1">
        <w:r w:rsidRPr="00B4623F">
          <w:rPr>
            <w:rFonts w:ascii="Times New Roman" w:hAnsi="Times New Roman" w:cs="Times New Roman"/>
            <w:sz w:val="28"/>
            <w:szCs w:val="28"/>
            <w:lang w:val="en-US"/>
          </w:rPr>
          <w:t>https://taxsummaries.pwc.com/peoples-republic-of-china/corporate/deductions</w:t>
        </w:r>
      </w:hyperlink>
      <w:r w:rsidRPr="0049357A">
        <w:rPr>
          <w:rFonts w:ascii="Times New Roman" w:hAnsi="Times New Roman" w:cs="Times New Roman"/>
          <w:color w:val="000000" w:themeColor="text1"/>
          <w:sz w:val="28"/>
          <w:szCs w:val="28"/>
          <w:lang w:val="en-US"/>
        </w:rPr>
        <w:t>.</w:t>
      </w:r>
    </w:p>
    <w:p w14:paraId="2E1ADCC4" w14:textId="22D3F38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Tax credits and incentives in Italy [Electronic resource] // PwC Tax Summaries. — 2024. — URL: </w:t>
      </w:r>
      <w:hyperlink r:id="rId160" w:tgtFrame="_new" w:history="1">
        <w:r w:rsidRPr="00B4623F">
          <w:rPr>
            <w:rFonts w:ascii="Times New Roman" w:hAnsi="Times New Roman" w:cs="Times New Roman"/>
            <w:sz w:val="28"/>
            <w:szCs w:val="28"/>
            <w:lang w:val="en-US"/>
          </w:rPr>
          <w:t>https://taxsummaries.pwc.com/italy/corporate/tax-credits-and-incentives</w:t>
        </w:r>
      </w:hyperlink>
      <w:r w:rsidRPr="0049357A">
        <w:rPr>
          <w:rFonts w:ascii="Times New Roman" w:hAnsi="Times New Roman" w:cs="Times New Roman"/>
          <w:color w:val="000000" w:themeColor="text1"/>
          <w:sz w:val="28"/>
          <w:szCs w:val="28"/>
          <w:lang w:val="en-US"/>
        </w:rPr>
        <w:t>.</w:t>
      </w:r>
    </w:p>
    <w:p w14:paraId="57940CB0" w14:textId="610C08A5"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Izyumov</w:t>
      </w:r>
      <w:proofErr w:type="spellEnd"/>
      <w:r w:rsidRPr="0049357A">
        <w:rPr>
          <w:rFonts w:ascii="Times New Roman" w:hAnsi="Times New Roman" w:cs="Times New Roman"/>
          <w:color w:val="000000" w:themeColor="text1"/>
          <w:sz w:val="28"/>
          <w:szCs w:val="28"/>
          <w:lang w:val="en-US"/>
        </w:rPr>
        <w:t xml:space="preserve"> D., </w:t>
      </w:r>
      <w:proofErr w:type="spellStart"/>
      <w:r w:rsidRPr="0049357A">
        <w:rPr>
          <w:rFonts w:ascii="Times New Roman" w:hAnsi="Times New Roman" w:cs="Times New Roman"/>
          <w:color w:val="000000" w:themeColor="text1"/>
          <w:sz w:val="28"/>
          <w:szCs w:val="28"/>
          <w:lang w:val="en-US"/>
        </w:rPr>
        <w:t>Kondratyuk</w:t>
      </w:r>
      <w:proofErr w:type="spellEnd"/>
      <w:r w:rsidRPr="0049357A">
        <w:rPr>
          <w:rFonts w:ascii="Times New Roman" w:hAnsi="Times New Roman" w:cs="Times New Roman"/>
          <w:color w:val="000000" w:themeColor="text1"/>
          <w:sz w:val="28"/>
          <w:szCs w:val="28"/>
          <w:lang w:val="en-US"/>
        </w:rPr>
        <w:t xml:space="preserve"> E. Foreign experience in the commercialization of innovative technologies. </w:t>
      </w:r>
      <w:proofErr w:type="spellStart"/>
      <w:r w:rsidRPr="0049357A">
        <w:rPr>
          <w:rFonts w:ascii="Times New Roman" w:hAnsi="Times New Roman" w:cs="Times New Roman"/>
          <w:color w:val="000000" w:themeColor="text1"/>
          <w:sz w:val="28"/>
          <w:szCs w:val="28"/>
          <w:lang w:val="en-US"/>
        </w:rPr>
        <w:t>Innovatics</w:t>
      </w:r>
      <w:proofErr w:type="spellEnd"/>
      <w:r w:rsidRPr="0049357A">
        <w:rPr>
          <w:rFonts w:ascii="Times New Roman" w:hAnsi="Times New Roman" w:cs="Times New Roman"/>
          <w:color w:val="000000" w:themeColor="text1"/>
          <w:sz w:val="28"/>
          <w:szCs w:val="28"/>
          <w:lang w:val="en-US"/>
        </w:rPr>
        <w:t xml:space="preserve"> and Expertise, 1(19), 2017, </w:t>
      </w:r>
      <w:r w:rsidR="00C13276">
        <w:rPr>
          <w:rFonts w:ascii="Times New Roman" w:hAnsi="Times New Roman" w:cs="Times New Roman"/>
          <w:color w:val="000000" w:themeColor="text1"/>
          <w:sz w:val="28"/>
          <w:szCs w:val="28"/>
          <w:lang w:val="en-US"/>
        </w:rPr>
        <w:t xml:space="preserve">pp. </w:t>
      </w:r>
      <w:r w:rsidRPr="0049357A">
        <w:rPr>
          <w:rFonts w:ascii="Times New Roman" w:hAnsi="Times New Roman" w:cs="Times New Roman"/>
          <w:color w:val="000000" w:themeColor="text1"/>
          <w:sz w:val="28"/>
          <w:szCs w:val="28"/>
          <w:lang w:val="en-US"/>
        </w:rPr>
        <w:t>28-38.</w:t>
      </w:r>
    </w:p>
    <w:p w14:paraId="65B7B2B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World Intellectual Property Organization. Global Innovation Index 2009/2010. URL: </w:t>
      </w:r>
      <w:hyperlink r:id="rId161" w:history="1">
        <w:r w:rsidRPr="0049357A">
          <w:rPr>
            <w:rFonts w:ascii="Times New Roman" w:hAnsi="Times New Roman" w:cs="Times New Roman"/>
            <w:sz w:val="28"/>
            <w:szCs w:val="28"/>
          </w:rPr>
          <w:t>https://stats.areppim.com/listes/list_innovation_2009_2010.htm</w:t>
        </w:r>
      </w:hyperlink>
      <w:r w:rsidRPr="0049357A">
        <w:rPr>
          <w:rFonts w:ascii="Times New Roman" w:hAnsi="Times New Roman" w:cs="Times New Roman"/>
          <w:color w:val="000000" w:themeColor="text1"/>
          <w:sz w:val="28"/>
          <w:szCs w:val="28"/>
          <w:lang w:val="en-US"/>
        </w:rPr>
        <w:t xml:space="preserve"> </w:t>
      </w:r>
    </w:p>
    <w:p w14:paraId="534F530B"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World Intellectual Property Organization. Global Innovation Index 2011. URL: </w:t>
      </w:r>
      <w:hyperlink r:id="rId162" w:history="1">
        <w:r w:rsidRPr="00B4623F">
          <w:rPr>
            <w:rFonts w:ascii="Times New Roman" w:hAnsi="Times New Roman" w:cs="Times New Roman"/>
            <w:sz w:val="28"/>
            <w:szCs w:val="28"/>
            <w:lang w:val="en-US"/>
          </w:rPr>
          <w:t>https://www.wipo.int/publications/en/details.jsp?id=274&amp;plang=EN</w:t>
        </w:r>
      </w:hyperlink>
      <w:r w:rsidRPr="0049357A">
        <w:rPr>
          <w:rFonts w:ascii="Times New Roman" w:hAnsi="Times New Roman" w:cs="Times New Roman"/>
          <w:color w:val="000000" w:themeColor="text1"/>
          <w:sz w:val="28"/>
          <w:szCs w:val="28"/>
          <w:lang w:val="en-US"/>
        </w:rPr>
        <w:t xml:space="preserve"> </w:t>
      </w:r>
    </w:p>
    <w:p w14:paraId="2531BAEB"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lastRenderedPageBreak/>
        <w:t xml:space="preserve">World Intellectual Property Organization. Global Innovation Index 2012. URL: </w:t>
      </w:r>
      <w:hyperlink r:id="rId163" w:history="1">
        <w:r w:rsidRPr="00B4623F">
          <w:rPr>
            <w:rFonts w:ascii="Times New Roman" w:hAnsi="Times New Roman" w:cs="Times New Roman"/>
            <w:sz w:val="28"/>
            <w:szCs w:val="28"/>
            <w:lang w:val="en-US"/>
          </w:rPr>
          <w:t>https://www.wipo.int/publications/en/details.jsp?id=247&amp;plang=EN</w:t>
        </w:r>
      </w:hyperlink>
      <w:r w:rsidRPr="0049357A">
        <w:rPr>
          <w:rFonts w:ascii="Times New Roman" w:hAnsi="Times New Roman" w:cs="Times New Roman"/>
          <w:color w:val="000000" w:themeColor="text1"/>
          <w:sz w:val="28"/>
          <w:szCs w:val="28"/>
          <w:lang w:val="en-US"/>
        </w:rPr>
        <w:t xml:space="preserve"> </w:t>
      </w:r>
    </w:p>
    <w:p w14:paraId="7FDC8EC0"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World Intellectual Property Organization. Global Innovation Index 2013. URL: </w:t>
      </w:r>
      <w:hyperlink r:id="rId164" w:history="1">
        <w:r w:rsidRPr="00B4623F">
          <w:rPr>
            <w:rFonts w:ascii="Times New Roman" w:hAnsi="Times New Roman" w:cs="Times New Roman"/>
            <w:sz w:val="28"/>
            <w:szCs w:val="28"/>
            <w:lang w:val="en-US"/>
          </w:rPr>
          <w:t>https://www.wipo.int/publications/en/details.jsp?id=368&amp;plang=EN</w:t>
        </w:r>
      </w:hyperlink>
      <w:r w:rsidRPr="0049357A">
        <w:rPr>
          <w:rFonts w:ascii="Times New Roman" w:hAnsi="Times New Roman" w:cs="Times New Roman"/>
          <w:color w:val="000000" w:themeColor="text1"/>
          <w:sz w:val="28"/>
          <w:szCs w:val="28"/>
          <w:lang w:val="en-US"/>
        </w:rPr>
        <w:t xml:space="preserve"> </w:t>
      </w:r>
    </w:p>
    <w:p w14:paraId="4B5D6398"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World Intellectual Property Organization. Global Innovation Index 2014. URL: </w:t>
      </w:r>
      <w:hyperlink r:id="rId165" w:history="1">
        <w:r w:rsidRPr="00B4623F">
          <w:rPr>
            <w:rFonts w:ascii="Times New Roman" w:hAnsi="Times New Roman" w:cs="Times New Roman"/>
            <w:sz w:val="28"/>
            <w:szCs w:val="28"/>
            <w:lang w:val="en-US"/>
          </w:rPr>
          <w:t>https://www.wipo.int/publications/en/details.jsp?id=3254&amp;plang=EN</w:t>
        </w:r>
      </w:hyperlink>
      <w:r w:rsidRPr="0049357A">
        <w:rPr>
          <w:rFonts w:ascii="Times New Roman" w:hAnsi="Times New Roman" w:cs="Times New Roman"/>
          <w:color w:val="000000" w:themeColor="text1"/>
          <w:sz w:val="28"/>
          <w:szCs w:val="28"/>
          <w:lang w:val="en-US"/>
        </w:rPr>
        <w:t xml:space="preserve"> </w:t>
      </w:r>
    </w:p>
    <w:p w14:paraId="58C2A43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World Intellectual Property Organization. Global Innovation Index 2015. URL: </w:t>
      </w:r>
      <w:hyperlink r:id="rId166" w:history="1">
        <w:r w:rsidRPr="00B4623F">
          <w:rPr>
            <w:rFonts w:ascii="Times New Roman" w:hAnsi="Times New Roman" w:cs="Times New Roman"/>
            <w:sz w:val="28"/>
            <w:szCs w:val="28"/>
            <w:lang w:val="en-US"/>
          </w:rPr>
          <w:t>https://www.wipo.int/publications/en/details.jsp?id=3978&amp;plang=EN</w:t>
        </w:r>
      </w:hyperlink>
      <w:r w:rsidRPr="0049357A">
        <w:rPr>
          <w:rFonts w:ascii="Times New Roman" w:hAnsi="Times New Roman" w:cs="Times New Roman"/>
          <w:color w:val="000000" w:themeColor="text1"/>
          <w:sz w:val="28"/>
          <w:szCs w:val="28"/>
          <w:lang w:val="en-US"/>
        </w:rPr>
        <w:t xml:space="preserve"> </w:t>
      </w:r>
    </w:p>
    <w:p w14:paraId="3E21F42C"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World Intellectual Property Organization. Global Innovation Index 2016. URL: </w:t>
      </w:r>
      <w:hyperlink r:id="rId167" w:history="1">
        <w:r w:rsidRPr="00B4623F">
          <w:rPr>
            <w:rFonts w:ascii="Times New Roman" w:hAnsi="Times New Roman" w:cs="Times New Roman"/>
            <w:sz w:val="28"/>
            <w:szCs w:val="28"/>
            <w:lang w:val="en-US"/>
          </w:rPr>
          <w:t>https://www.wipo.int/publications/en/details.jsp?id=4064&amp;plang=EN</w:t>
        </w:r>
      </w:hyperlink>
      <w:r w:rsidRPr="0049357A">
        <w:rPr>
          <w:rFonts w:ascii="Times New Roman" w:hAnsi="Times New Roman" w:cs="Times New Roman"/>
          <w:color w:val="000000" w:themeColor="text1"/>
          <w:sz w:val="28"/>
          <w:szCs w:val="28"/>
          <w:lang w:val="en-US"/>
        </w:rPr>
        <w:t xml:space="preserve"> </w:t>
      </w:r>
    </w:p>
    <w:p w14:paraId="37A105F0"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World Intellectual Property Organization. Global Innovation Index 2017. URL: </w:t>
      </w:r>
      <w:hyperlink r:id="rId168" w:history="1">
        <w:r w:rsidRPr="00B4623F">
          <w:rPr>
            <w:rFonts w:ascii="Times New Roman" w:hAnsi="Times New Roman" w:cs="Times New Roman"/>
            <w:sz w:val="28"/>
            <w:szCs w:val="28"/>
            <w:lang w:val="en-US"/>
          </w:rPr>
          <w:t>https://www.wipo.int/publications/en/details.jsp?id=4193&amp;plang=EN</w:t>
        </w:r>
      </w:hyperlink>
      <w:r w:rsidRPr="0049357A">
        <w:rPr>
          <w:rFonts w:ascii="Times New Roman" w:hAnsi="Times New Roman" w:cs="Times New Roman"/>
          <w:color w:val="000000" w:themeColor="text1"/>
          <w:sz w:val="28"/>
          <w:szCs w:val="28"/>
          <w:lang w:val="en-US"/>
        </w:rPr>
        <w:t xml:space="preserve"> </w:t>
      </w:r>
    </w:p>
    <w:p w14:paraId="376DACBE"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World Intellectual Property Organization. Global Innovation Index 2018. URL: </w:t>
      </w:r>
      <w:hyperlink r:id="rId169" w:history="1">
        <w:r w:rsidRPr="00B4623F">
          <w:rPr>
            <w:rFonts w:ascii="Times New Roman" w:hAnsi="Times New Roman" w:cs="Times New Roman"/>
            <w:sz w:val="28"/>
            <w:szCs w:val="28"/>
            <w:lang w:val="en-US"/>
          </w:rPr>
          <w:t>https://www.wipo.int/publications/en/details.jsp?id=4330&amp;plang=EN</w:t>
        </w:r>
      </w:hyperlink>
      <w:r w:rsidRPr="0049357A">
        <w:rPr>
          <w:rFonts w:ascii="Times New Roman" w:hAnsi="Times New Roman" w:cs="Times New Roman"/>
          <w:color w:val="000000" w:themeColor="text1"/>
          <w:sz w:val="28"/>
          <w:szCs w:val="28"/>
          <w:lang w:val="en-US"/>
        </w:rPr>
        <w:t xml:space="preserve"> </w:t>
      </w:r>
    </w:p>
    <w:p w14:paraId="0588C5BA"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World Intellectual Property Organization. Global Innovation Index 2019. URL: </w:t>
      </w:r>
      <w:hyperlink r:id="rId170" w:history="1">
        <w:r w:rsidRPr="00B4623F">
          <w:rPr>
            <w:rFonts w:ascii="Times New Roman" w:hAnsi="Times New Roman" w:cs="Times New Roman"/>
            <w:sz w:val="28"/>
            <w:szCs w:val="28"/>
            <w:lang w:val="en-US"/>
          </w:rPr>
          <w:t>https://www.wipo.int/publications/en/details.jsp?id=4434&amp;plang=EN</w:t>
        </w:r>
      </w:hyperlink>
      <w:r w:rsidRPr="0049357A">
        <w:rPr>
          <w:rFonts w:ascii="Times New Roman" w:hAnsi="Times New Roman" w:cs="Times New Roman"/>
          <w:color w:val="000000" w:themeColor="text1"/>
          <w:sz w:val="28"/>
          <w:szCs w:val="28"/>
          <w:lang w:val="en-US"/>
        </w:rPr>
        <w:t xml:space="preserve"> </w:t>
      </w:r>
    </w:p>
    <w:p w14:paraId="6B1615BC"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World Intellectual Property Organization. Global Innovation Index 2020. URL: </w:t>
      </w:r>
      <w:hyperlink r:id="rId171" w:history="1">
        <w:r w:rsidRPr="00B4623F">
          <w:rPr>
            <w:rFonts w:ascii="Times New Roman" w:hAnsi="Times New Roman" w:cs="Times New Roman"/>
            <w:sz w:val="28"/>
            <w:szCs w:val="28"/>
            <w:lang w:val="en-US"/>
          </w:rPr>
          <w:t>https://www.wipo.int/publications/en/details.jsp?id=4514&amp;plang=EN</w:t>
        </w:r>
      </w:hyperlink>
      <w:r w:rsidRPr="0049357A">
        <w:rPr>
          <w:rFonts w:ascii="Times New Roman" w:hAnsi="Times New Roman" w:cs="Times New Roman"/>
          <w:color w:val="000000" w:themeColor="text1"/>
          <w:sz w:val="28"/>
          <w:szCs w:val="28"/>
          <w:lang w:val="en-US"/>
        </w:rPr>
        <w:t xml:space="preserve"> </w:t>
      </w:r>
    </w:p>
    <w:p w14:paraId="494CAABB"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World Intellectual Property Organization. Global Innovation Index 2021, 14th Edition, Tracking Innovation through the COVID-19 Crisis. URL: </w:t>
      </w:r>
      <w:hyperlink r:id="rId172" w:history="1">
        <w:r w:rsidRPr="00B4623F">
          <w:rPr>
            <w:rFonts w:ascii="Times New Roman" w:hAnsi="Times New Roman" w:cs="Times New Roman"/>
            <w:sz w:val="28"/>
            <w:szCs w:val="28"/>
            <w:lang w:val="en-US"/>
          </w:rPr>
          <w:t>https://www.wipo.int/publications/en/details.jsp?id=4560&amp;plang=EN</w:t>
        </w:r>
      </w:hyperlink>
      <w:r w:rsidRPr="0049357A">
        <w:rPr>
          <w:rFonts w:ascii="Times New Roman" w:hAnsi="Times New Roman" w:cs="Times New Roman"/>
          <w:color w:val="000000" w:themeColor="text1"/>
          <w:sz w:val="28"/>
          <w:szCs w:val="28"/>
          <w:lang w:val="en-US"/>
        </w:rPr>
        <w:t xml:space="preserve"> </w:t>
      </w:r>
    </w:p>
    <w:p w14:paraId="1D3EB542" w14:textId="376BB43C"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World Intellectual Property Organization. Global Innovation Index 2022, 15th Edition, </w:t>
      </w:r>
      <w:proofErr w:type="gramStart"/>
      <w:r w:rsidRPr="0049357A">
        <w:rPr>
          <w:rFonts w:ascii="Times New Roman" w:hAnsi="Times New Roman" w:cs="Times New Roman"/>
          <w:color w:val="000000" w:themeColor="text1"/>
          <w:sz w:val="28"/>
          <w:szCs w:val="28"/>
          <w:lang w:val="en-US"/>
        </w:rPr>
        <w:t>What</w:t>
      </w:r>
      <w:proofErr w:type="gramEnd"/>
      <w:r w:rsidR="00B4072F">
        <w:rPr>
          <w:rFonts w:ascii="Times New Roman" w:hAnsi="Times New Roman" w:cs="Times New Roman"/>
          <w:color w:val="000000" w:themeColor="text1"/>
          <w:sz w:val="28"/>
          <w:szCs w:val="28"/>
          <w:lang w:val="en-US"/>
        </w:rPr>
        <w:t xml:space="preserve"> </w:t>
      </w:r>
      <w:r w:rsidRPr="0049357A">
        <w:rPr>
          <w:rFonts w:ascii="Times New Roman" w:hAnsi="Times New Roman" w:cs="Times New Roman"/>
          <w:color w:val="000000" w:themeColor="text1"/>
          <w:sz w:val="28"/>
          <w:szCs w:val="28"/>
          <w:lang w:val="en-US"/>
        </w:rPr>
        <w:t xml:space="preserve">is the future of innovation driven growth? URL: </w:t>
      </w:r>
      <w:hyperlink r:id="rId173" w:history="1">
        <w:r w:rsidRPr="00B4623F">
          <w:rPr>
            <w:rFonts w:ascii="Times New Roman" w:hAnsi="Times New Roman" w:cs="Times New Roman"/>
            <w:sz w:val="28"/>
            <w:szCs w:val="28"/>
            <w:lang w:val="en-US"/>
          </w:rPr>
          <w:t>https://www.wipo.int/publications/en/details.jsp?id=4622&amp;plang=EN</w:t>
        </w:r>
      </w:hyperlink>
      <w:r w:rsidRPr="0049357A">
        <w:rPr>
          <w:rFonts w:ascii="Times New Roman" w:hAnsi="Times New Roman" w:cs="Times New Roman"/>
          <w:color w:val="000000" w:themeColor="text1"/>
          <w:sz w:val="28"/>
          <w:szCs w:val="28"/>
          <w:lang w:val="en-US"/>
        </w:rPr>
        <w:t xml:space="preserve"> </w:t>
      </w:r>
    </w:p>
    <w:p w14:paraId="09BC58FB"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World Intellectual Property Organization. Global Innovation Index 2023, 16th Edition, Innovation in the face of uncertainty. URL: </w:t>
      </w:r>
      <w:hyperlink r:id="rId174" w:history="1">
        <w:r w:rsidRPr="00B4623F">
          <w:rPr>
            <w:rFonts w:ascii="Times New Roman" w:hAnsi="Times New Roman" w:cs="Times New Roman"/>
            <w:sz w:val="28"/>
            <w:szCs w:val="28"/>
            <w:lang w:val="en-US"/>
          </w:rPr>
          <w:t>https://www.wipo.int/publications/en/details.jsp?id=4679&amp;plang=EN</w:t>
        </w:r>
      </w:hyperlink>
      <w:r w:rsidRPr="0049357A">
        <w:rPr>
          <w:rFonts w:ascii="Times New Roman" w:hAnsi="Times New Roman" w:cs="Times New Roman"/>
          <w:color w:val="000000" w:themeColor="text1"/>
          <w:sz w:val="28"/>
          <w:szCs w:val="28"/>
          <w:lang w:val="en-US"/>
        </w:rPr>
        <w:t xml:space="preserve">  </w:t>
      </w:r>
    </w:p>
    <w:p w14:paraId="19AE4AE9" w14:textId="5992B336"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Dutta N., Sobel R.S., Roy S. Entrepreneurship and political risk // Journal of Entrepreneurship and Public Policy. – 2013. - Vol.2, №2. – </w:t>
      </w:r>
      <w:r w:rsidR="00C13276">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.130-143.</w:t>
      </w:r>
    </w:p>
    <w:p w14:paraId="4E7C8930" w14:textId="6E0248B2"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Burger M., </w:t>
      </w:r>
      <w:proofErr w:type="spellStart"/>
      <w:r w:rsidRPr="0049357A">
        <w:rPr>
          <w:rFonts w:ascii="Times New Roman" w:hAnsi="Times New Roman" w:cs="Times New Roman"/>
          <w:color w:val="000000" w:themeColor="text1"/>
          <w:sz w:val="28"/>
          <w:szCs w:val="28"/>
          <w:lang w:val="en-US"/>
        </w:rPr>
        <w:t>Ianchovichina</w:t>
      </w:r>
      <w:proofErr w:type="spellEnd"/>
      <w:r w:rsidRPr="0049357A">
        <w:rPr>
          <w:rFonts w:ascii="Times New Roman" w:hAnsi="Times New Roman" w:cs="Times New Roman"/>
          <w:color w:val="000000" w:themeColor="text1"/>
          <w:sz w:val="28"/>
          <w:szCs w:val="28"/>
          <w:lang w:val="en-US"/>
        </w:rPr>
        <w:t xml:space="preserve"> E., </w:t>
      </w:r>
      <w:proofErr w:type="spellStart"/>
      <w:r w:rsidRPr="0049357A">
        <w:rPr>
          <w:rFonts w:ascii="Times New Roman" w:hAnsi="Times New Roman" w:cs="Times New Roman"/>
          <w:color w:val="000000" w:themeColor="text1"/>
          <w:sz w:val="28"/>
          <w:szCs w:val="28"/>
          <w:lang w:val="en-US"/>
        </w:rPr>
        <w:t>Rijkers</w:t>
      </w:r>
      <w:proofErr w:type="spellEnd"/>
      <w:r w:rsidRPr="0049357A">
        <w:rPr>
          <w:rFonts w:ascii="Times New Roman" w:hAnsi="Times New Roman" w:cs="Times New Roman"/>
          <w:color w:val="000000" w:themeColor="text1"/>
          <w:sz w:val="28"/>
          <w:szCs w:val="28"/>
          <w:lang w:val="en-US"/>
        </w:rPr>
        <w:t xml:space="preserve"> B. Risky Business: Political Instability and Greenfield Foreign Direct Investment in the Arab World // Social Science Research Network. </w:t>
      </w:r>
      <w:r w:rsidR="002C6007">
        <w:fldChar w:fldCharType="begin"/>
      </w:r>
      <w:r w:rsidR="002C6007" w:rsidRPr="00824B4E">
        <w:rPr>
          <w:lang w:val="en-US"/>
        </w:rPr>
        <w:instrText xml:space="preserve"> HYPERLINK "https://ideas.repec.org/s/wbk/wbrwps.html" </w:instrText>
      </w:r>
      <w:r w:rsidR="002C6007">
        <w:fldChar w:fldCharType="separate"/>
      </w:r>
      <w:r w:rsidRPr="0049357A">
        <w:rPr>
          <w:rFonts w:ascii="Times New Roman" w:hAnsi="Times New Roman" w:cs="Times New Roman"/>
          <w:color w:val="000000" w:themeColor="text1"/>
          <w:sz w:val="28"/>
          <w:szCs w:val="28"/>
          <w:lang w:val="en-US"/>
        </w:rPr>
        <w:t>Policy Research Working Paper Series</w:t>
      </w:r>
      <w:r w:rsidR="002C6007">
        <w:rPr>
          <w:rFonts w:ascii="Times New Roman" w:hAnsi="Times New Roman" w:cs="Times New Roman"/>
          <w:color w:val="000000" w:themeColor="text1"/>
          <w:sz w:val="28"/>
          <w:szCs w:val="28"/>
          <w:lang w:val="en-US"/>
        </w:rPr>
        <w:fldChar w:fldCharType="end"/>
      </w:r>
      <w:r w:rsidRPr="0049357A">
        <w:rPr>
          <w:rFonts w:ascii="Times New Roman" w:hAnsi="Times New Roman" w:cs="Times New Roman"/>
          <w:color w:val="000000" w:themeColor="text1"/>
          <w:sz w:val="28"/>
          <w:szCs w:val="28"/>
          <w:lang w:val="en-US"/>
        </w:rPr>
        <w:t xml:space="preserve"> 6716. – </w:t>
      </w:r>
      <w:proofErr w:type="spellStart"/>
      <w:proofErr w:type="gramStart"/>
      <w:r w:rsidRPr="0049357A">
        <w:rPr>
          <w:rFonts w:ascii="Times New Roman" w:hAnsi="Times New Roman" w:cs="Times New Roman"/>
          <w:color w:val="000000" w:themeColor="text1"/>
          <w:sz w:val="28"/>
          <w:szCs w:val="28"/>
          <w:lang w:val="en-US"/>
        </w:rPr>
        <w:t>Giza:The</w:t>
      </w:r>
      <w:proofErr w:type="spellEnd"/>
      <w:proofErr w:type="gramEnd"/>
      <w:r w:rsidRPr="0049357A">
        <w:rPr>
          <w:rFonts w:ascii="Times New Roman" w:hAnsi="Times New Roman" w:cs="Times New Roman"/>
          <w:color w:val="000000" w:themeColor="text1"/>
          <w:sz w:val="28"/>
          <w:szCs w:val="28"/>
          <w:lang w:val="en-US"/>
        </w:rPr>
        <w:t xml:space="preserve"> World Bank., 2013. – </w:t>
      </w:r>
      <w:r w:rsidR="00C13276">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.1-26.</w:t>
      </w:r>
      <w:r w:rsidR="00C13276">
        <w:rPr>
          <w:rFonts w:ascii="Times New Roman" w:hAnsi="Times New Roman" w:cs="Times New Roman"/>
          <w:color w:val="000000" w:themeColor="text1"/>
          <w:sz w:val="28"/>
          <w:szCs w:val="28"/>
          <w:lang w:val="en-US"/>
        </w:rPr>
        <w:t xml:space="preserve"> </w:t>
      </w:r>
    </w:p>
    <w:p w14:paraId="1AA7C74A" w14:textId="774F24C5"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Carmignani</w:t>
      </w:r>
      <w:proofErr w:type="spellEnd"/>
      <w:r w:rsidRPr="0049357A">
        <w:rPr>
          <w:rFonts w:ascii="Times New Roman" w:hAnsi="Times New Roman" w:cs="Times New Roman"/>
          <w:color w:val="000000" w:themeColor="text1"/>
          <w:sz w:val="28"/>
          <w:szCs w:val="28"/>
          <w:lang w:val="en-US"/>
        </w:rPr>
        <w:t xml:space="preserve"> F. Political Instability, Uncertainty and Economics // Journal of Economic Surveys. – 2003. - Vol.17, №1. – </w:t>
      </w:r>
      <w:r w:rsidR="00C13276">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.1-54.</w:t>
      </w:r>
    </w:p>
    <w:p w14:paraId="319514FC"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Jalloh I.J., </w:t>
      </w:r>
      <w:proofErr w:type="spellStart"/>
      <w:r w:rsidRPr="0049357A">
        <w:rPr>
          <w:rFonts w:ascii="Times New Roman" w:hAnsi="Times New Roman" w:cs="Times New Roman"/>
          <w:color w:val="000000" w:themeColor="text1"/>
          <w:sz w:val="28"/>
          <w:szCs w:val="28"/>
          <w:lang w:val="en-US"/>
        </w:rPr>
        <w:t>Djatmika</w:t>
      </w:r>
      <w:proofErr w:type="spellEnd"/>
      <w:r w:rsidRPr="0049357A">
        <w:rPr>
          <w:rFonts w:ascii="Times New Roman" w:hAnsi="Times New Roman" w:cs="Times New Roman"/>
          <w:color w:val="000000" w:themeColor="text1"/>
          <w:sz w:val="28"/>
          <w:szCs w:val="28"/>
          <w:lang w:val="en-US"/>
        </w:rPr>
        <w:t xml:space="preserve"> E.T., Adi Putra </w:t>
      </w:r>
      <w:proofErr w:type="spellStart"/>
      <w:r w:rsidRPr="0049357A">
        <w:rPr>
          <w:rFonts w:ascii="Times New Roman" w:hAnsi="Times New Roman" w:cs="Times New Roman"/>
          <w:color w:val="000000" w:themeColor="text1"/>
          <w:sz w:val="28"/>
          <w:szCs w:val="28"/>
          <w:lang w:val="en-US"/>
        </w:rPr>
        <w:t>W.J.</w:t>
      </w:r>
      <w:hyperlink r:id="rId175" w:history="1">
        <w:r w:rsidRPr="0049357A">
          <w:rPr>
            <w:rFonts w:ascii="Times New Roman" w:hAnsi="Times New Roman" w:cs="Times New Roman"/>
            <w:color w:val="000000" w:themeColor="text1"/>
            <w:sz w:val="28"/>
            <w:szCs w:val="28"/>
            <w:lang w:val="en-US"/>
          </w:rPr>
          <w:t>Political</w:t>
        </w:r>
        <w:proofErr w:type="spellEnd"/>
        <w:r w:rsidRPr="0049357A">
          <w:rPr>
            <w:rFonts w:ascii="Times New Roman" w:hAnsi="Times New Roman" w:cs="Times New Roman"/>
            <w:color w:val="000000" w:themeColor="text1"/>
            <w:sz w:val="28"/>
            <w:szCs w:val="28"/>
            <w:lang w:val="en-US"/>
          </w:rPr>
          <w:t xml:space="preserve"> Instability and its Effects on International Companies: A Case Study on Sierra Rutile Limited (Sierra Leone)</w:t>
        </w:r>
      </w:hyperlink>
      <w:r w:rsidRPr="0049357A">
        <w:rPr>
          <w:rFonts w:ascii="Times New Roman" w:hAnsi="Times New Roman" w:cs="Times New Roman"/>
          <w:color w:val="000000" w:themeColor="text1"/>
          <w:sz w:val="28"/>
          <w:szCs w:val="28"/>
          <w:lang w:val="en-US"/>
        </w:rPr>
        <w:t xml:space="preserve"> // </w:t>
      </w:r>
      <w:hyperlink r:id="rId176" w:history="1">
        <w:r w:rsidRPr="0049357A">
          <w:rPr>
            <w:rFonts w:ascii="Times New Roman" w:hAnsi="Times New Roman" w:cs="Times New Roman"/>
            <w:color w:val="000000" w:themeColor="text1"/>
            <w:sz w:val="28"/>
            <w:szCs w:val="28"/>
            <w:lang w:val="en-US"/>
          </w:rPr>
          <w:t>International Journal of Academic Research in Business and Social Sciences</w:t>
        </w:r>
      </w:hyperlink>
      <w:r w:rsidRPr="0049357A">
        <w:rPr>
          <w:rFonts w:ascii="Times New Roman" w:hAnsi="Times New Roman" w:cs="Times New Roman"/>
          <w:color w:val="000000" w:themeColor="text1"/>
          <w:sz w:val="28"/>
          <w:szCs w:val="28"/>
          <w:lang w:val="en-US"/>
        </w:rPr>
        <w:t xml:space="preserve">. – 2017. – Vol.7, №6. – P.379-391 </w:t>
      </w:r>
    </w:p>
    <w:p w14:paraId="3F52DCBE"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Grillo F., </w:t>
      </w:r>
      <w:proofErr w:type="spellStart"/>
      <w:r w:rsidRPr="0049357A">
        <w:rPr>
          <w:rFonts w:ascii="Times New Roman" w:hAnsi="Times New Roman" w:cs="Times New Roman"/>
          <w:color w:val="000000" w:themeColor="text1"/>
          <w:sz w:val="28"/>
          <w:szCs w:val="28"/>
          <w:lang w:val="en-US"/>
        </w:rPr>
        <w:t>Nanetti</w:t>
      </w:r>
      <w:proofErr w:type="spellEnd"/>
      <w:r w:rsidRPr="0049357A">
        <w:rPr>
          <w:rFonts w:ascii="Times New Roman" w:hAnsi="Times New Roman" w:cs="Times New Roman"/>
          <w:color w:val="000000" w:themeColor="text1"/>
          <w:sz w:val="28"/>
          <w:szCs w:val="28"/>
          <w:lang w:val="en-US"/>
        </w:rPr>
        <w:t xml:space="preserve"> R.Y. China: Advantages and Risks of the Entrepreneurial State // Democracy and Growth in the Twenty-first Century. – Cham: Palgrave Macmillan. -2018. – P.83-164. </w:t>
      </w:r>
    </w:p>
    <w:p w14:paraId="68EB2CA7" w14:textId="70A64176"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Boettke</w:t>
      </w:r>
      <w:proofErr w:type="spellEnd"/>
      <w:r w:rsidRPr="0049357A">
        <w:rPr>
          <w:rFonts w:ascii="Times New Roman" w:hAnsi="Times New Roman" w:cs="Times New Roman"/>
          <w:color w:val="000000" w:themeColor="text1"/>
          <w:sz w:val="28"/>
          <w:szCs w:val="28"/>
          <w:lang w:val="en-US"/>
        </w:rPr>
        <w:t xml:space="preserve">, P. J., Coyne, C. J. Context Matters: Institutions and Entrepreneurship [Electronic resource] // Foundations and Trends® in </w:t>
      </w:r>
      <w:r w:rsidRPr="0049357A">
        <w:rPr>
          <w:rFonts w:ascii="Times New Roman" w:hAnsi="Times New Roman" w:cs="Times New Roman"/>
          <w:color w:val="000000" w:themeColor="text1"/>
          <w:sz w:val="28"/>
          <w:szCs w:val="28"/>
          <w:lang w:val="en-US"/>
        </w:rPr>
        <w:lastRenderedPageBreak/>
        <w:t xml:space="preserve">Entrepreneurship. – 2009. – Vol. 5, No. 3. – </w:t>
      </w:r>
      <w:r w:rsidR="00C13276">
        <w:rPr>
          <w:rFonts w:ascii="Times New Roman" w:hAnsi="Times New Roman" w:cs="Times New Roman"/>
          <w:color w:val="000000" w:themeColor="text1"/>
          <w:sz w:val="28"/>
          <w:szCs w:val="28"/>
          <w:lang w:val="en-US"/>
        </w:rPr>
        <w:t>pp</w:t>
      </w:r>
      <w:r w:rsidRPr="0049357A">
        <w:rPr>
          <w:rFonts w:ascii="Times New Roman" w:hAnsi="Times New Roman" w:cs="Times New Roman"/>
          <w:color w:val="000000" w:themeColor="text1"/>
          <w:sz w:val="28"/>
          <w:szCs w:val="28"/>
          <w:lang w:val="en-US"/>
        </w:rPr>
        <w:t xml:space="preserve">. 135–209. – Available at: </w:t>
      </w:r>
      <w:hyperlink r:id="rId177" w:tgtFrame="_new" w:history="1">
        <w:r w:rsidRPr="0049357A">
          <w:rPr>
            <w:rFonts w:ascii="Times New Roman" w:hAnsi="Times New Roman" w:cs="Times New Roman"/>
            <w:color w:val="000000" w:themeColor="text1"/>
            <w:sz w:val="28"/>
            <w:szCs w:val="28"/>
            <w:lang w:val="en-US"/>
          </w:rPr>
          <w:t>http://dx.doi.org/10.1561/0300000018</w:t>
        </w:r>
      </w:hyperlink>
      <w:r w:rsidRPr="0049357A">
        <w:rPr>
          <w:rFonts w:ascii="Times New Roman" w:hAnsi="Times New Roman" w:cs="Times New Roman"/>
          <w:color w:val="000000" w:themeColor="text1"/>
          <w:sz w:val="28"/>
          <w:szCs w:val="28"/>
          <w:lang w:val="en-US"/>
        </w:rPr>
        <w:t>.</w:t>
      </w:r>
    </w:p>
    <w:p w14:paraId="211CF563"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Aidis</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Ruta</w:t>
      </w:r>
      <w:proofErr w:type="spellEnd"/>
      <w:r w:rsidRPr="0049357A">
        <w:rPr>
          <w:rFonts w:ascii="Times New Roman" w:hAnsi="Times New Roman" w:cs="Times New Roman"/>
          <w:color w:val="000000" w:themeColor="text1"/>
          <w:sz w:val="28"/>
          <w:szCs w:val="28"/>
          <w:lang w:val="en-US"/>
        </w:rPr>
        <w:t xml:space="preserve"> and Estrin, Saul and Estrin, Saul and Mickiewicz, Tomasz Marek, Entrepreneurial Entry: Which Institutions </w:t>
      </w:r>
      <w:proofErr w:type="gramStart"/>
      <w:r w:rsidRPr="0049357A">
        <w:rPr>
          <w:rFonts w:ascii="Times New Roman" w:hAnsi="Times New Roman" w:cs="Times New Roman"/>
          <w:color w:val="000000" w:themeColor="text1"/>
          <w:sz w:val="28"/>
          <w:szCs w:val="28"/>
          <w:lang w:val="en-US"/>
        </w:rPr>
        <w:t>Matter?.</w:t>
      </w:r>
      <w:proofErr w:type="gramEnd"/>
      <w:r w:rsidRPr="0049357A">
        <w:rPr>
          <w:rFonts w:ascii="Times New Roman" w:hAnsi="Times New Roman" w:cs="Times New Roman"/>
          <w:color w:val="000000" w:themeColor="text1"/>
          <w:sz w:val="28"/>
          <w:szCs w:val="28"/>
          <w:lang w:val="en-US"/>
        </w:rPr>
        <w:t xml:space="preserve"> IZA Discussion Paper No. 4123, Available at SSRN: </w:t>
      </w:r>
      <w:hyperlink r:id="rId178" w:tgtFrame="_blank" w:history="1">
        <w:r w:rsidRPr="0049357A">
          <w:rPr>
            <w:rFonts w:ascii="Times New Roman" w:hAnsi="Times New Roman" w:cs="Times New Roman"/>
            <w:color w:val="000000" w:themeColor="text1"/>
            <w:sz w:val="28"/>
            <w:szCs w:val="28"/>
            <w:lang w:val="en-US"/>
          </w:rPr>
          <w:t>https://ssrn.com/abstract=1391795</w:t>
        </w:r>
      </w:hyperlink>
      <w:r w:rsidRPr="0049357A">
        <w:rPr>
          <w:rFonts w:ascii="Times New Roman" w:hAnsi="Times New Roman" w:cs="Times New Roman"/>
          <w:color w:val="000000" w:themeColor="text1"/>
          <w:sz w:val="28"/>
          <w:szCs w:val="28"/>
          <w:lang w:val="en-US"/>
        </w:rPr>
        <w:t>.</w:t>
      </w:r>
    </w:p>
    <w:p w14:paraId="6EFE8DF6"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Conteh, J. ‘Funds of Knowledge’ for Achievement and Success: Multilingual Pedagogies for Mainstream Primary Classrooms in England // International Perspectives on ELT Classroom Interaction / Ed. by C. J. Howe &amp; K. H. Hall. – London: Palgrave Macmillan, 2015. – P. 49–63. – DOI: </w:t>
      </w:r>
      <w:hyperlink r:id="rId179" w:tgtFrame="_new" w:history="1">
        <w:r w:rsidRPr="0049357A">
          <w:rPr>
            <w:rFonts w:ascii="Times New Roman" w:hAnsi="Times New Roman" w:cs="Times New Roman"/>
            <w:color w:val="000000" w:themeColor="text1"/>
            <w:sz w:val="28"/>
            <w:szCs w:val="28"/>
            <w:lang w:val="en-US"/>
          </w:rPr>
          <w:t>10.1057/9781137340733_4</w:t>
        </w:r>
      </w:hyperlink>
      <w:r w:rsidRPr="0049357A">
        <w:rPr>
          <w:rFonts w:ascii="Times New Roman" w:hAnsi="Times New Roman" w:cs="Times New Roman"/>
          <w:color w:val="000000" w:themeColor="text1"/>
          <w:sz w:val="28"/>
          <w:szCs w:val="28"/>
          <w:lang w:val="en-US"/>
        </w:rPr>
        <w:t>.</w:t>
      </w:r>
    </w:p>
    <w:p w14:paraId="3698FCA5"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Ait</w:t>
      </w:r>
      <w:proofErr w:type="spellEnd"/>
      <w:r w:rsidRPr="0049357A">
        <w:rPr>
          <w:rFonts w:ascii="Times New Roman" w:hAnsi="Times New Roman" w:cs="Times New Roman"/>
          <w:color w:val="000000" w:themeColor="text1"/>
          <w:sz w:val="28"/>
          <w:szCs w:val="28"/>
          <w:lang w:val="en-US"/>
        </w:rPr>
        <w:t xml:space="preserve"> A., </w:t>
      </w:r>
      <w:proofErr w:type="spellStart"/>
      <w:r w:rsidRPr="0049357A">
        <w:rPr>
          <w:rFonts w:ascii="Times New Roman" w:hAnsi="Times New Roman" w:cs="Times New Roman"/>
          <w:color w:val="000000" w:themeColor="text1"/>
          <w:sz w:val="28"/>
          <w:szCs w:val="28"/>
          <w:lang w:val="en-US"/>
        </w:rPr>
        <w:t>Mhamed</w:t>
      </w:r>
      <w:proofErr w:type="spellEnd"/>
      <w:r w:rsidRPr="0049357A">
        <w:rPr>
          <w:rFonts w:ascii="Times New Roman" w:hAnsi="Times New Roman" w:cs="Times New Roman"/>
          <w:color w:val="000000" w:themeColor="text1"/>
          <w:sz w:val="28"/>
          <w:szCs w:val="28"/>
          <w:lang w:val="en-US"/>
        </w:rPr>
        <w:t xml:space="preserve"> S., </w:t>
      </w:r>
      <w:proofErr w:type="spellStart"/>
      <w:r w:rsidRPr="0049357A">
        <w:rPr>
          <w:rFonts w:ascii="Times New Roman" w:hAnsi="Times New Roman" w:cs="Times New Roman"/>
          <w:color w:val="000000" w:themeColor="text1"/>
          <w:sz w:val="28"/>
          <w:szCs w:val="28"/>
          <w:lang w:val="en-US"/>
        </w:rPr>
        <w:t>Vossensteyn</w:t>
      </w:r>
      <w:proofErr w:type="spellEnd"/>
      <w:r w:rsidRPr="0049357A">
        <w:rPr>
          <w:rFonts w:ascii="Times New Roman" w:hAnsi="Times New Roman" w:cs="Times New Roman"/>
          <w:color w:val="000000" w:themeColor="text1"/>
          <w:sz w:val="28"/>
          <w:szCs w:val="28"/>
          <w:lang w:val="en-US"/>
        </w:rPr>
        <w:t xml:space="preserve"> H., </w:t>
      </w:r>
      <w:proofErr w:type="spellStart"/>
      <w:r w:rsidRPr="0049357A">
        <w:rPr>
          <w:rFonts w:ascii="Times New Roman" w:hAnsi="Times New Roman" w:cs="Times New Roman"/>
          <w:color w:val="000000" w:themeColor="text1"/>
          <w:sz w:val="28"/>
          <w:szCs w:val="28"/>
          <w:lang w:val="en-US"/>
        </w:rPr>
        <w:t>Kasa</w:t>
      </w:r>
      <w:proofErr w:type="spellEnd"/>
      <w:r w:rsidRPr="0049357A">
        <w:rPr>
          <w:rFonts w:ascii="Times New Roman" w:hAnsi="Times New Roman" w:cs="Times New Roman"/>
          <w:color w:val="000000" w:themeColor="text1"/>
          <w:sz w:val="28"/>
          <w:szCs w:val="28"/>
          <w:lang w:val="en-US"/>
        </w:rPr>
        <w:t xml:space="preserve"> R. Stability, performance and innovation orientation of a higher education funding model in Kazakhstan //International Journal of Educational Development. – 2021. Vol.81. – P. 1-6.</w:t>
      </w:r>
    </w:p>
    <w:p w14:paraId="26211D89"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Almaqtari</w:t>
      </w:r>
      <w:proofErr w:type="spellEnd"/>
      <w:r w:rsidRPr="0049357A">
        <w:rPr>
          <w:rFonts w:ascii="Times New Roman" w:hAnsi="Times New Roman" w:cs="Times New Roman"/>
          <w:color w:val="000000" w:themeColor="text1"/>
          <w:sz w:val="28"/>
          <w:szCs w:val="28"/>
          <w:lang w:val="en-US"/>
        </w:rPr>
        <w:t xml:space="preserve"> F.A., Elsheikh T, Al-</w:t>
      </w:r>
      <w:proofErr w:type="spellStart"/>
      <w:r w:rsidRPr="0049357A">
        <w:rPr>
          <w:rFonts w:ascii="Times New Roman" w:hAnsi="Times New Roman" w:cs="Times New Roman"/>
          <w:color w:val="000000" w:themeColor="text1"/>
          <w:sz w:val="28"/>
          <w:szCs w:val="28"/>
          <w:lang w:val="en-US"/>
        </w:rPr>
        <w:t>Hattami</w:t>
      </w:r>
      <w:proofErr w:type="spellEnd"/>
      <w:r w:rsidRPr="0049357A">
        <w:rPr>
          <w:rFonts w:ascii="Times New Roman" w:hAnsi="Times New Roman" w:cs="Times New Roman"/>
          <w:color w:val="000000" w:themeColor="text1"/>
          <w:sz w:val="28"/>
          <w:szCs w:val="28"/>
          <w:lang w:val="en-US"/>
        </w:rPr>
        <w:t xml:space="preserve"> H.A., Mishra N. The impact of board characteristics on environmentally friendly production: A cross country study in Asia and Europe // Journal of Cleaner Production. – 2023. – Vol. 392. – P. 1-18. </w:t>
      </w:r>
    </w:p>
    <w:p w14:paraId="5F76D135" w14:textId="77777777" w:rsidR="00F14E91" w:rsidRPr="0049357A" w:rsidRDefault="002C6007" w:rsidP="00015249">
      <w:pPr>
        <w:pStyle w:val="af"/>
        <w:numPr>
          <w:ilvl w:val="0"/>
          <w:numId w:val="34"/>
        </w:numPr>
        <w:ind w:left="0" w:firstLine="709"/>
        <w:jc w:val="both"/>
        <w:rPr>
          <w:rFonts w:ascii="Times New Roman" w:hAnsi="Times New Roman" w:cs="Times New Roman"/>
          <w:color w:val="000000" w:themeColor="text1"/>
          <w:sz w:val="28"/>
          <w:szCs w:val="28"/>
          <w:lang w:val="en-US"/>
        </w:rPr>
      </w:pPr>
      <w:hyperlink r:id="rId180" w:tooltip="Faozi A. Almaqtari" w:history="1">
        <w:proofErr w:type="spellStart"/>
        <w:r w:rsidR="00F14E91" w:rsidRPr="0049357A">
          <w:rPr>
            <w:rFonts w:ascii="Times New Roman" w:hAnsi="Times New Roman" w:cs="Times New Roman"/>
            <w:color w:val="000000" w:themeColor="text1"/>
            <w:sz w:val="28"/>
            <w:szCs w:val="28"/>
            <w:lang w:val="en-US"/>
          </w:rPr>
          <w:t>Almaqtari</w:t>
        </w:r>
        <w:proofErr w:type="spellEnd"/>
        <w:r w:rsidR="00F14E91" w:rsidRPr="0049357A">
          <w:rPr>
            <w:rFonts w:ascii="Times New Roman" w:hAnsi="Times New Roman" w:cs="Times New Roman"/>
            <w:color w:val="000000" w:themeColor="text1"/>
            <w:sz w:val="28"/>
            <w:szCs w:val="28"/>
            <w:lang w:val="en-US"/>
          </w:rPr>
          <w:t xml:space="preserve"> F.A.</w:t>
        </w:r>
      </w:hyperlink>
      <w:r w:rsidR="00F14E91" w:rsidRPr="0049357A">
        <w:rPr>
          <w:rFonts w:ascii="Times New Roman" w:hAnsi="Times New Roman" w:cs="Times New Roman"/>
          <w:color w:val="000000" w:themeColor="text1"/>
          <w:sz w:val="28"/>
          <w:szCs w:val="28"/>
          <w:lang w:val="en-US"/>
        </w:rPr>
        <w:t>, </w:t>
      </w:r>
      <w:hyperlink r:id="rId181" w:tooltip="Tamer Elsheikh" w:history="1">
        <w:r w:rsidR="00F14E91" w:rsidRPr="0049357A">
          <w:rPr>
            <w:rFonts w:ascii="Times New Roman" w:hAnsi="Times New Roman" w:cs="Times New Roman"/>
            <w:color w:val="000000" w:themeColor="text1"/>
            <w:sz w:val="28"/>
            <w:szCs w:val="28"/>
            <w:lang w:val="en-US"/>
          </w:rPr>
          <w:t>Elsheikh T.</w:t>
        </w:r>
      </w:hyperlink>
      <w:r w:rsidR="00F14E91" w:rsidRPr="0049357A">
        <w:rPr>
          <w:rFonts w:ascii="Times New Roman" w:hAnsi="Times New Roman" w:cs="Times New Roman"/>
          <w:color w:val="000000" w:themeColor="text1"/>
          <w:sz w:val="28"/>
          <w:szCs w:val="28"/>
          <w:lang w:val="en-US"/>
        </w:rPr>
        <w:t>, </w:t>
      </w:r>
      <w:proofErr w:type="spellStart"/>
      <w:r w:rsidR="00C25782">
        <w:fldChar w:fldCharType="begin"/>
      </w:r>
      <w:r w:rsidR="00C25782" w:rsidRPr="008838AE">
        <w:rPr>
          <w:lang w:val="en-US"/>
        </w:rPr>
        <w:instrText xml:space="preserve"> HYPERLINK "https://www.emerald.com/insight/search?q=Khaled%20Hussainey" \o "Khaled Hussainey" </w:instrText>
      </w:r>
      <w:r w:rsidR="00C25782">
        <w:fldChar w:fldCharType="separate"/>
      </w:r>
      <w:r w:rsidR="00F14E91" w:rsidRPr="0049357A">
        <w:rPr>
          <w:rFonts w:ascii="Times New Roman" w:hAnsi="Times New Roman" w:cs="Times New Roman"/>
          <w:color w:val="000000" w:themeColor="text1"/>
          <w:sz w:val="28"/>
          <w:szCs w:val="28"/>
          <w:lang w:val="en-US"/>
        </w:rPr>
        <w:t>Hussainey</w:t>
      </w:r>
      <w:proofErr w:type="spellEnd"/>
      <w:r w:rsidR="00F14E91" w:rsidRPr="0049357A">
        <w:rPr>
          <w:rFonts w:ascii="Times New Roman" w:hAnsi="Times New Roman" w:cs="Times New Roman"/>
          <w:color w:val="000000" w:themeColor="text1"/>
          <w:sz w:val="28"/>
          <w:szCs w:val="28"/>
          <w:lang w:val="en-US"/>
        </w:rPr>
        <w:t xml:space="preserve"> K.</w:t>
      </w:r>
      <w:r w:rsidR="00C25782">
        <w:rPr>
          <w:rFonts w:ascii="Times New Roman" w:hAnsi="Times New Roman" w:cs="Times New Roman"/>
          <w:color w:val="000000" w:themeColor="text1"/>
          <w:sz w:val="28"/>
          <w:szCs w:val="28"/>
          <w:lang w:val="en-US"/>
        </w:rPr>
        <w:fldChar w:fldCharType="end"/>
      </w:r>
      <w:r w:rsidR="00F14E91" w:rsidRPr="0049357A">
        <w:rPr>
          <w:rFonts w:ascii="Times New Roman" w:hAnsi="Times New Roman" w:cs="Times New Roman"/>
          <w:color w:val="000000" w:themeColor="text1"/>
          <w:sz w:val="28"/>
          <w:szCs w:val="28"/>
          <w:lang w:val="en-US"/>
        </w:rPr>
        <w:t>,  </w:t>
      </w:r>
      <w:hyperlink r:id="rId182" w:tooltip="Mohammed A. Al-Bukhrani" w:history="1">
        <w:r w:rsidR="00F14E91" w:rsidRPr="0049357A">
          <w:rPr>
            <w:rFonts w:ascii="Times New Roman" w:hAnsi="Times New Roman" w:cs="Times New Roman"/>
            <w:color w:val="000000" w:themeColor="text1"/>
            <w:sz w:val="28"/>
            <w:szCs w:val="28"/>
            <w:lang w:val="en-US"/>
          </w:rPr>
          <w:t>Al-</w:t>
        </w:r>
        <w:proofErr w:type="spellStart"/>
        <w:r w:rsidR="00F14E91" w:rsidRPr="0049357A">
          <w:rPr>
            <w:rFonts w:ascii="Times New Roman" w:hAnsi="Times New Roman" w:cs="Times New Roman"/>
            <w:color w:val="000000" w:themeColor="text1"/>
            <w:sz w:val="28"/>
            <w:szCs w:val="28"/>
            <w:lang w:val="en-US"/>
          </w:rPr>
          <w:t>Bukhrani</w:t>
        </w:r>
        <w:proofErr w:type="spellEnd"/>
        <w:r w:rsidR="00F14E91" w:rsidRPr="0049357A">
          <w:rPr>
            <w:rFonts w:ascii="Times New Roman" w:hAnsi="Times New Roman" w:cs="Times New Roman"/>
            <w:color w:val="000000" w:themeColor="text1"/>
            <w:sz w:val="28"/>
            <w:szCs w:val="28"/>
            <w:lang w:val="en-US"/>
          </w:rPr>
          <w:t xml:space="preserve"> M.A.</w:t>
        </w:r>
      </w:hyperlink>
      <w:r w:rsidR="00F14E91" w:rsidRPr="0049357A">
        <w:rPr>
          <w:rFonts w:ascii="Times New Roman" w:hAnsi="Times New Roman" w:cs="Times New Roman"/>
          <w:color w:val="000000" w:themeColor="text1"/>
          <w:sz w:val="28"/>
          <w:szCs w:val="28"/>
          <w:lang w:val="en-US"/>
        </w:rPr>
        <w:t> Country-level governance and sustainable development goals: implications for firms’ sustainability performance // </w:t>
      </w:r>
      <w:hyperlink r:id="rId183" w:history="1">
        <w:r w:rsidR="00F14E91" w:rsidRPr="0049357A">
          <w:rPr>
            <w:rFonts w:ascii="Times New Roman" w:hAnsi="Times New Roman" w:cs="Times New Roman"/>
            <w:color w:val="000000" w:themeColor="text1"/>
            <w:sz w:val="28"/>
            <w:szCs w:val="28"/>
            <w:lang w:val="en-US"/>
          </w:rPr>
          <w:t>Studies in Economics and Finance</w:t>
        </w:r>
      </w:hyperlink>
      <w:r w:rsidR="00F14E91" w:rsidRPr="0049357A">
        <w:rPr>
          <w:rFonts w:ascii="Times New Roman" w:hAnsi="Times New Roman" w:cs="Times New Roman"/>
          <w:color w:val="000000" w:themeColor="text1"/>
          <w:sz w:val="28"/>
          <w:szCs w:val="28"/>
          <w:lang w:val="en-US"/>
        </w:rPr>
        <w:t xml:space="preserve">. – 2024. - Vol.41, №3. – P.684-723.  </w:t>
      </w:r>
    </w:p>
    <w:p w14:paraId="6C44C02F"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Taikulakova</w:t>
      </w:r>
      <w:proofErr w:type="spellEnd"/>
      <w:r w:rsidRPr="0049357A">
        <w:rPr>
          <w:rFonts w:ascii="Times New Roman" w:hAnsi="Times New Roman" w:cs="Times New Roman"/>
          <w:color w:val="000000" w:themeColor="text1"/>
          <w:sz w:val="28"/>
          <w:szCs w:val="28"/>
          <w:lang w:val="en-US"/>
        </w:rPr>
        <w:t xml:space="preserve"> G.S, </w:t>
      </w:r>
      <w:proofErr w:type="spellStart"/>
      <w:r w:rsidRPr="0049357A">
        <w:rPr>
          <w:rFonts w:ascii="Times New Roman" w:hAnsi="Times New Roman" w:cs="Times New Roman"/>
          <w:color w:val="000000" w:themeColor="text1"/>
          <w:sz w:val="28"/>
          <w:szCs w:val="28"/>
          <w:lang w:val="en-US"/>
        </w:rPr>
        <w:t>Myrzakhmet</w:t>
      </w:r>
      <w:proofErr w:type="spellEnd"/>
      <w:r w:rsidRPr="0049357A">
        <w:rPr>
          <w:rFonts w:ascii="Times New Roman" w:hAnsi="Times New Roman" w:cs="Times New Roman"/>
          <w:color w:val="000000" w:themeColor="text1"/>
          <w:sz w:val="28"/>
          <w:szCs w:val="28"/>
          <w:lang w:val="en-US"/>
        </w:rPr>
        <w:t xml:space="preserve"> M.K, </w:t>
      </w:r>
      <w:proofErr w:type="spellStart"/>
      <w:r w:rsidRPr="0049357A">
        <w:rPr>
          <w:rFonts w:ascii="Times New Roman" w:hAnsi="Times New Roman" w:cs="Times New Roman"/>
          <w:color w:val="000000" w:themeColor="text1"/>
          <w:sz w:val="28"/>
          <w:szCs w:val="28"/>
          <w:lang w:val="en-US"/>
        </w:rPr>
        <w:t>Murzakhmetov</w:t>
      </w:r>
      <w:proofErr w:type="spellEnd"/>
      <w:r w:rsidRPr="0049357A">
        <w:rPr>
          <w:rFonts w:ascii="Times New Roman" w:hAnsi="Times New Roman" w:cs="Times New Roman"/>
          <w:color w:val="000000" w:themeColor="text1"/>
          <w:sz w:val="28"/>
          <w:szCs w:val="28"/>
          <w:lang w:val="en-US"/>
        </w:rPr>
        <w:t xml:space="preserve"> B.K., </w:t>
      </w:r>
      <w:proofErr w:type="spellStart"/>
      <w:r w:rsidRPr="0049357A">
        <w:rPr>
          <w:rFonts w:ascii="Times New Roman" w:hAnsi="Times New Roman" w:cs="Times New Roman"/>
          <w:color w:val="000000" w:themeColor="text1"/>
          <w:sz w:val="28"/>
          <w:szCs w:val="28"/>
          <w:lang w:val="en-US"/>
        </w:rPr>
        <w:t>Bazarhanova</w:t>
      </w:r>
      <w:proofErr w:type="spellEnd"/>
      <w:r w:rsidRPr="0049357A">
        <w:rPr>
          <w:rFonts w:ascii="Times New Roman" w:hAnsi="Times New Roman" w:cs="Times New Roman"/>
          <w:color w:val="000000" w:themeColor="text1"/>
          <w:sz w:val="28"/>
          <w:szCs w:val="28"/>
          <w:lang w:val="en-US"/>
        </w:rPr>
        <w:t xml:space="preserve"> G.O. Analysis of the Entrepreneurial Activity of Regional Universities in the Process of Creation Industrial Clusters // Economics: the strategy and practice. – 2024. – Vol.19, №2. – P.100-122.</w:t>
      </w:r>
    </w:p>
    <w:p w14:paraId="248DB46D"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proofErr w:type="gramStart"/>
      <w:r w:rsidRPr="0049357A">
        <w:rPr>
          <w:rFonts w:ascii="Times New Roman" w:hAnsi="Times New Roman" w:cs="Times New Roman"/>
          <w:color w:val="000000" w:themeColor="text1"/>
          <w:sz w:val="28"/>
          <w:szCs w:val="28"/>
          <w:lang w:val="en-US"/>
        </w:rPr>
        <w:t>Muscio</w:t>
      </w:r>
      <w:proofErr w:type="spellEnd"/>
      <w:r w:rsidRPr="0049357A">
        <w:rPr>
          <w:rFonts w:ascii="Times New Roman" w:hAnsi="Times New Roman" w:cs="Times New Roman"/>
          <w:color w:val="000000" w:themeColor="text1"/>
          <w:sz w:val="28"/>
          <w:szCs w:val="28"/>
          <w:lang w:val="en-US"/>
        </w:rPr>
        <w:t xml:space="preserve">  A.</w:t>
      </w:r>
      <w:proofErr w:type="gramEnd"/>
      <w:r w:rsidRPr="0049357A">
        <w:rPr>
          <w:rFonts w:ascii="Times New Roman" w:hAnsi="Times New Roman" w:cs="Times New Roman"/>
          <w:color w:val="000000" w:themeColor="text1"/>
          <w:sz w:val="28"/>
          <w:szCs w:val="28"/>
          <w:lang w:val="en-US"/>
        </w:rPr>
        <w:t xml:space="preserve"> SMEs access to technology transfer </w:t>
      </w:r>
      <w:proofErr w:type="spellStart"/>
      <w:r w:rsidRPr="0049357A">
        <w:rPr>
          <w:rFonts w:ascii="Times New Roman" w:hAnsi="Times New Roman" w:cs="Times New Roman"/>
          <w:color w:val="000000" w:themeColor="text1"/>
          <w:sz w:val="28"/>
          <w:szCs w:val="28"/>
          <w:lang w:val="en-US"/>
        </w:rPr>
        <w:t>centres</w:t>
      </w:r>
      <w:proofErr w:type="spellEnd"/>
      <w:r w:rsidRPr="0049357A">
        <w:rPr>
          <w:rFonts w:ascii="Times New Roman" w:hAnsi="Times New Roman" w:cs="Times New Roman"/>
          <w:color w:val="000000" w:themeColor="text1"/>
          <w:sz w:val="28"/>
          <w:szCs w:val="28"/>
          <w:lang w:val="en-US"/>
        </w:rPr>
        <w:t xml:space="preserve">: Evidence from the Lombardy region (Italy) //Economia e </w:t>
      </w:r>
      <w:proofErr w:type="spellStart"/>
      <w:r w:rsidRPr="0049357A">
        <w:rPr>
          <w:rFonts w:ascii="Times New Roman" w:hAnsi="Times New Roman" w:cs="Times New Roman"/>
          <w:color w:val="000000" w:themeColor="text1"/>
          <w:sz w:val="28"/>
          <w:szCs w:val="28"/>
          <w:lang w:val="en-US"/>
        </w:rPr>
        <w:t>Politica</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Industriale</w:t>
      </w:r>
      <w:proofErr w:type="spellEnd"/>
      <w:r w:rsidRPr="0049357A">
        <w:rPr>
          <w:rFonts w:ascii="Times New Roman" w:hAnsi="Times New Roman" w:cs="Times New Roman"/>
          <w:color w:val="000000" w:themeColor="text1"/>
          <w:sz w:val="28"/>
          <w:szCs w:val="28"/>
          <w:lang w:val="en-US"/>
        </w:rPr>
        <w:t>. – 2005. – Vol.2. – P.135-161.</w:t>
      </w:r>
    </w:p>
    <w:p w14:paraId="6B4F7C0F"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Breschi</w:t>
      </w:r>
      <w:proofErr w:type="spellEnd"/>
      <w:r w:rsidRPr="0049357A">
        <w:rPr>
          <w:rFonts w:ascii="Times New Roman" w:hAnsi="Times New Roman" w:cs="Times New Roman"/>
          <w:color w:val="000000" w:themeColor="text1"/>
          <w:sz w:val="28"/>
          <w:szCs w:val="28"/>
          <w:lang w:val="en-US"/>
        </w:rPr>
        <w:t xml:space="preserve"> S., </w:t>
      </w:r>
      <w:proofErr w:type="spellStart"/>
      <w:r w:rsidRPr="0049357A">
        <w:rPr>
          <w:rFonts w:ascii="Times New Roman" w:hAnsi="Times New Roman" w:cs="Times New Roman"/>
          <w:color w:val="000000" w:themeColor="text1"/>
          <w:sz w:val="28"/>
          <w:szCs w:val="28"/>
          <w:lang w:val="en-US"/>
        </w:rPr>
        <w:t>Lissoni</w:t>
      </w:r>
      <w:proofErr w:type="spellEnd"/>
      <w:r w:rsidRPr="0049357A">
        <w:rPr>
          <w:rFonts w:ascii="Times New Roman" w:hAnsi="Times New Roman" w:cs="Times New Roman"/>
          <w:color w:val="000000" w:themeColor="text1"/>
          <w:sz w:val="28"/>
          <w:szCs w:val="28"/>
          <w:lang w:val="en-US"/>
        </w:rPr>
        <w:t xml:space="preserve"> F., </w:t>
      </w:r>
      <w:proofErr w:type="spellStart"/>
      <w:r w:rsidRPr="0049357A">
        <w:rPr>
          <w:rFonts w:ascii="Times New Roman" w:hAnsi="Times New Roman" w:cs="Times New Roman"/>
          <w:color w:val="000000" w:themeColor="text1"/>
          <w:sz w:val="28"/>
          <w:szCs w:val="28"/>
          <w:lang w:val="en-US"/>
        </w:rPr>
        <w:t>Orsenigo</w:t>
      </w:r>
      <w:proofErr w:type="spellEnd"/>
      <w:r w:rsidRPr="0049357A">
        <w:rPr>
          <w:rFonts w:ascii="Times New Roman" w:hAnsi="Times New Roman" w:cs="Times New Roman"/>
          <w:color w:val="000000" w:themeColor="text1"/>
          <w:sz w:val="28"/>
          <w:szCs w:val="28"/>
          <w:lang w:val="en-US"/>
        </w:rPr>
        <w:t xml:space="preserve"> L. Success and failure in the development of biotechnology clusters: The case of Lombardy // Biotechnology in Comparative Perspective. – London: </w:t>
      </w:r>
      <w:proofErr w:type="spellStart"/>
      <w:r w:rsidRPr="0049357A">
        <w:rPr>
          <w:rFonts w:ascii="Times New Roman" w:hAnsi="Times New Roman" w:cs="Times New Roman"/>
          <w:color w:val="000000" w:themeColor="text1"/>
          <w:sz w:val="28"/>
          <w:szCs w:val="28"/>
          <w:lang w:val="en-US"/>
        </w:rPr>
        <w:t>Routlegde</w:t>
      </w:r>
      <w:proofErr w:type="spellEnd"/>
      <w:r w:rsidRPr="0049357A">
        <w:rPr>
          <w:rFonts w:ascii="Times New Roman" w:hAnsi="Times New Roman" w:cs="Times New Roman"/>
          <w:color w:val="000000" w:themeColor="text1"/>
          <w:sz w:val="28"/>
          <w:szCs w:val="28"/>
          <w:lang w:val="en-US"/>
        </w:rPr>
        <w:t xml:space="preserve">, 2003. – P.1-26. </w:t>
      </w:r>
    </w:p>
    <w:p w14:paraId="635729B5"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Kydyrova</w:t>
      </w:r>
      <w:proofErr w:type="spellEnd"/>
      <w:r w:rsidRPr="0049357A">
        <w:rPr>
          <w:rFonts w:ascii="Times New Roman" w:hAnsi="Times New Roman" w:cs="Times New Roman"/>
          <w:color w:val="000000" w:themeColor="text1"/>
          <w:sz w:val="28"/>
          <w:szCs w:val="28"/>
          <w:lang w:val="en-US"/>
        </w:rPr>
        <w:t xml:space="preserve"> Z.S., </w:t>
      </w:r>
      <w:proofErr w:type="spellStart"/>
      <w:r w:rsidRPr="0049357A">
        <w:rPr>
          <w:rFonts w:ascii="Times New Roman" w:hAnsi="Times New Roman" w:cs="Times New Roman"/>
          <w:color w:val="000000" w:themeColor="text1"/>
          <w:sz w:val="28"/>
          <w:szCs w:val="28"/>
          <w:lang w:val="en-US"/>
        </w:rPr>
        <w:t>Satymbekova</w:t>
      </w:r>
      <w:proofErr w:type="spellEnd"/>
      <w:r w:rsidRPr="0049357A">
        <w:rPr>
          <w:rFonts w:ascii="Times New Roman" w:hAnsi="Times New Roman" w:cs="Times New Roman"/>
          <w:color w:val="000000" w:themeColor="text1"/>
          <w:sz w:val="28"/>
          <w:szCs w:val="28"/>
          <w:lang w:val="en-US"/>
        </w:rPr>
        <w:t xml:space="preserve"> K.B., </w:t>
      </w:r>
      <w:proofErr w:type="spellStart"/>
      <w:r w:rsidRPr="0049357A">
        <w:rPr>
          <w:rFonts w:ascii="Times New Roman" w:hAnsi="Times New Roman" w:cs="Times New Roman"/>
          <w:color w:val="000000" w:themeColor="text1"/>
          <w:sz w:val="28"/>
          <w:szCs w:val="28"/>
          <w:lang w:val="en-US"/>
        </w:rPr>
        <w:t>Kerimbek</w:t>
      </w:r>
      <w:proofErr w:type="spellEnd"/>
      <w:r w:rsidRPr="0049357A">
        <w:rPr>
          <w:rFonts w:ascii="Times New Roman" w:hAnsi="Times New Roman" w:cs="Times New Roman"/>
          <w:color w:val="000000" w:themeColor="text1"/>
          <w:sz w:val="28"/>
          <w:szCs w:val="28"/>
          <w:lang w:val="en-US"/>
        </w:rPr>
        <w:t xml:space="preserve"> G.E., </w:t>
      </w:r>
      <w:proofErr w:type="spellStart"/>
      <w:r w:rsidRPr="0049357A">
        <w:rPr>
          <w:rFonts w:ascii="Times New Roman" w:hAnsi="Times New Roman" w:cs="Times New Roman"/>
          <w:color w:val="000000" w:themeColor="text1"/>
          <w:sz w:val="28"/>
          <w:szCs w:val="28"/>
          <w:lang w:val="en-US"/>
        </w:rPr>
        <w:t>Imanbayeva</w:t>
      </w:r>
      <w:proofErr w:type="spellEnd"/>
      <w:r w:rsidRPr="0049357A">
        <w:rPr>
          <w:rFonts w:ascii="Times New Roman" w:hAnsi="Times New Roman" w:cs="Times New Roman"/>
          <w:color w:val="000000" w:themeColor="text1"/>
          <w:sz w:val="28"/>
          <w:szCs w:val="28"/>
          <w:lang w:val="en-US"/>
        </w:rPr>
        <w:t xml:space="preserve"> Z.O., </w:t>
      </w:r>
      <w:proofErr w:type="spellStart"/>
      <w:r w:rsidRPr="0049357A">
        <w:rPr>
          <w:rFonts w:ascii="Times New Roman" w:hAnsi="Times New Roman" w:cs="Times New Roman"/>
          <w:color w:val="000000" w:themeColor="text1"/>
          <w:sz w:val="28"/>
          <w:szCs w:val="28"/>
          <w:lang w:val="en-US"/>
        </w:rPr>
        <w:t>Saparbayeva</w:t>
      </w:r>
      <w:proofErr w:type="spellEnd"/>
      <w:r w:rsidRPr="0049357A">
        <w:rPr>
          <w:rFonts w:ascii="Times New Roman" w:hAnsi="Times New Roman" w:cs="Times New Roman"/>
          <w:color w:val="000000" w:themeColor="text1"/>
          <w:sz w:val="28"/>
          <w:szCs w:val="28"/>
          <w:lang w:val="en-US"/>
        </w:rPr>
        <w:t xml:space="preserve"> S.S., </w:t>
      </w:r>
      <w:proofErr w:type="spellStart"/>
      <w:r w:rsidRPr="0049357A">
        <w:rPr>
          <w:rFonts w:ascii="Times New Roman" w:hAnsi="Times New Roman" w:cs="Times New Roman"/>
          <w:color w:val="000000" w:themeColor="text1"/>
          <w:sz w:val="28"/>
          <w:szCs w:val="28"/>
          <w:lang w:val="en-US"/>
        </w:rPr>
        <w:t>Nurgalieva</w:t>
      </w:r>
      <w:proofErr w:type="spellEnd"/>
      <w:r w:rsidRPr="0049357A">
        <w:rPr>
          <w:rFonts w:ascii="Times New Roman" w:hAnsi="Times New Roman" w:cs="Times New Roman"/>
          <w:color w:val="000000" w:themeColor="text1"/>
          <w:sz w:val="28"/>
          <w:szCs w:val="28"/>
          <w:lang w:val="en-US"/>
        </w:rPr>
        <w:t xml:space="preserve"> A.A., Ilyas A.A., </w:t>
      </w:r>
      <w:proofErr w:type="spellStart"/>
      <w:r w:rsidRPr="0049357A">
        <w:rPr>
          <w:rFonts w:ascii="Times New Roman" w:hAnsi="Times New Roman" w:cs="Times New Roman"/>
          <w:color w:val="000000" w:themeColor="text1"/>
          <w:sz w:val="28"/>
          <w:szCs w:val="28"/>
          <w:lang w:val="en-US"/>
        </w:rPr>
        <w:t>Zhalbinova</w:t>
      </w:r>
      <w:proofErr w:type="spellEnd"/>
      <w:r w:rsidRPr="0049357A">
        <w:rPr>
          <w:rFonts w:ascii="Times New Roman" w:hAnsi="Times New Roman" w:cs="Times New Roman"/>
          <w:color w:val="000000" w:themeColor="text1"/>
          <w:sz w:val="28"/>
          <w:szCs w:val="28"/>
          <w:lang w:val="en-US"/>
        </w:rPr>
        <w:t xml:space="preserve"> S.K., </w:t>
      </w:r>
      <w:proofErr w:type="spellStart"/>
      <w:r w:rsidRPr="0049357A">
        <w:rPr>
          <w:rFonts w:ascii="Times New Roman" w:hAnsi="Times New Roman" w:cs="Times New Roman"/>
          <w:color w:val="000000" w:themeColor="text1"/>
          <w:sz w:val="28"/>
          <w:szCs w:val="28"/>
          <w:lang w:val="en-US"/>
        </w:rPr>
        <w:t>Jrauova</w:t>
      </w:r>
      <w:proofErr w:type="spellEnd"/>
      <w:r w:rsidRPr="0049357A">
        <w:rPr>
          <w:rFonts w:ascii="Times New Roman" w:hAnsi="Times New Roman" w:cs="Times New Roman"/>
          <w:color w:val="000000" w:themeColor="text1"/>
          <w:sz w:val="28"/>
          <w:szCs w:val="28"/>
          <w:lang w:val="en-US"/>
        </w:rPr>
        <w:t xml:space="preserve"> K.S., </w:t>
      </w:r>
      <w:proofErr w:type="spellStart"/>
      <w:r w:rsidRPr="0049357A">
        <w:rPr>
          <w:rFonts w:ascii="Times New Roman" w:hAnsi="Times New Roman" w:cs="Times New Roman"/>
          <w:color w:val="000000" w:themeColor="text1"/>
          <w:sz w:val="28"/>
          <w:szCs w:val="28"/>
          <w:lang w:val="en-US"/>
        </w:rPr>
        <w:t>Kanafina</w:t>
      </w:r>
      <w:proofErr w:type="spellEnd"/>
      <w:r w:rsidRPr="0049357A">
        <w:rPr>
          <w:rFonts w:ascii="Times New Roman" w:hAnsi="Times New Roman" w:cs="Times New Roman"/>
          <w:color w:val="000000" w:themeColor="text1"/>
          <w:sz w:val="28"/>
          <w:szCs w:val="28"/>
          <w:lang w:val="en-US"/>
        </w:rPr>
        <w:t xml:space="preserve"> A.T. Entrepreneurship development and business climate of Kazakhstan // International </w:t>
      </w:r>
      <w:r w:rsidRPr="00B4623F">
        <w:rPr>
          <w:rFonts w:ascii="Times New Roman" w:hAnsi="Times New Roman" w:cs="Times New Roman"/>
          <w:sz w:val="28"/>
          <w:szCs w:val="28"/>
          <w:lang w:val="en-US"/>
        </w:rPr>
        <w:t>Journal of Environmental and Science Education. – 2016. – Vol.11, №14. – P.6381-6394</w:t>
      </w:r>
      <w:r w:rsidRPr="0049357A">
        <w:rPr>
          <w:rFonts w:ascii="Times New Roman" w:hAnsi="Times New Roman" w:cs="Times New Roman"/>
          <w:color w:val="000000" w:themeColor="text1"/>
          <w:sz w:val="28"/>
          <w:szCs w:val="28"/>
          <w:lang w:val="en-US"/>
        </w:rPr>
        <w:t>.</w:t>
      </w:r>
    </w:p>
    <w:p w14:paraId="21E7F214"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Tovma</w:t>
      </w:r>
      <w:proofErr w:type="spellEnd"/>
      <w:r w:rsidRPr="0049357A">
        <w:rPr>
          <w:rFonts w:ascii="Times New Roman" w:hAnsi="Times New Roman" w:cs="Times New Roman"/>
          <w:color w:val="000000" w:themeColor="text1"/>
          <w:sz w:val="28"/>
          <w:szCs w:val="28"/>
          <w:lang w:val="en-US"/>
        </w:rPr>
        <w:t xml:space="preserve"> N., </w:t>
      </w:r>
      <w:proofErr w:type="spellStart"/>
      <w:r w:rsidRPr="0049357A">
        <w:rPr>
          <w:rFonts w:ascii="Times New Roman" w:hAnsi="Times New Roman" w:cs="Times New Roman"/>
          <w:color w:val="000000" w:themeColor="text1"/>
          <w:sz w:val="28"/>
          <w:szCs w:val="28"/>
          <w:lang w:val="en-US"/>
        </w:rPr>
        <w:t>Ussabayev</w:t>
      </w:r>
      <w:proofErr w:type="spellEnd"/>
      <w:r w:rsidRPr="0049357A">
        <w:rPr>
          <w:rFonts w:ascii="Times New Roman" w:hAnsi="Times New Roman" w:cs="Times New Roman"/>
          <w:color w:val="000000" w:themeColor="text1"/>
          <w:sz w:val="28"/>
          <w:szCs w:val="28"/>
          <w:lang w:val="en-US"/>
        </w:rPr>
        <w:t xml:space="preserve"> A., </w:t>
      </w:r>
      <w:proofErr w:type="spellStart"/>
      <w:r w:rsidRPr="0049357A">
        <w:rPr>
          <w:rFonts w:ascii="Times New Roman" w:hAnsi="Times New Roman" w:cs="Times New Roman"/>
          <w:color w:val="000000" w:themeColor="text1"/>
          <w:sz w:val="28"/>
          <w:szCs w:val="28"/>
          <w:lang w:val="en-US"/>
        </w:rPr>
        <w:t>Baimukasheva</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Zh</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Tyurina</w:t>
      </w:r>
      <w:proofErr w:type="spellEnd"/>
      <w:r w:rsidRPr="0049357A">
        <w:rPr>
          <w:rFonts w:ascii="Times New Roman" w:hAnsi="Times New Roman" w:cs="Times New Roman"/>
          <w:color w:val="000000" w:themeColor="text1"/>
          <w:sz w:val="28"/>
          <w:szCs w:val="28"/>
          <w:lang w:val="en-US"/>
        </w:rPr>
        <w:t xml:space="preserve"> Yu. Marketing ensuring of the competitiveness of the Republic of Kazakhstan regions in the </w:t>
      </w:r>
      <w:proofErr w:type="spellStart"/>
      <w:r w:rsidRPr="0049357A">
        <w:rPr>
          <w:rFonts w:ascii="Times New Roman" w:hAnsi="Times New Roman" w:cs="Times New Roman"/>
          <w:color w:val="000000" w:themeColor="text1"/>
          <w:sz w:val="28"/>
          <w:szCs w:val="28"/>
          <w:lang w:val="en-US"/>
        </w:rPr>
        <w:t>transi-tion</w:t>
      </w:r>
      <w:proofErr w:type="spellEnd"/>
      <w:r w:rsidRPr="0049357A">
        <w:rPr>
          <w:rFonts w:ascii="Times New Roman" w:hAnsi="Times New Roman" w:cs="Times New Roman"/>
          <w:color w:val="000000" w:themeColor="text1"/>
          <w:sz w:val="28"/>
          <w:szCs w:val="28"/>
          <w:lang w:val="en-US"/>
        </w:rPr>
        <w:t xml:space="preserve"> to the digital economy // Management Science </w:t>
      </w:r>
      <w:proofErr w:type="gramStart"/>
      <w:r w:rsidRPr="0049357A">
        <w:rPr>
          <w:rFonts w:ascii="Times New Roman" w:hAnsi="Times New Roman" w:cs="Times New Roman"/>
          <w:color w:val="000000" w:themeColor="text1"/>
          <w:sz w:val="28"/>
          <w:szCs w:val="28"/>
          <w:lang w:val="en-US"/>
        </w:rPr>
        <w:t>Letters,.</w:t>
      </w:r>
      <w:proofErr w:type="gramEnd"/>
      <w:r w:rsidRPr="0049357A">
        <w:rPr>
          <w:rFonts w:ascii="Times New Roman" w:hAnsi="Times New Roman" w:cs="Times New Roman"/>
          <w:color w:val="000000" w:themeColor="text1"/>
          <w:sz w:val="28"/>
          <w:szCs w:val="28"/>
          <w:lang w:val="en-US"/>
        </w:rPr>
        <w:t xml:space="preserve"> – 2020. – Vol.10, №7. – P.1575-1586. </w:t>
      </w:r>
    </w:p>
    <w:p w14:paraId="5A3E9D44"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Mukhtarova</w:t>
      </w:r>
      <w:proofErr w:type="spellEnd"/>
      <w:r w:rsidRPr="0049357A">
        <w:rPr>
          <w:rFonts w:ascii="Times New Roman" w:hAnsi="Times New Roman" w:cs="Times New Roman"/>
          <w:color w:val="000000" w:themeColor="text1"/>
          <w:sz w:val="28"/>
          <w:szCs w:val="28"/>
          <w:lang w:val="en-US"/>
        </w:rPr>
        <w:t xml:space="preserve"> K., Al-</w:t>
      </w:r>
      <w:proofErr w:type="spellStart"/>
      <w:r w:rsidRPr="0049357A">
        <w:rPr>
          <w:rFonts w:ascii="Times New Roman" w:hAnsi="Times New Roman" w:cs="Times New Roman"/>
          <w:color w:val="000000" w:themeColor="text1"/>
          <w:sz w:val="28"/>
          <w:szCs w:val="28"/>
          <w:lang w:val="en-US"/>
        </w:rPr>
        <w:t>Farabi</w:t>
      </w:r>
      <w:proofErr w:type="spellEnd"/>
      <w:r w:rsidRPr="0049357A">
        <w:rPr>
          <w:rFonts w:ascii="Times New Roman" w:hAnsi="Times New Roman" w:cs="Times New Roman"/>
          <w:color w:val="000000" w:themeColor="text1"/>
          <w:sz w:val="28"/>
          <w:szCs w:val="28"/>
          <w:lang w:val="en-US"/>
        </w:rPr>
        <w:t xml:space="preserve">, Kazak. Kazakhstan Way of Innovation </w:t>
      </w:r>
      <w:proofErr w:type="spellStart"/>
      <w:r w:rsidRPr="0049357A">
        <w:rPr>
          <w:rFonts w:ascii="Times New Roman" w:hAnsi="Times New Roman" w:cs="Times New Roman"/>
          <w:color w:val="000000" w:themeColor="text1"/>
          <w:sz w:val="28"/>
          <w:szCs w:val="28"/>
          <w:lang w:val="en-US"/>
        </w:rPr>
        <w:t>Clusterization</w:t>
      </w:r>
      <w:proofErr w:type="spellEnd"/>
      <w:r w:rsidRPr="0049357A">
        <w:rPr>
          <w:rFonts w:ascii="Times New Roman" w:hAnsi="Times New Roman" w:cs="Times New Roman"/>
          <w:color w:val="000000" w:themeColor="text1"/>
          <w:sz w:val="28"/>
          <w:szCs w:val="28"/>
          <w:lang w:val="en-US"/>
        </w:rPr>
        <w:t>. Journal of business management // </w:t>
      </w:r>
      <w:hyperlink r:id="rId184" w:history="1">
        <w:r w:rsidRPr="00B4623F">
          <w:rPr>
            <w:rFonts w:ascii="Times New Roman" w:hAnsi="Times New Roman" w:cs="Times New Roman"/>
            <w:sz w:val="28"/>
            <w:szCs w:val="28"/>
            <w:lang w:val="en-US"/>
          </w:rPr>
          <w:t>Journal of Business &amp; Management (COES&amp;RJ-JBM)</w:t>
        </w:r>
      </w:hyperlink>
      <w:r w:rsidRPr="0049357A">
        <w:rPr>
          <w:rFonts w:ascii="Times New Roman" w:hAnsi="Times New Roman" w:cs="Times New Roman"/>
          <w:color w:val="000000" w:themeColor="text1"/>
          <w:sz w:val="28"/>
          <w:szCs w:val="28"/>
          <w:lang w:val="en-US"/>
        </w:rPr>
        <w:t>. – 2015. - Vol.3, №2. – P.383-387.</w:t>
      </w:r>
    </w:p>
    <w:p w14:paraId="2F2415CB" w14:textId="15B6F5C1"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lastRenderedPageBreak/>
        <w:t xml:space="preserve">Smirnova, Y.V. (2015) “University–industry knowledge transfer in an emerging economy: Evidence from Kazakhstan” </w:t>
      </w:r>
      <w:r w:rsidR="00C13276">
        <w:rPr>
          <w:rFonts w:ascii="Times New Roman" w:hAnsi="Times New Roman" w:cs="Times New Roman"/>
          <w:color w:val="000000" w:themeColor="text1"/>
          <w:sz w:val="28"/>
          <w:szCs w:val="28"/>
          <w:lang w:val="en-US"/>
        </w:rPr>
        <w:t xml:space="preserve">// </w:t>
      </w:r>
      <w:r w:rsidRPr="0049357A">
        <w:rPr>
          <w:rFonts w:ascii="Times New Roman" w:hAnsi="Times New Roman" w:cs="Times New Roman"/>
          <w:color w:val="000000" w:themeColor="text1"/>
          <w:sz w:val="28"/>
          <w:szCs w:val="28"/>
          <w:lang w:val="en-US"/>
        </w:rPr>
        <w:t xml:space="preserve">Science and Public Policy, 2015, 1–11. </w:t>
      </w:r>
      <w:proofErr w:type="spellStart"/>
      <w:r w:rsidRPr="0049357A">
        <w:rPr>
          <w:rFonts w:ascii="Times New Roman" w:hAnsi="Times New Roman" w:cs="Times New Roman"/>
          <w:color w:val="000000" w:themeColor="text1"/>
          <w:sz w:val="28"/>
          <w:szCs w:val="28"/>
          <w:lang w:val="en-US"/>
        </w:rPr>
        <w:t>doi</w:t>
      </w:r>
      <w:proofErr w:type="spellEnd"/>
      <w:r w:rsidRPr="0049357A">
        <w:rPr>
          <w:rFonts w:ascii="Times New Roman" w:hAnsi="Times New Roman" w:cs="Times New Roman"/>
          <w:color w:val="000000" w:themeColor="text1"/>
          <w:sz w:val="28"/>
          <w:szCs w:val="28"/>
          <w:lang w:val="en-US"/>
        </w:rPr>
        <w:t>: 10.1093/</w:t>
      </w:r>
      <w:proofErr w:type="spellStart"/>
      <w:r w:rsidRPr="0049357A">
        <w:rPr>
          <w:rFonts w:ascii="Times New Roman" w:hAnsi="Times New Roman" w:cs="Times New Roman"/>
          <w:color w:val="000000" w:themeColor="text1"/>
          <w:sz w:val="28"/>
          <w:szCs w:val="28"/>
          <w:lang w:val="en-US"/>
        </w:rPr>
        <w:t>scipol</w:t>
      </w:r>
      <w:proofErr w:type="spellEnd"/>
      <w:r w:rsidRPr="0049357A">
        <w:rPr>
          <w:rFonts w:ascii="Times New Roman" w:hAnsi="Times New Roman" w:cs="Times New Roman"/>
          <w:color w:val="000000" w:themeColor="text1"/>
          <w:sz w:val="28"/>
          <w:szCs w:val="28"/>
          <w:lang w:val="en-US"/>
        </w:rPr>
        <w:t>/scv074</w:t>
      </w:r>
    </w:p>
    <w:p w14:paraId="1664C94B" w14:textId="66F7C5B0"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Jonbekova</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Dilrabo</w:t>
      </w:r>
      <w:proofErr w:type="spellEnd"/>
      <w:r w:rsidRPr="0049357A">
        <w:rPr>
          <w:rFonts w:ascii="Times New Roman" w:hAnsi="Times New Roman" w:cs="Times New Roman"/>
          <w:color w:val="000000" w:themeColor="text1"/>
          <w:sz w:val="28"/>
          <w:szCs w:val="28"/>
          <w:lang w:val="en-US"/>
        </w:rPr>
        <w:t xml:space="preserve"> &amp; Sparks, Jason &amp; Hartley, Matthew &amp; </w:t>
      </w:r>
      <w:proofErr w:type="spellStart"/>
      <w:r w:rsidRPr="0049357A">
        <w:rPr>
          <w:rFonts w:ascii="Times New Roman" w:hAnsi="Times New Roman" w:cs="Times New Roman"/>
          <w:color w:val="000000" w:themeColor="text1"/>
          <w:sz w:val="28"/>
          <w:szCs w:val="28"/>
          <w:lang w:val="en-US"/>
        </w:rPr>
        <w:t>Kuchumova</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Gulfiya</w:t>
      </w:r>
      <w:proofErr w:type="spellEnd"/>
      <w:r w:rsidRPr="0049357A">
        <w:rPr>
          <w:rFonts w:ascii="Times New Roman" w:hAnsi="Times New Roman" w:cs="Times New Roman"/>
          <w:color w:val="000000" w:themeColor="text1"/>
          <w:sz w:val="28"/>
          <w:szCs w:val="28"/>
          <w:lang w:val="en-US"/>
        </w:rPr>
        <w:t xml:space="preserve">. (2020). </w:t>
      </w:r>
      <w:r w:rsidR="00C13276">
        <w:rPr>
          <w:rFonts w:ascii="Times New Roman" w:hAnsi="Times New Roman" w:cs="Times New Roman"/>
          <w:color w:val="000000" w:themeColor="text1"/>
          <w:sz w:val="28"/>
          <w:szCs w:val="28"/>
          <w:lang w:val="en-US"/>
        </w:rPr>
        <w:t xml:space="preserve">// </w:t>
      </w:r>
      <w:r w:rsidRPr="0049357A">
        <w:rPr>
          <w:rFonts w:ascii="Times New Roman" w:hAnsi="Times New Roman" w:cs="Times New Roman"/>
          <w:color w:val="000000" w:themeColor="text1"/>
          <w:sz w:val="28"/>
          <w:szCs w:val="28"/>
          <w:lang w:val="en-US"/>
        </w:rPr>
        <w:t xml:space="preserve">Development of university–industry partnerships in Kazakhstan: Innovation under constraint. International Journal of Educational Development. </w:t>
      </w:r>
      <w:r w:rsidR="00C13276">
        <w:rPr>
          <w:rFonts w:ascii="Times New Roman" w:hAnsi="Times New Roman" w:cs="Times New Roman"/>
          <w:color w:val="000000" w:themeColor="text1"/>
          <w:sz w:val="28"/>
          <w:szCs w:val="28"/>
          <w:lang w:val="en-US"/>
        </w:rPr>
        <w:t xml:space="preserve">Vol. </w:t>
      </w:r>
      <w:r w:rsidRPr="0049357A">
        <w:rPr>
          <w:rFonts w:ascii="Times New Roman" w:hAnsi="Times New Roman" w:cs="Times New Roman"/>
          <w:color w:val="000000" w:themeColor="text1"/>
          <w:sz w:val="28"/>
          <w:szCs w:val="28"/>
          <w:lang w:val="en-US"/>
        </w:rPr>
        <w:t>79. 102291. 10.1016/j.ijedudev.2020.102291</w:t>
      </w:r>
    </w:p>
    <w:p w14:paraId="338AECBB" w14:textId="49695EA5"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Dabylova</w:t>
      </w:r>
      <w:proofErr w:type="spellEnd"/>
      <w:r w:rsidRPr="0049357A">
        <w:rPr>
          <w:rFonts w:ascii="Times New Roman" w:hAnsi="Times New Roman" w:cs="Times New Roman"/>
          <w:color w:val="000000" w:themeColor="text1"/>
          <w:sz w:val="28"/>
          <w:szCs w:val="28"/>
          <w:lang w:val="en-US"/>
        </w:rPr>
        <w:t xml:space="preserve">, M., </w:t>
      </w:r>
      <w:proofErr w:type="spellStart"/>
      <w:r w:rsidRPr="0049357A">
        <w:rPr>
          <w:rFonts w:ascii="Times New Roman" w:hAnsi="Times New Roman" w:cs="Times New Roman"/>
          <w:color w:val="000000" w:themeColor="text1"/>
          <w:sz w:val="28"/>
          <w:szCs w:val="28"/>
          <w:lang w:val="en-US"/>
        </w:rPr>
        <w:t>Grabara</w:t>
      </w:r>
      <w:proofErr w:type="spellEnd"/>
      <w:r w:rsidRPr="0049357A">
        <w:rPr>
          <w:rFonts w:ascii="Times New Roman" w:hAnsi="Times New Roman" w:cs="Times New Roman"/>
          <w:color w:val="000000" w:themeColor="text1"/>
          <w:sz w:val="28"/>
          <w:szCs w:val="28"/>
          <w:lang w:val="en-US"/>
        </w:rPr>
        <w:t xml:space="preserve">, J., &amp; </w:t>
      </w:r>
      <w:proofErr w:type="spellStart"/>
      <w:r w:rsidRPr="0049357A">
        <w:rPr>
          <w:rFonts w:ascii="Times New Roman" w:hAnsi="Times New Roman" w:cs="Times New Roman"/>
          <w:color w:val="000000" w:themeColor="text1"/>
          <w:sz w:val="28"/>
          <w:szCs w:val="28"/>
          <w:lang w:val="en-US"/>
        </w:rPr>
        <w:t>Alibekova</w:t>
      </w:r>
      <w:proofErr w:type="spellEnd"/>
      <w:r w:rsidRPr="0049357A">
        <w:rPr>
          <w:rFonts w:ascii="Times New Roman" w:hAnsi="Times New Roman" w:cs="Times New Roman"/>
          <w:color w:val="000000" w:themeColor="text1"/>
          <w:sz w:val="28"/>
          <w:szCs w:val="28"/>
          <w:lang w:val="en-US"/>
        </w:rPr>
        <w:t>, G. (2020). University-business cooperation in Kazakhstan: influencing factors. Journal of Economic Research &amp;Amp; Business Administration, 133(3),</w:t>
      </w:r>
      <w:r w:rsidR="00C13276">
        <w:rPr>
          <w:rFonts w:ascii="Times New Roman" w:hAnsi="Times New Roman" w:cs="Times New Roman"/>
          <w:color w:val="000000" w:themeColor="text1"/>
          <w:sz w:val="28"/>
          <w:szCs w:val="28"/>
          <w:lang w:val="en-US"/>
        </w:rPr>
        <w:t xml:space="preserve"> pp. </w:t>
      </w:r>
      <w:r w:rsidRPr="0049357A">
        <w:rPr>
          <w:rFonts w:ascii="Times New Roman" w:hAnsi="Times New Roman" w:cs="Times New Roman"/>
          <w:color w:val="000000" w:themeColor="text1"/>
          <w:sz w:val="28"/>
          <w:szCs w:val="28"/>
          <w:lang w:val="en-US"/>
        </w:rPr>
        <w:t xml:space="preserve">4–14. </w:t>
      </w:r>
      <w:hyperlink r:id="rId185" w:history="1">
        <w:r w:rsidRPr="0049357A">
          <w:rPr>
            <w:rFonts w:ascii="Times New Roman" w:hAnsi="Times New Roman" w:cs="Times New Roman"/>
            <w:color w:val="000000" w:themeColor="text1"/>
            <w:sz w:val="28"/>
            <w:szCs w:val="28"/>
            <w:lang w:val="en-US"/>
          </w:rPr>
          <w:t>https://doi.org/10.26577/be.2020.v133.i3.01</w:t>
        </w:r>
      </w:hyperlink>
    </w:p>
    <w:p w14:paraId="73A89B65"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GUESS – Global University Entrepreneurial Spirit Students' Survey [Electronic resource] // Official website. – Available at: </w:t>
      </w:r>
      <w:hyperlink r:id="rId186" w:tgtFrame="_new" w:history="1">
        <w:r w:rsidRPr="0049357A">
          <w:rPr>
            <w:rFonts w:ascii="Times New Roman" w:hAnsi="Times New Roman" w:cs="Times New Roman"/>
            <w:color w:val="000000" w:themeColor="text1"/>
            <w:sz w:val="28"/>
            <w:szCs w:val="28"/>
            <w:lang w:val="en-US"/>
          </w:rPr>
          <w:t>https://www.guesssurvey.org/</w:t>
        </w:r>
      </w:hyperlink>
      <w:r w:rsidRPr="0049357A">
        <w:rPr>
          <w:rFonts w:ascii="Times New Roman" w:hAnsi="Times New Roman" w:cs="Times New Roman"/>
          <w:color w:val="000000" w:themeColor="text1"/>
          <w:sz w:val="28"/>
          <w:szCs w:val="28"/>
          <w:lang w:val="en-US"/>
        </w:rPr>
        <w:t xml:space="preserve"> (accessed: 31.03.2025). </w:t>
      </w:r>
    </w:p>
    <w:p w14:paraId="265E6D40"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Bhatnagar A., Shekhar P., </w:t>
      </w:r>
      <w:proofErr w:type="spellStart"/>
      <w:r w:rsidRPr="0049357A">
        <w:rPr>
          <w:rFonts w:ascii="Times New Roman" w:hAnsi="Times New Roman" w:cs="Times New Roman"/>
          <w:color w:val="000000" w:themeColor="text1"/>
          <w:sz w:val="28"/>
          <w:szCs w:val="28"/>
          <w:lang w:val="en-US"/>
        </w:rPr>
        <w:t>Stransky</w:t>
      </w:r>
      <w:proofErr w:type="spellEnd"/>
      <w:r w:rsidRPr="0049357A">
        <w:rPr>
          <w:rFonts w:ascii="Times New Roman" w:hAnsi="Times New Roman" w:cs="Times New Roman"/>
          <w:color w:val="000000" w:themeColor="text1"/>
          <w:sz w:val="28"/>
          <w:szCs w:val="28"/>
          <w:lang w:val="en-US"/>
        </w:rPr>
        <w:t xml:space="preserve"> J. Exploratory Factor Analysis of Students’ Entrepreneurial Self-Efficacy: Implications for Survey Validation // ASEE Annual Conference and Exposition. – Oregon, 2024. – P. 1-11.</w:t>
      </w:r>
    </w:p>
    <w:p w14:paraId="0F91F7F6"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Amani D., </w:t>
      </w:r>
      <w:proofErr w:type="spellStart"/>
      <w:r w:rsidRPr="0049357A">
        <w:rPr>
          <w:rFonts w:ascii="Times New Roman" w:hAnsi="Times New Roman" w:cs="Times New Roman"/>
          <w:color w:val="000000" w:themeColor="text1"/>
          <w:sz w:val="28"/>
          <w:szCs w:val="28"/>
          <w:lang w:val="en-US"/>
        </w:rPr>
        <w:t>Juma</w:t>
      </w:r>
      <w:proofErr w:type="spellEnd"/>
      <w:r w:rsidRPr="0049357A">
        <w:rPr>
          <w:rFonts w:ascii="Times New Roman" w:hAnsi="Times New Roman" w:cs="Times New Roman"/>
          <w:color w:val="000000" w:themeColor="text1"/>
          <w:sz w:val="28"/>
          <w:szCs w:val="28"/>
          <w:lang w:val="en-US"/>
        </w:rPr>
        <w:t xml:space="preserve"> I., </w:t>
      </w:r>
      <w:proofErr w:type="spellStart"/>
      <w:r w:rsidRPr="0049357A">
        <w:rPr>
          <w:rFonts w:ascii="Times New Roman" w:hAnsi="Times New Roman" w:cs="Times New Roman"/>
          <w:color w:val="000000" w:themeColor="text1"/>
          <w:sz w:val="28"/>
          <w:szCs w:val="28"/>
          <w:lang w:val="en-US"/>
        </w:rPr>
        <w:t>Athuman</w:t>
      </w:r>
      <w:proofErr w:type="spellEnd"/>
      <w:r w:rsidRPr="0049357A">
        <w:rPr>
          <w:rFonts w:ascii="Times New Roman" w:hAnsi="Times New Roman" w:cs="Times New Roman"/>
          <w:color w:val="000000" w:themeColor="text1"/>
          <w:sz w:val="28"/>
          <w:szCs w:val="28"/>
          <w:lang w:val="en-US"/>
        </w:rPr>
        <w:t xml:space="preserve"> I., </w:t>
      </w:r>
      <w:proofErr w:type="spellStart"/>
      <w:r w:rsidRPr="0049357A">
        <w:rPr>
          <w:rFonts w:ascii="Times New Roman" w:hAnsi="Times New Roman" w:cs="Times New Roman"/>
          <w:color w:val="000000" w:themeColor="text1"/>
          <w:sz w:val="28"/>
          <w:szCs w:val="28"/>
          <w:lang w:val="en-US"/>
        </w:rPr>
        <w:t>Makona</w:t>
      </w:r>
      <w:proofErr w:type="spellEnd"/>
      <w:r w:rsidRPr="0049357A">
        <w:rPr>
          <w:rFonts w:ascii="Times New Roman" w:hAnsi="Times New Roman" w:cs="Times New Roman"/>
          <w:color w:val="000000" w:themeColor="text1"/>
          <w:sz w:val="28"/>
          <w:szCs w:val="28"/>
          <w:lang w:val="en-US"/>
        </w:rPr>
        <w:t xml:space="preserve"> A., </w:t>
      </w:r>
      <w:proofErr w:type="spellStart"/>
      <w:r w:rsidRPr="0049357A">
        <w:rPr>
          <w:rFonts w:ascii="Times New Roman" w:hAnsi="Times New Roman" w:cs="Times New Roman"/>
          <w:color w:val="000000" w:themeColor="text1"/>
          <w:sz w:val="28"/>
          <w:szCs w:val="28"/>
          <w:lang w:val="en-US"/>
        </w:rPr>
        <w:t>Changalima</w:t>
      </w:r>
      <w:proofErr w:type="spellEnd"/>
      <w:r w:rsidRPr="0049357A">
        <w:rPr>
          <w:rFonts w:ascii="Times New Roman" w:hAnsi="Times New Roman" w:cs="Times New Roman"/>
          <w:color w:val="000000" w:themeColor="text1"/>
          <w:sz w:val="28"/>
          <w:szCs w:val="28"/>
          <w:lang w:val="en-US"/>
        </w:rPr>
        <w:t xml:space="preserve"> I.A., </w:t>
      </w:r>
      <w:proofErr w:type="spellStart"/>
      <w:r w:rsidRPr="0049357A">
        <w:rPr>
          <w:rFonts w:ascii="Times New Roman" w:hAnsi="Times New Roman" w:cs="Times New Roman"/>
          <w:color w:val="000000" w:themeColor="text1"/>
          <w:sz w:val="28"/>
          <w:szCs w:val="28"/>
          <w:lang w:val="en-US"/>
        </w:rPr>
        <w:t>Kazungu</w:t>
      </w:r>
      <w:proofErr w:type="spellEnd"/>
      <w:r w:rsidRPr="0049357A">
        <w:rPr>
          <w:rFonts w:ascii="Times New Roman" w:hAnsi="Times New Roman" w:cs="Times New Roman"/>
          <w:color w:val="000000" w:themeColor="text1"/>
          <w:sz w:val="28"/>
          <w:szCs w:val="28"/>
          <w:lang w:val="en-US"/>
        </w:rPr>
        <w:t xml:space="preserve"> I. Extending the mediation role of entrepreneurial self-efficacy on enhancing students’ entrepreneurial intentions: A moderated mediation model // The International Journal of Management Education. – 2024. – Vol.2, №1. </w:t>
      </w:r>
    </w:p>
    <w:p w14:paraId="6DE2455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Ayob</w:t>
      </w:r>
      <w:proofErr w:type="spellEnd"/>
      <w:r w:rsidRPr="0049357A">
        <w:rPr>
          <w:rFonts w:ascii="Times New Roman" w:hAnsi="Times New Roman" w:cs="Times New Roman"/>
          <w:color w:val="000000" w:themeColor="text1"/>
          <w:sz w:val="28"/>
          <w:szCs w:val="28"/>
          <w:lang w:val="en-US"/>
        </w:rPr>
        <w:t xml:space="preserve"> A.H.  Entrepreneurship education, institutions and student entrepreneurship: a cross-country analysis. Compare: // A Journal of Comparative and International Education. – 2019. – Vol.51, №5. – P.745–763. </w:t>
      </w:r>
    </w:p>
    <w:p w14:paraId="1C8A5A65"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Peña-Ayala A., Villegas-</w:t>
      </w:r>
      <w:proofErr w:type="spellStart"/>
      <w:r w:rsidRPr="0049357A">
        <w:rPr>
          <w:rFonts w:ascii="Times New Roman" w:hAnsi="Times New Roman" w:cs="Times New Roman"/>
          <w:color w:val="000000" w:themeColor="text1"/>
          <w:sz w:val="28"/>
          <w:szCs w:val="28"/>
          <w:lang w:val="en-US"/>
        </w:rPr>
        <w:t>Berumen</w:t>
      </w:r>
      <w:proofErr w:type="spellEnd"/>
      <w:r w:rsidRPr="0049357A">
        <w:rPr>
          <w:rFonts w:ascii="Times New Roman" w:hAnsi="Times New Roman" w:cs="Times New Roman"/>
          <w:color w:val="000000" w:themeColor="text1"/>
          <w:sz w:val="28"/>
          <w:szCs w:val="28"/>
          <w:lang w:val="en-US"/>
        </w:rPr>
        <w:t xml:space="preserve"> H.G. Evaluation of the influence that higher education boosts on students’ entrepreneurial proclivity: Evidence from Mexico and Spain // The International Journal of Management Education. – 2020. – Vol.18, №3. – P.1472-8117.</w:t>
      </w:r>
    </w:p>
    <w:p w14:paraId="02BA950F"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Iwu</w:t>
      </w:r>
      <w:proofErr w:type="spellEnd"/>
      <w:r w:rsidRPr="0049357A">
        <w:rPr>
          <w:rFonts w:ascii="Times New Roman" w:hAnsi="Times New Roman" w:cs="Times New Roman"/>
          <w:color w:val="000000" w:themeColor="text1"/>
          <w:sz w:val="28"/>
          <w:szCs w:val="28"/>
          <w:lang w:val="en-US"/>
        </w:rPr>
        <w:t xml:space="preserve"> C.G., </w:t>
      </w:r>
      <w:proofErr w:type="spellStart"/>
      <w:r w:rsidRPr="0049357A">
        <w:rPr>
          <w:rFonts w:ascii="Times New Roman" w:hAnsi="Times New Roman" w:cs="Times New Roman"/>
          <w:color w:val="000000" w:themeColor="text1"/>
          <w:sz w:val="28"/>
          <w:szCs w:val="28"/>
          <w:lang w:val="en-US"/>
        </w:rPr>
        <w:t>Opute</w:t>
      </w:r>
      <w:proofErr w:type="spellEnd"/>
      <w:r w:rsidRPr="0049357A">
        <w:rPr>
          <w:rFonts w:ascii="Times New Roman" w:hAnsi="Times New Roman" w:cs="Times New Roman"/>
          <w:color w:val="000000" w:themeColor="text1"/>
          <w:sz w:val="28"/>
          <w:szCs w:val="28"/>
          <w:lang w:val="en-US"/>
        </w:rPr>
        <w:t xml:space="preserve"> P.A., </w:t>
      </w:r>
      <w:proofErr w:type="spellStart"/>
      <w:r w:rsidRPr="0049357A">
        <w:rPr>
          <w:rFonts w:ascii="Times New Roman" w:hAnsi="Times New Roman" w:cs="Times New Roman"/>
          <w:color w:val="000000" w:themeColor="text1"/>
          <w:sz w:val="28"/>
          <w:szCs w:val="28"/>
          <w:lang w:val="en-US"/>
        </w:rPr>
        <w:t>Nchu</w:t>
      </w:r>
      <w:proofErr w:type="spellEnd"/>
      <w:r w:rsidRPr="0049357A">
        <w:rPr>
          <w:rFonts w:ascii="Times New Roman" w:hAnsi="Times New Roman" w:cs="Times New Roman"/>
          <w:color w:val="000000" w:themeColor="text1"/>
          <w:sz w:val="28"/>
          <w:szCs w:val="28"/>
          <w:lang w:val="en-US"/>
        </w:rPr>
        <w:t xml:space="preserve"> R., </w:t>
      </w:r>
      <w:proofErr w:type="spellStart"/>
      <w:r w:rsidRPr="0049357A">
        <w:rPr>
          <w:rFonts w:ascii="Times New Roman" w:hAnsi="Times New Roman" w:cs="Times New Roman"/>
          <w:color w:val="000000" w:themeColor="text1"/>
          <w:sz w:val="28"/>
          <w:szCs w:val="28"/>
          <w:lang w:val="en-US"/>
        </w:rPr>
        <w:t>Eresia</w:t>
      </w:r>
      <w:proofErr w:type="spellEnd"/>
      <w:r w:rsidRPr="0049357A">
        <w:rPr>
          <w:rFonts w:ascii="Times New Roman" w:hAnsi="Times New Roman" w:cs="Times New Roman"/>
          <w:color w:val="000000" w:themeColor="text1"/>
          <w:sz w:val="28"/>
          <w:szCs w:val="28"/>
          <w:lang w:val="en-US"/>
        </w:rPr>
        <w:t xml:space="preserve">-Eke Ch., </w:t>
      </w:r>
      <w:proofErr w:type="spellStart"/>
      <w:r w:rsidRPr="0049357A">
        <w:rPr>
          <w:rFonts w:ascii="Times New Roman" w:hAnsi="Times New Roman" w:cs="Times New Roman"/>
          <w:color w:val="000000" w:themeColor="text1"/>
          <w:sz w:val="28"/>
          <w:szCs w:val="28"/>
          <w:lang w:val="en-US"/>
        </w:rPr>
        <w:t>Tengeh</w:t>
      </w:r>
      <w:proofErr w:type="spellEnd"/>
      <w:r w:rsidRPr="0049357A">
        <w:rPr>
          <w:rFonts w:ascii="Times New Roman" w:hAnsi="Times New Roman" w:cs="Times New Roman"/>
          <w:color w:val="000000" w:themeColor="text1"/>
          <w:sz w:val="28"/>
          <w:szCs w:val="28"/>
          <w:lang w:val="en-US"/>
        </w:rPr>
        <w:t xml:space="preserve"> R.K., </w:t>
      </w:r>
      <w:proofErr w:type="spellStart"/>
      <w:r w:rsidRPr="0049357A">
        <w:rPr>
          <w:rFonts w:ascii="Times New Roman" w:hAnsi="Times New Roman" w:cs="Times New Roman"/>
          <w:color w:val="000000" w:themeColor="text1"/>
          <w:sz w:val="28"/>
          <w:szCs w:val="28"/>
          <w:lang w:val="en-US"/>
        </w:rPr>
        <w:t>Jaiyeoba</w:t>
      </w:r>
      <w:proofErr w:type="spellEnd"/>
      <w:r w:rsidRPr="0049357A">
        <w:rPr>
          <w:rFonts w:ascii="Times New Roman" w:hAnsi="Times New Roman" w:cs="Times New Roman"/>
          <w:color w:val="000000" w:themeColor="text1"/>
          <w:sz w:val="28"/>
          <w:szCs w:val="28"/>
          <w:lang w:val="en-US"/>
        </w:rPr>
        <w:t xml:space="preserve"> O., Aliyu O.A. Entrepreneurship education, curriculum and lecturer-competency as antecedents of student entrepreneurial intention // The International Journal of Management Education. – 2021. – Vol.19, №1. – P.1472-8117.</w:t>
      </w:r>
    </w:p>
    <w:p w14:paraId="4AF5150C"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Walidayni</w:t>
      </w:r>
      <w:proofErr w:type="spellEnd"/>
      <w:r w:rsidRPr="0049357A">
        <w:rPr>
          <w:rFonts w:ascii="Times New Roman" w:hAnsi="Times New Roman" w:cs="Times New Roman"/>
          <w:color w:val="000000" w:themeColor="text1"/>
          <w:sz w:val="28"/>
          <w:szCs w:val="28"/>
          <w:lang w:val="en-US"/>
        </w:rPr>
        <w:t xml:space="preserve"> C.T., </w:t>
      </w:r>
      <w:proofErr w:type="spellStart"/>
      <w:r w:rsidRPr="0049357A">
        <w:rPr>
          <w:rFonts w:ascii="Times New Roman" w:hAnsi="Times New Roman" w:cs="Times New Roman"/>
          <w:color w:val="000000" w:themeColor="text1"/>
          <w:sz w:val="28"/>
          <w:szCs w:val="28"/>
          <w:lang w:val="en-US"/>
        </w:rPr>
        <w:t>Dellyana</w:t>
      </w:r>
      <w:proofErr w:type="spellEnd"/>
      <w:r w:rsidRPr="0049357A">
        <w:rPr>
          <w:rFonts w:ascii="Times New Roman" w:hAnsi="Times New Roman" w:cs="Times New Roman"/>
          <w:color w:val="000000" w:themeColor="text1"/>
          <w:sz w:val="28"/>
          <w:szCs w:val="28"/>
          <w:lang w:val="en-US"/>
        </w:rPr>
        <w:t xml:space="preserve"> D., </w:t>
      </w:r>
      <w:proofErr w:type="spellStart"/>
      <w:r w:rsidRPr="0049357A">
        <w:rPr>
          <w:rFonts w:ascii="Times New Roman" w:hAnsi="Times New Roman" w:cs="Times New Roman"/>
          <w:color w:val="000000" w:themeColor="text1"/>
          <w:sz w:val="28"/>
          <w:szCs w:val="28"/>
          <w:lang w:val="en-US"/>
        </w:rPr>
        <w:t>Chaldun</w:t>
      </w:r>
      <w:proofErr w:type="spellEnd"/>
      <w:r w:rsidRPr="0049357A">
        <w:rPr>
          <w:rFonts w:ascii="Times New Roman" w:hAnsi="Times New Roman" w:cs="Times New Roman"/>
          <w:color w:val="000000" w:themeColor="text1"/>
          <w:sz w:val="28"/>
          <w:szCs w:val="28"/>
          <w:lang w:val="en-US"/>
        </w:rPr>
        <w:t xml:space="preserve"> E.R. Towards SDGs 4 and 8: How Value Co-Creation Affecting Entrepreneurship Education’s Quality and Students’ Entrepreneurial Intention // Sustainability. – 2023. – Vol.15, №5. – P.1-22.</w:t>
      </w:r>
    </w:p>
    <w:p w14:paraId="37355AD5"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Agung C.P., Debby T., </w:t>
      </w:r>
      <w:proofErr w:type="spellStart"/>
      <w:r w:rsidRPr="0049357A">
        <w:rPr>
          <w:rFonts w:ascii="Times New Roman" w:hAnsi="Times New Roman" w:cs="Times New Roman"/>
          <w:color w:val="000000" w:themeColor="text1"/>
          <w:sz w:val="28"/>
          <w:szCs w:val="28"/>
          <w:lang w:val="en-US"/>
        </w:rPr>
        <w:t>Ignasia</w:t>
      </w:r>
      <w:proofErr w:type="spellEnd"/>
      <w:r w:rsidRPr="0049357A">
        <w:rPr>
          <w:rFonts w:ascii="Times New Roman" w:hAnsi="Times New Roman" w:cs="Times New Roman"/>
          <w:color w:val="000000" w:themeColor="text1"/>
          <w:sz w:val="28"/>
          <w:szCs w:val="28"/>
          <w:lang w:val="en-US"/>
        </w:rPr>
        <w:t xml:space="preserve">, Tiffani., </w:t>
      </w:r>
      <w:proofErr w:type="spellStart"/>
      <w:r w:rsidRPr="0049357A">
        <w:rPr>
          <w:rFonts w:ascii="Times New Roman" w:hAnsi="Times New Roman" w:cs="Times New Roman"/>
          <w:color w:val="000000" w:themeColor="text1"/>
          <w:sz w:val="28"/>
          <w:szCs w:val="28"/>
          <w:lang w:val="en-US"/>
        </w:rPr>
        <w:t>Budiana</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Gomulia</w:t>
      </w:r>
      <w:proofErr w:type="spellEnd"/>
      <w:r w:rsidRPr="0049357A">
        <w:rPr>
          <w:rFonts w:ascii="Times New Roman" w:hAnsi="Times New Roman" w:cs="Times New Roman"/>
          <w:color w:val="000000" w:themeColor="text1"/>
          <w:sz w:val="28"/>
          <w:szCs w:val="28"/>
          <w:lang w:val="en-US"/>
        </w:rPr>
        <w:t xml:space="preserve">. Entrepreneurial self-efficacy (ese) dan </w:t>
      </w:r>
      <w:proofErr w:type="spellStart"/>
      <w:r w:rsidRPr="0049357A">
        <w:rPr>
          <w:rFonts w:ascii="Times New Roman" w:hAnsi="Times New Roman" w:cs="Times New Roman"/>
          <w:color w:val="000000" w:themeColor="text1"/>
          <w:sz w:val="28"/>
          <w:szCs w:val="28"/>
          <w:lang w:val="en-US"/>
        </w:rPr>
        <w:t>perannya</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terhadap</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kebertahanan</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bisnis</w:t>
      </w:r>
      <w:proofErr w:type="spellEnd"/>
      <w:r w:rsidRPr="0049357A">
        <w:rPr>
          <w:rFonts w:ascii="Times New Roman" w:hAnsi="Times New Roman" w:cs="Times New Roman"/>
          <w:color w:val="000000" w:themeColor="text1"/>
          <w:sz w:val="28"/>
          <w:szCs w:val="28"/>
          <w:lang w:val="en-US"/>
        </w:rPr>
        <w:t xml:space="preserve"> // Modus (Yogyakarta). – 2024. – Vol.36, №1. – P.18-34.</w:t>
      </w:r>
    </w:p>
    <w:p w14:paraId="14EA765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Díaz-</w:t>
      </w:r>
      <w:proofErr w:type="spellStart"/>
      <w:r w:rsidRPr="0049357A">
        <w:rPr>
          <w:rFonts w:ascii="Times New Roman" w:hAnsi="Times New Roman" w:cs="Times New Roman"/>
          <w:color w:val="000000" w:themeColor="text1"/>
          <w:sz w:val="28"/>
          <w:szCs w:val="28"/>
          <w:lang w:val="en-US"/>
        </w:rPr>
        <w:t>Casero</w:t>
      </w:r>
      <w:proofErr w:type="spellEnd"/>
      <w:r w:rsidRPr="0049357A">
        <w:rPr>
          <w:rFonts w:ascii="Times New Roman" w:hAnsi="Times New Roman" w:cs="Times New Roman"/>
          <w:color w:val="000000" w:themeColor="text1"/>
          <w:sz w:val="28"/>
          <w:szCs w:val="28"/>
          <w:lang w:val="en-US"/>
        </w:rPr>
        <w:t xml:space="preserve"> J.C., Fernández-Portillo A., Sánchez-Escobedo M.C., Hernández-</w:t>
      </w:r>
      <w:proofErr w:type="spellStart"/>
      <w:r w:rsidRPr="0049357A">
        <w:rPr>
          <w:rFonts w:ascii="Times New Roman" w:hAnsi="Times New Roman" w:cs="Times New Roman"/>
          <w:color w:val="000000" w:themeColor="text1"/>
          <w:sz w:val="28"/>
          <w:szCs w:val="28"/>
          <w:lang w:val="en-US"/>
        </w:rPr>
        <w:t>Mogollón</w:t>
      </w:r>
      <w:proofErr w:type="spellEnd"/>
      <w:r w:rsidRPr="0049357A">
        <w:rPr>
          <w:rFonts w:ascii="Times New Roman" w:hAnsi="Times New Roman" w:cs="Times New Roman"/>
          <w:color w:val="000000" w:themeColor="text1"/>
          <w:sz w:val="28"/>
          <w:szCs w:val="28"/>
          <w:lang w:val="en-US"/>
        </w:rPr>
        <w:t xml:space="preserve"> R.  The Influence of University Context on Entrepreneurial Intentions. In: Peris-Ortiz M., Gómez J., </w:t>
      </w:r>
      <w:proofErr w:type="spellStart"/>
      <w:r w:rsidRPr="0049357A">
        <w:rPr>
          <w:rFonts w:ascii="Times New Roman" w:hAnsi="Times New Roman" w:cs="Times New Roman"/>
          <w:color w:val="000000" w:themeColor="text1"/>
          <w:sz w:val="28"/>
          <w:szCs w:val="28"/>
          <w:lang w:val="en-US"/>
        </w:rPr>
        <w:t>Merigó</w:t>
      </w:r>
      <w:proofErr w:type="spellEnd"/>
      <w:r w:rsidRPr="0049357A">
        <w:rPr>
          <w:rFonts w:ascii="Times New Roman" w:hAnsi="Times New Roman" w:cs="Times New Roman"/>
          <w:color w:val="000000" w:themeColor="text1"/>
          <w:sz w:val="28"/>
          <w:szCs w:val="28"/>
          <w:lang w:val="en-US"/>
        </w:rPr>
        <w:t>-Lindahl J., Rueda-</w:t>
      </w:r>
      <w:proofErr w:type="spellStart"/>
      <w:r w:rsidRPr="0049357A">
        <w:rPr>
          <w:rFonts w:ascii="Times New Roman" w:hAnsi="Times New Roman" w:cs="Times New Roman"/>
          <w:color w:val="000000" w:themeColor="text1"/>
          <w:sz w:val="28"/>
          <w:szCs w:val="28"/>
          <w:lang w:val="en-US"/>
        </w:rPr>
        <w:t>Armengot</w:t>
      </w:r>
      <w:proofErr w:type="spellEnd"/>
      <w:r w:rsidRPr="0049357A">
        <w:rPr>
          <w:rFonts w:ascii="Times New Roman" w:hAnsi="Times New Roman" w:cs="Times New Roman"/>
          <w:color w:val="000000" w:themeColor="text1"/>
          <w:sz w:val="28"/>
          <w:szCs w:val="28"/>
          <w:lang w:val="en-US"/>
        </w:rPr>
        <w:t xml:space="preserve"> C. (eds) Entrepreneurial Universities. Innovation, Technology, and Knowledge Management. – Cham: Springer.  -  2017. – P.65-81.  </w:t>
      </w:r>
    </w:p>
    <w:p w14:paraId="01C9F29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lastRenderedPageBreak/>
        <w:t xml:space="preserve">Georgescu M.A, Herman E. The Impact of the Family Background on Students’ Entrepreneurial Intentions: An Empirical Analysis // Sustainability. – 2020. – Vol.12, №11. – P.1-18. </w:t>
      </w:r>
    </w:p>
    <w:p w14:paraId="3B6B8928"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Molema L., Hlatshwayo E., </w:t>
      </w:r>
      <w:proofErr w:type="spellStart"/>
      <w:r w:rsidRPr="0049357A">
        <w:rPr>
          <w:rFonts w:ascii="Times New Roman" w:hAnsi="Times New Roman" w:cs="Times New Roman"/>
          <w:color w:val="000000" w:themeColor="text1"/>
          <w:sz w:val="28"/>
          <w:szCs w:val="28"/>
          <w:lang w:val="en-US"/>
        </w:rPr>
        <w:t>Ebewo</w:t>
      </w:r>
      <w:proofErr w:type="spellEnd"/>
      <w:r w:rsidRPr="0049357A">
        <w:rPr>
          <w:rFonts w:ascii="Times New Roman" w:hAnsi="Times New Roman" w:cs="Times New Roman"/>
          <w:color w:val="000000" w:themeColor="text1"/>
          <w:sz w:val="28"/>
          <w:szCs w:val="28"/>
          <w:lang w:val="en-US"/>
        </w:rPr>
        <w:t xml:space="preserve"> P. Entrepreneurial coaching for the development of entrepreneurial self-efficacy in women entrepreneurs // IJEBD (International Journal of Entrepreneurship and Business Development). – 2024. – Vol.7, №2. – P.238-245. </w:t>
      </w:r>
    </w:p>
    <w:p w14:paraId="27798D44" w14:textId="77777777" w:rsidR="00F14E91" w:rsidRPr="0049357A" w:rsidRDefault="002C6007" w:rsidP="00015249">
      <w:pPr>
        <w:pStyle w:val="af"/>
        <w:numPr>
          <w:ilvl w:val="0"/>
          <w:numId w:val="34"/>
        </w:numPr>
        <w:ind w:left="0" w:firstLine="709"/>
        <w:jc w:val="both"/>
        <w:rPr>
          <w:rFonts w:ascii="Times New Roman" w:hAnsi="Times New Roman" w:cs="Times New Roman"/>
          <w:color w:val="000000" w:themeColor="text1"/>
          <w:sz w:val="28"/>
          <w:szCs w:val="28"/>
          <w:lang w:val="en-US"/>
        </w:rPr>
      </w:pPr>
      <w:hyperlink r:id="rId187" w:tooltip="Rindi Ardika Melsalasa Sahputri" w:history="1">
        <w:proofErr w:type="spellStart"/>
        <w:r w:rsidR="00F14E91" w:rsidRPr="0049357A">
          <w:rPr>
            <w:rFonts w:ascii="Times New Roman" w:hAnsi="Times New Roman" w:cs="Times New Roman"/>
            <w:color w:val="000000" w:themeColor="text1"/>
            <w:sz w:val="28"/>
            <w:szCs w:val="28"/>
            <w:lang w:val="en-US"/>
          </w:rPr>
          <w:t>Sahputri</w:t>
        </w:r>
        <w:proofErr w:type="spellEnd"/>
        <w:r w:rsidR="00F14E91" w:rsidRPr="0049357A">
          <w:rPr>
            <w:rFonts w:ascii="Times New Roman" w:hAnsi="Times New Roman" w:cs="Times New Roman"/>
            <w:color w:val="000000" w:themeColor="text1"/>
            <w:sz w:val="28"/>
            <w:szCs w:val="28"/>
            <w:lang w:val="en-US"/>
          </w:rPr>
          <w:t xml:space="preserve"> R.A.M.</w:t>
        </w:r>
      </w:hyperlink>
      <w:r w:rsidR="00F14E91" w:rsidRPr="0049357A">
        <w:rPr>
          <w:rFonts w:ascii="Times New Roman" w:hAnsi="Times New Roman" w:cs="Times New Roman"/>
          <w:color w:val="000000" w:themeColor="text1"/>
          <w:sz w:val="28"/>
          <w:szCs w:val="28"/>
          <w:lang w:val="en-US"/>
        </w:rPr>
        <w:t>, </w:t>
      </w:r>
      <w:proofErr w:type="spellStart"/>
      <w:r w:rsidR="00C25782">
        <w:fldChar w:fldCharType="begin"/>
      </w:r>
      <w:r w:rsidR="00C25782" w:rsidRPr="008838AE">
        <w:rPr>
          <w:lang w:val="en-US"/>
        </w:rPr>
        <w:instrText xml:space="preserve"> HYPERLINK "https://www.emerald.com/insight/search?q=Mukhammad%20Kholid%20Mawardi" \o "Mukhammad Kholid Mawardi" </w:instrText>
      </w:r>
      <w:r w:rsidR="00C25782">
        <w:fldChar w:fldCharType="separate"/>
      </w:r>
      <w:r w:rsidR="00F14E91" w:rsidRPr="0049357A">
        <w:rPr>
          <w:rFonts w:ascii="Times New Roman" w:hAnsi="Times New Roman" w:cs="Times New Roman"/>
          <w:color w:val="000000" w:themeColor="text1"/>
          <w:sz w:val="28"/>
          <w:szCs w:val="28"/>
          <w:lang w:val="en-US"/>
        </w:rPr>
        <w:t>Mawardi</w:t>
      </w:r>
      <w:proofErr w:type="spellEnd"/>
      <w:r w:rsidR="00F14E91" w:rsidRPr="0049357A">
        <w:rPr>
          <w:rFonts w:ascii="Times New Roman" w:hAnsi="Times New Roman" w:cs="Times New Roman"/>
          <w:color w:val="000000" w:themeColor="text1"/>
          <w:sz w:val="28"/>
          <w:szCs w:val="28"/>
          <w:lang w:val="en-US"/>
        </w:rPr>
        <w:t xml:space="preserve"> M.K.</w:t>
      </w:r>
      <w:r w:rsidR="00C25782">
        <w:rPr>
          <w:rFonts w:ascii="Times New Roman" w:hAnsi="Times New Roman" w:cs="Times New Roman"/>
          <w:color w:val="000000" w:themeColor="text1"/>
          <w:sz w:val="28"/>
          <w:szCs w:val="28"/>
          <w:lang w:val="en-US"/>
        </w:rPr>
        <w:fldChar w:fldCharType="end"/>
      </w:r>
      <w:r w:rsidR="00F14E91" w:rsidRPr="0049357A">
        <w:rPr>
          <w:rFonts w:ascii="Times New Roman" w:hAnsi="Times New Roman" w:cs="Times New Roman"/>
          <w:color w:val="000000" w:themeColor="text1"/>
          <w:sz w:val="28"/>
          <w:szCs w:val="28"/>
          <w:lang w:val="en-US"/>
        </w:rPr>
        <w:t>, </w:t>
      </w:r>
      <w:proofErr w:type="spellStart"/>
      <w:r w:rsidR="00C25782">
        <w:fldChar w:fldCharType="begin"/>
      </w:r>
      <w:r w:rsidR="00C25782" w:rsidRPr="008838AE">
        <w:rPr>
          <w:lang w:val="en-US"/>
        </w:rPr>
        <w:instrText xml:space="preserve"> HYPERLINK "https://www.emerald.com/insight/search?q=Tri%20Yumarni" \o "Tri Yumarni" </w:instrText>
      </w:r>
      <w:r w:rsidR="00C25782">
        <w:fldChar w:fldCharType="separate"/>
      </w:r>
      <w:r w:rsidR="00F14E91" w:rsidRPr="0049357A">
        <w:rPr>
          <w:rFonts w:ascii="Times New Roman" w:hAnsi="Times New Roman" w:cs="Times New Roman"/>
          <w:color w:val="000000" w:themeColor="text1"/>
          <w:sz w:val="28"/>
          <w:szCs w:val="28"/>
          <w:lang w:val="en-US"/>
        </w:rPr>
        <w:t>Yumarni</w:t>
      </w:r>
      <w:proofErr w:type="spellEnd"/>
      <w:r w:rsidR="00F14E91" w:rsidRPr="0049357A">
        <w:rPr>
          <w:rFonts w:ascii="Times New Roman" w:hAnsi="Times New Roman" w:cs="Times New Roman"/>
          <w:color w:val="000000" w:themeColor="text1"/>
          <w:sz w:val="28"/>
          <w:szCs w:val="28"/>
          <w:lang w:val="en-US"/>
        </w:rPr>
        <w:t xml:space="preserve"> T.</w:t>
      </w:r>
      <w:r w:rsidR="00C25782">
        <w:rPr>
          <w:rFonts w:ascii="Times New Roman" w:hAnsi="Times New Roman" w:cs="Times New Roman"/>
          <w:color w:val="000000" w:themeColor="text1"/>
          <w:sz w:val="28"/>
          <w:szCs w:val="28"/>
          <w:lang w:val="en-US"/>
        </w:rPr>
        <w:fldChar w:fldCharType="end"/>
      </w:r>
      <w:r w:rsidR="00F14E91" w:rsidRPr="0049357A">
        <w:rPr>
          <w:rFonts w:ascii="Times New Roman" w:hAnsi="Times New Roman" w:cs="Times New Roman"/>
          <w:color w:val="000000" w:themeColor="text1"/>
          <w:sz w:val="28"/>
          <w:szCs w:val="28"/>
          <w:lang w:val="en-US"/>
        </w:rPr>
        <w:t xml:space="preserve"> S. Entrepreneurship education, family entrepreneurial orientation and entrepreneurial intention among students in Indonesia // </w:t>
      </w:r>
      <w:hyperlink r:id="rId188" w:history="1">
        <w:r w:rsidR="00F14E91" w:rsidRPr="0049357A">
          <w:rPr>
            <w:rFonts w:ascii="Times New Roman" w:hAnsi="Times New Roman" w:cs="Times New Roman"/>
            <w:color w:val="000000" w:themeColor="text1"/>
            <w:sz w:val="28"/>
            <w:szCs w:val="28"/>
            <w:lang w:val="en-US"/>
          </w:rPr>
          <w:t>Journal of International Education in Business</w:t>
        </w:r>
      </w:hyperlink>
      <w:r w:rsidR="00F14E91" w:rsidRPr="0049357A">
        <w:rPr>
          <w:rFonts w:ascii="Times New Roman" w:hAnsi="Times New Roman" w:cs="Times New Roman"/>
          <w:color w:val="000000" w:themeColor="text1"/>
          <w:sz w:val="28"/>
          <w:szCs w:val="28"/>
          <w:lang w:val="en-US"/>
        </w:rPr>
        <w:t xml:space="preserve">. – 2023. Vol.16, №3. – P.295-311.  </w:t>
      </w:r>
    </w:p>
    <w:p w14:paraId="7D2D29FD" w14:textId="77777777" w:rsidR="00F14E91" w:rsidRPr="0049357A" w:rsidRDefault="002C6007" w:rsidP="00015249">
      <w:pPr>
        <w:pStyle w:val="af"/>
        <w:numPr>
          <w:ilvl w:val="0"/>
          <w:numId w:val="34"/>
        </w:numPr>
        <w:ind w:left="0" w:firstLine="709"/>
        <w:jc w:val="both"/>
        <w:rPr>
          <w:rFonts w:ascii="Times New Roman" w:hAnsi="Times New Roman" w:cs="Times New Roman"/>
          <w:color w:val="000000" w:themeColor="text1"/>
          <w:sz w:val="28"/>
          <w:szCs w:val="28"/>
          <w:lang w:val="en-US"/>
        </w:rPr>
      </w:pPr>
      <w:hyperlink r:id="rId189" w:tooltip="Vivien Szczepanik" w:history="1">
        <w:proofErr w:type="spellStart"/>
        <w:r w:rsidR="00F14E91" w:rsidRPr="0049357A">
          <w:rPr>
            <w:rFonts w:ascii="Times New Roman" w:hAnsi="Times New Roman" w:cs="Times New Roman"/>
            <w:color w:val="000000" w:themeColor="text1"/>
            <w:sz w:val="28"/>
            <w:szCs w:val="28"/>
            <w:lang w:val="en-US"/>
          </w:rPr>
          <w:t>Szczepanik</w:t>
        </w:r>
        <w:proofErr w:type="spellEnd"/>
        <w:r w:rsidR="00F14E91" w:rsidRPr="0049357A">
          <w:rPr>
            <w:rFonts w:ascii="Times New Roman" w:hAnsi="Times New Roman" w:cs="Times New Roman"/>
            <w:color w:val="000000" w:themeColor="text1"/>
            <w:sz w:val="28"/>
            <w:szCs w:val="28"/>
            <w:lang w:val="en-US"/>
          </w:rPr>
          <w:t xml:space="preserve"> V.</w:t>
        </w:r>
      </w:hyperlink>
      <w:r w:rsidR="00F14E91" w:rsidRPr="0049357A">
        <w:rPr>
          <w:rFonts w:ascii="Times New Roman" w:hAnsi="Times New Roman" w:cs="Times New Roman"/>
          <w:color w:val="000000" w:themeColor="text1"/>
          <w:sz w:val="28"/>
          <w:szCs w:val="28"/>
          <w:lang w:val="en-US"/>
        </w:rPr>
        <w:t xml:space="preserve">,  </w:t>
      </w:r>
      <w:hyperlink r:id="rId190" w:tooltip="Beatriz Casais" w:history="1">
        <w:proofErr w:type="spellStart"/>
        <w:r w:rsidR="00F14E91" w:rsidRPr="0049357A">
          <w:rPr>
            <w:rFonts w:ascii="Times New Roman" w:hAnsi="Times New Roman" w:cs="Times New Roman"/>
            <w:color w:val="000000" w:themeColor="text1"/>
            <w:sz w:val="28"/>
            <w:szCs w:val="28"/>
            <w:lang w:val="en-US"/>
          </w:rPr>
          <w:t>Casais</w:t>
        </w:r>
        <w:proofErr w:type="spellEnd"/>
        <w:r w:rsidR="00F14E91" w:rsidRPr="0049357A">
          <w:rPr>
            <w:rFonts w:ascii="Times New Roman" w:hAnsi="Times New Roman" w:cs="Times New Roman"/>
            <w:color w:val="000000" w:themeColor="text1"/>
            <w:sz w:val="28"/>
            <w:szCs w:val="28"/>
            <w:lang w:val="en-US"/>
          </w:rPr>
          <w:t xml:space="preserve"> B.</w:t>
        </w:r>
      </w:hyperlink>
      <w:r w:rsidR="00F14E91" w:rsidRPr="0049357A">
        <w:rPr>
          <w:rFonts w:ascii="Times New Roman" w:hAnsi="Times New Roman" w:cs="Times New Roman"/>
          <w:color w:val="000000" w:themeColor="text1"/>
          <w:sz w:val="28"/>
          <w:szCs w:val="28"/>
          <w:lang w:val="en-US"/>
        </w:rPr>
        <w:t xml:space="preserve"> "The Influence of the Field of Study and Entrepreneurship Course in Entrepreneurial Intention Among University Students", </w:t>
      </w:r>
      <w:hyperlink r:id="rId191" w:tooltip="Paul Jones" w:history="1">
        <w:r w:rsidR="00F14E91" w:rsidRPr="0049357A">
          <w:rPr>
            <w:rFonts w:ascii="Times New Roman" w:hAnsi="Times New Roman" w:cs="Times New Roman"/>
            <w:color w:val="000000" w:themeColor="text1"/>
            <w:sz w:val="28"/>
            <w:szCs w:val="28"/>
            <w:lang w:val="en-US"/>
          </w:rPr>
          <w:t>Jones P.</w:t>
        </w:r>
      </w:hyperlink>
      <w:r w:rsidR="00F14E91" w:rsidRPr="0049357A">
        <w:rPr>
          <w:rFonts w:ascii="Times New Roman" w:hAnsi="Times New Roman" w:cs="Times New Roman"/>
          <w:color w:val="000000" w:themeColor="text1"/>
          <w:sz w:val="28"/>
          <w:szCs w:val="28"/>
          <w:lang w:val="en-US"/>
        </w:rPr>
        <w:t>, </w:t>
      </w:r>
      <w:proofErr w:type="spellStart"/>
      <w:r w:rsidR="00C25782">
        <w:fldChar w:fldCharType="begin"/>
      </w:r>
      <w:r w:rsidR="00C25782" w:rsidRPr="008838AE">
        <w:rPr>
          <w:lang w:val="en-US"/>
        </w:rPr>
        <w:instrText xml:space="preserve"> HYPERLINK "https://www.emerald.com/insight/search?q=Nikolaos%20Apostolopoulos" \o "Nikolaos Apostolopoulos" </w:instrText>
      </w:r>
      <w:r w:rsidR="00C25782">
        <w:fldChar w:fldCharType="separate"/>
      </w:r>
      <w:r w:rsidR="00F14E91" w:rsidRPr="0049357A">
        <w:rPr>
          <w:rFonts w:ascii="Times New Roman" w:hAnsi="Times New Roman" w:cs="Times New Roman"/>
          <w:color w:val="000000" w:themeColor="text1"/>
          <w:sz w:val="28"/>
          <w:szCs w:val="28"/>
          <w:lang w:val="en-US"/>
        </w:rPr>
        <w:t>Apostolopoulos</w:t>
      </w:r>
      <w:proofErr w:type="spellEnd"/>
      <w:r w:rsidR="00F14E91" w:rsidRPr="0049357A">
        <w:rPr>
          <w:rFonts w:ascii="Times New Roman" w:hAnsi="Times New Roman" w:cs="Times New Roman"/>
          <w:color w:val="000000" w:themeColor="text1"/>
          <w:sz w:val="28"/>
          <w:szCs w:val="28"/>
          <w:lang w:val="en-US"/>
        </w:rPr>
        <w:t xml:space="preserve"> N.</w:t>
      </w:r>
      <w:r w:rsidR="00C25782">
        <w:rPr>
          <w:rFonts w:ascii="Times New Roman" w:hAnsi="Times New Roman" w:cs="Times New Roman"/>
          <w:color w:val="000000" w:themeColor="text1"/>
          <w:sz w:val="28"/>
          <w:szCs w:val="28"/>
          <w:lang w:val="en-US"/>
        </w:rPr>
        <w:fldChar w:fldCharType="end"/>
      </w:r>
      <w:r w:rsidR="00F14E91" w:rsidRPr="0049357A">
        <w:rPr>
          <w:rFonts w:ascii="Times New Roman" w:hAnsi="Times New Roman" w:cs="Times New Roman"/>
          <w:color w:val="000000" w:themeColor="text1"/>
          <w:sz w:val="28"/>
          <w:szCs w:val="28"/>
          <w:lang w:val="en-US"/>
        </w:rPr>
        <w:t>, </w:t>
      </w:r>
      <w:proofErr w:type="spellStart"/>
      <w:r w:rsidR="00C25782">
        <w:fldChar w:fldCharType="begin"/>
      </w:r>
      <w:r w:rsidR="00C25782" w:rsidRPr="008838AE">
        <w:rPr>
          <w:lang w:val="en-US"/>
        </w:rPr>
        <w:instrText xml:space="preserve"> HYPERLINK "https://www.emerald.com/insight/search?q=Alexandros%20Kakouris" \o "Alexandros Kakouris" </w:instrText>
      </w:r>
      <w:r w:rsidR="00C25782">
        <w:fldChar w:fldCharType="separate"/>
      </w:r>
      <w:r w:rsidR="00F14E91" w:rsidRPr="0049357A">
        <w:rPr>
          <w:rFonts w:ascii="Times New Roman" w:hAnsi="Times New Roman" w:cs="Times New Roman"/>
          <w:color w:val="000000" w:themeColor="text1"/>
          <w:sz w:val="28"/>
          <w:szCs w:val="28"/>
          <w:lang w:val="en-US"/>
        </w:rPr>
        <w:t>Kakouris</w:t>
      </w:r>
      <w:proofErr w:type="spellEnd"/>
      <w:r w:rsidR="00F14E91" w:rsidRPr="0049357A">
        <w:rPr>
          <w:rFonts w:ascii="Times New Roman" w:hAnsi="Times New Roman" w:cs="Times New Roman"/>
          <w:color w:val="000000" w:themeColor="text1"/>
          <w:sz w:val="28"/>
          <w:szCs w:val="28"/>
          <w:lang w:val="en-US"/>
        </w:rPr>
        <w:t xml:space="preserve"> A.</w:t>
      </w:r>
      <w:r w:rsidR="00C25782">
        <w:rPr>
          <w:rFonts w:ascii="Times New Roman" w:hAnsi="Times New Roman" w:cs="Times New Roman"/>
          <w:color w:val="000000" w:themeColor="text1"/>
          <w:sz w:val="28"/>
          <w:szCs w:val="28"/>
          <w:lang w:val="en-US"/>
        </w:rPr>
        <w:fldChar w:fldCharType="end"/>
      </w:r>
      <w:r w:rsidR="00F14E91" w:rsidRPr="0049357A">
        <w:rPr>
          <w:rFonts w:ascii="Times New Roman" w:hAnsi="Times New Roman" w:cs="Times New Roman"/>
          <w:color w:val="000000" w:themeColor="text1"/>
          <w:sz w:val="28"/>
          <w:szCs w:val="28"/>
          <w:lang w:val="en-US"/>
        </w:rPr>
        <w:t>, </w:t>
      </w:r>
      <w:hyperlink r:id="rId192" w:tooltip="Christopher Moon" w:history="1">
        <w:r w:rsidR="00F14E91" w:rsidRPr="0049357A">
          <w:rPr>
            <w:rFonts w:ascii="Times New Roman" w:hAnsi="Times New Roman" w:cs="Times New Roman"/>
            <w:color w:val="000000" w:themeColor="text1"/>
            <w:sz w:val="28"/>
            <w:szCs w:val="28"/>
            <w:lang w:val="en-US"/>
          </w:rPr>
          <w:t>Moon C.</w:t>
        </w:r>
      </w:hyperlink>
      <w:r w:rsidR="00F14E91" w:rsidRPr="0049357A">
        <w:rPr>
          <w:rFonts w:ascii="Times New Roman" w:hAnsi="Times New Roman" w:cs="Times New Roman"/>
          <w:color w:val="000000" w:themeColor="text1"/>
          <w:sz w:val="28"/>
          <w:szCs w:val="28"/>
          <w:lang w:val="en-US"/>
        </w:rPr>
        <w:t>, </w:t>
      </w:r>
      <w:proofErr w:type="spellStart"/>
      <w:r w:rsidR="00C25782">
        <w:fldChar w:fldCharType="begin"/>
      </w:r>
      <w:r w:rsidR="00C25782" w:rsidRPr="008838AE">
        <w:rPr>
          <w:lang w:val="en-US"/>
        </w:rPr>
        <w:instrText xml:space="preserve"> HYPERLINK "https://www.emerald.com/insight/search?q=Vanessa%20Ratten" \o "Vanessa Ratten" </w:instrText>
      </w:r>
      <w:r w:rsidR="00C25782">
        <w:fldChar w:fldCharType="separate"/>
      </w:r>
      <w:r w:rsidR="00F14E91" w:rsidRPr="0049357A">
        <w:rPr>
          <w:rFonts w:ascii="Times New Roman" w:hAnsi="Times New Roman" w:cs="Times New Roman"/>
          <w:color w:val="000000" w:themeColor="text1"/>
          <w:sz w:val="28"/>
          <w:szCs w:val="28"/>
          <w:lang w:val="en-US"/>
        </w:rPr>
        <w:t>Ratten</w:t>
      </w:r>
      <w:proofErr w:type="spellEnd"/>
      <w:r w:rsidR="00F14E91" w:rsidRPr="0049357A">
        <w:rPr>
          <w:rFonts w:ascii="Times New Roman" w:hAnsi="Times New Roman" w:cs="Times New Roman"/>
          <w:color w:val="000000" w:themeColor="text1"/>
          <w:sz w:val="28"/>
          <w:szCs w:val="28"/>
          <w:lang w:val="en-US"/>
        </w:rPr>
        <w:t xml:space="preserve"> V.</w:t>
      </w:r>
      <w:r w:rsidR="00C25782">
        <w:rPr>
          <w:rFonts w:ascii="Times New Roman" w:hAnsi="Times New Roman" w:cs="Times New Roman"/>
          <w:color w:val="000000" w:themeColor="text1"/>
          <w:sz w:val="28"/>
          <w:szCs w:val="28"/>
          <w:lang w:val="en-US"/>
        </w:rPr>
        <w:fldChar w:fldCharType="end"/>
      </w:r>
      <w:r w:rsidR="00F14E91" w:rsidRPr="0049357A">
        <w:rPr>
          <w:rFonts w:ascii="Times New Roman" w:hAnsi="Times New Roman" w:cs="Times New Roman"/>
          <w:color w:val="000000" w:themeColor="text1"/>
          <w:sz w:val="28"/>
          <w:szCs w:val="28"/>
          <w:lang w:val="en-US"/>
        </w:rPr>
        <w:t> and </w:t>
      </w:r>
      <w:hyperlink r:id="rId193" w:tooltip="Andreas Walmsley" w:history="1">
        <w:r w:rsidR="00F14E91" w:rsidRPr="0049357A">
          <w:rPr>
            <w:rFonts w:ascii="Times New Roman" w:hAnsi="Times New Roman" w:cs="Times New Roman"/>
            <w:color w:val="000000" w:themeColor="text1"/>
            <w:sz w:val="28"/>
            <w:szCs w:val="28"/>
            <w:lang w:val="en-US"/>
          </w:rPr>
          <w:t>Walmsley A.</w:t>
        </w:r>
      </w:hyperlink>
      <w:r w:rsidR="00F14E91" w:rsidRPr="0049357A">
        <w:rPr>
          <w:rFonts w:ascii="Times New Roman" w:hAnsi="Times New Roman" w:cs="Times New Roman"/>
          <w:color w:val="000000" w:themeColor="text1"/>
          <w:sz w:val="28"/>
          <w:szCs w:val="28"/>
          <w:lang w:val="en-US"/>
        </w:rPr>
        <w:t xml:space="preserve"> (Ed.) Universities and Entrepreneurship: Meeting the Educational and Social Challenges (Contemporary Issues in Entrepreneurship Research. – </w:t>
      </w:r>
      <w:proofErr w:type="spellStart"/>
      <w:proofErr w:type="gramStart"/>
      <w:r w:rsidR="00F14E91" w:rsidRPr="0049357A">
        <w:rPr>
          <w:rFonts w:ascii="Times New Roman" w:hAnsi="Times New Roman" w:cs="Times New Roman"/>
          <w:color w:val="000000" w:themeColor="text1"/>
          <w:sz w:val="28"/>
          <w:szCs w:val="28"/>
          <w:lang w:val="en-US"/>
        </w:rPr>
        <w:t>Leeds:Emerald</w:t>
      </w:r>
      <w:proofErr w:type="spellEnd"/>
      <w:proofErr w:type="gramEnd"/>
      <w:r w:rsidR="00F14E91" w:rsidRPr="0049357A">
        <w:rPr>
          <w:rFonts w:ascii="Times New Roman" w:hAnsi="Times New Roman" w:cs="Times New Roman"/>
          <w:color w:val="000000" w:themeColor="text1"/>
          <w:sz w:val="28"/>
          <w:szCs w:val="28"/>
          <w:lang w:val="en-US"/>
        </w:rPr>
        <w:t xml:space="preserve"> Publishing Limited. - 2021. – P.117-131.  </w:t>
      </w:r>
    </w:p>
    <w:p w14:paraId="48B0C945"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Ruiz-Palomino P., Martínez-</w:t>
      </w:r>
      <w:proofErr w:type="spellStart"/>
      <w:r w:rsidRPr="0049357A">
        <w:rPr>
          <w:rFonts w:ascii="Times New Roman" w:hAnsi="Times New Roman" w:cs="Times New Roman"/>
          <w:color w:val="000000" w:themeColor="text1"/>
          <w:sz w:val="28"/>
          <w:szCs w:val="28"/>
          <w:lang w:val="en-US"/>
        </w:rPr>
        <w:t>Cañas</w:t>
      </w:r>
      <w:proofErr w:type="spellEnd"/>
      <w:r w:rsidRPr="0049357A">
        <w:rPr>
          <w:rFonts w:ascii="Times New Roman" w:hAnsi="Times New Roman" w:cs="Times New Roman"/>
          <w:color w:val="000000" w:themeColor="text1"/>
          <w:sz w:val="28"/>
          <w:szCs w:val="28"/>
          <w:lang w:val="en-US"/>
        </w:rPr>
        <w:t xml:space="preserve"> R. From opportunity recognition to the start-up phase: the moderating role of family and friends-based entrepreneurial social networks // Int </w:t>
      </w:r>
      <w:proofErr w:type="spellStart"/>
      <w:r w:rsidRPr="0049357A">
        <w:rPr>
          <w:rFonts w:ascii="Times New Roman" w:hAnsi="Times New Roman" w:cs="Times New Roman"/>
          <w:color w:val="000000" w:themeColor="text1"/>
          <w:sz w:val="28"/>
          <w:szCs w:val="28"/>
          <w:lang w:val="en-US"/>
        </w:rPr>
        <w:t>Entrep</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Manag</w:t>
      </w:r>
      <w:proofErr w:type="spellEnd"/>
      <w:r w:rsidRPr="0049357A">
        <w:rPr>
          <w:rFonts w:ascii="Times New Roman" w:hAnsi="Times New Roman" w:cs="Times New Roman"/>
          <w:color w:val="000000" w:themeColor="text1"/>
          <w:sz w:val="28"/>
          <w:szCs w:val="28"/>
          <w:lang w:val="en-US"/>
        </w:rPr>
        <w:t xml:space="preserve"> J. – 2021. – Vol. 17. – P.1159–1182.</w:t>
      </w:r>
    </w:p>
    <w:p w14:paraId="4126275F"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Lopes J. M., </w:t>
      </w:r>
      <w:proofErr w:type="spellStart"/>
      <w:r w:rsidRPr="0049357A">
        <w:rPr>
          <w:rFonts w:ascii="Times New Roman" w:hAnsi="Times New Roman" w:cs="Times New Roman"/>
          <w:color w:val="000000" w:themeColor="text1"/>
          <w:sz w:val="28"/>
          <w:szCs w:val="28"/>
          <w:lang w:val="en-US"/>
        </w:rPr>
        <w:t>Laurett</w:t>
      </w:r>
      <w:proofErr w:type="spellEnd"/>
      <w:r w:rsidRPr="0049357A">
        <w:rPr>
          <w:rFonts w:ascii="Times New Roman" w:hAnsi="Times New Roman" w:cs="Times New Roman"/>
          <w:color w:val="000000" w:themeColor="text1"/>
          <w:sz w:val="28"/>
          <w:szCs w:val="28"/>
          <w:lang w:val="en-US"/>
        </w:rPr>
        <w:t xml:space="preserve"> R., Ferreira J. J., Silveira P., Oliveira J., Farinha L. Modeling the predictors of students’ entrepreneurial intentions: The case of a peripheral European region // Industry and Higher Education. – 2023. – Vol.37, №2. – P.208-221. </w:t>
      </w:r>
    </w:p>
    <w:p w14:paraId="6FC1300A"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Thomas A., Mueller S.A. Case for Comparative Entrepreneurship: Assessing the Relevance of Culture // J Int Bus </w:t>
      </w:r>
      <w:proofErr w:type="spellStart"/>
      <w:r w:rsidRPr="0049357A">
        <w:rPr>
          <w:rFonts w:ascii="Times New Roman" w:hAnsi="Times New Roman" w:cs="Times New Roman"/>
          <w:color w:val="000000" w:themeColor="text1"/>
          <w:sz w:val="28"/>
          <w:szCs w:val="28"/>
          <w:lang w:val="en-US"/>
        </w:rPr>
        <w:t>Studю</w:t>
      </w:r>
      <w:proofErr w:type="spellEnd"/>
      <w:r w:rsidRPr="0049357A">
        <w:rPr>
          <w:rFonts w:ascii="Times New Roman" w:hAnsi="Times New Roman" w:cs="Times New Roman"/>
          <w:color w:val="000000" w:themeColor="text1"/>
          <w:sz w:val="28"/>
          <w:szCs w:val="28"/>
          <w:lang w:val="en-US"/>
        </w:rPr>
        <w:t xml:space="preserve"> – 2000. – Vol. 31. – P.287–30. </w:t>
      </w:r>
    </w:p>
    <w:p w14:paraId="615CE93D"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Utsch</w:t>
      </w:r>
      <w:proofErr w:type="spellEnd"/>
      <w:r w:rsidRPr="0049357A">
        <w:rPr>
          <w:rFonts w:ascii="Times New Roman" w:hAnsi="Times New Roman" w:cs="Times New Roman"/>
          <w:color w:val="000000" w:themeColor="text1"/>
          <w:sz w:val="28"/>
          <w:szCs w:val="28"/>
          <w:lang w:val="en-US"/>
        </w:rPr>
        <w:t xml:space="preserve"> A., Rauch A. Innovativeness and initiative as mediators between achievement orientation and venture performance // European journal of work and organizational psychology. – 2000. – Vol.9, №1. – P.45-62. </w:t>
      </w:r>
    </w:p>
    <w:p w14:paraId="446CC1DF"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Alamineh</w:t>
      </w:r>
      <w:proofErr w:type="spellEnd"/>
      <w:r w:rsidRPr="0049357A">
        <w:rPr>
          <w:rFonts w:ascii="Times New Roman" w:hAnsi="Times New Roman" w:cs="Times New Roman"/>
          <w:color w:val="000000" w:themeColor="text1"/>
          <w:sz w:val="28"/>
          <w:szCs w:val="28"/>
          <w:lang w:val="en-US"/>
        </w:rPr>
        <w:t xml:space="preserve"> H.G. A Comparative Study on Influencing Factors of University and Technical and Vocational Education and Training (TVET) Graduate Students Intentions Toward Entrepreneurship: Evidence from Addis Ababa City, Ethiopia // J Glob </w:t>
      </w:r>
      <w:proofErr w:type="spellStart"/>
      <w:r w:rsidRPr="0049357A">
        <w:rPr>
          <w:rFonts w:ascii="Times New Roman" w:hAnsi="Times New Roman" w:cs="Times New Roman"/>
          <w:color w:val="000000" w:themeColor="text1"/>
          <w:sz w:val="28"/>
          <w:szCs w:val="28"/>
          <w:lang w:val="en-US"/>
        </w:rPr>
        <w:t>Entrepr</w:t>
      </w:r>
      <w:proofErr w:type="spellEnd"/>
      <w:r w:rsidRPr="0049357A">
        <w:rPr>
          <w:rFonts w:ascii="Times New Roman" w:hAnsi="Times New Roman" w:cs="Times New Roman"/>
          <w:color w:val="000000" w:themeColor="text1"/>
          <w:sz w:val="28"/>
          <w:szCs w:val="28"/>
          <w:lang w:val="en-US"/>
        </w:rPr>
        <w:t xml:space="preserve"> Res. – 2022. – Vol.12, №2. – P.83–96.</w:t>
      </w:r>
    </w:p>
    <w:p w14:paraId="1B565364"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Sekerbayeva</w:t>
      </w:r>
      <w:proofErr w:type="spellEnd"/>
      <w:r w:rsidRPr="0049357A">
        <w:rPr>
          <w:rFonts w:ascii="Times New Roman" w:hAnsi="Times New Roman" w:cs="Times New Roman"/>
          <w:color w:val="000000" w:themeColor="text1"/>
          <w:sz w:val="28"/>
          <w:szCs w:val="28"/>
          <w:lang w:val="en-US"/>
        </w:rPr>
        <w:t xml:space="preserve"> A., </w:t>
      </w:r>
      <w:proofErr w:type="spellStart"/>
      <w:r w:rsidRPr="0049357A">
        <w:rPr>
          <w:rFonts w:ascii="Times New Roman" w:hAnsi="Times New Roman" w:cs="Times New Roman"/>
          <w:color w:val="000000" w:themeColor="text1"/>
          <w:sz w:val="28"/>
          <w:szCs w:val="28"/>
          <w:lang w:val="en-US"/>
        </w:rPr>
        <w:t>Tamenova</w:t>
      </w:r>
      <w:proofErr w:type="spellEnd"/>
      <w:r w:rsidRPr="0049357A">
        <w:rPr>
          <w:rFonts w:ascii="Times New Roman" w:hAnsi="Times New Roman" w:cs="Times New Roman"/>
          <w:color w:val="000000" w:themeColor="text1"/>
          <w:sz w:val="28"/>
          <w:szCs w:val="28"/>
          <w:lang w:val="en-US"/>
        </w:rPr>
        <w:t xml:space="preserve"> S., </w:t>
      </w:r>
      <w:proofErr w:type="spellStart"/>
      <w:r w:rsidRPr="0049357A">
        <w:rPr>
          <w:rFonts w:ascii="Times New Roman" w:hAnsi="Times New Roman" w:cs="Times New Roman"/>
          <w:color w:val="000000" w:themeColor="text1"/>
          <w:sz w:val="28"/>
          <w:szCs w:val="28"/>
          <w:lang w:val="en-US"/>
        </w:rPr>
        <w:t>Tarman</w:t>
      </w:r>
      <w:proofErr w:type="spellEnd"/>
      <w:r w:rsidRPr="0049357A">
        <w:rPr>
          <w:rFonts w:ascii="Times New Roman" w:hAnsi="Times New Roman" w:cs="Times New Roman"/>
          <w:color w:val="000000" w:themeColor="text1"/>
          <w:sz w:val="28"/>
          <w:szCs w:val="28"/>
          <w:lang w:val="en-US"/>
        </w:rPr>
        <w:t xml:space="preserve"> B., Demir S., </w:t>
      </w:r>
      <w:proofErr w:type="spellStart"/>
      <w:r w:rsidRPr="0049357A">
        <w:rPr>
          <w:rFonts w:ascii="Times New Roman" w:hAnsi="Times New Roman" w:cs="Times New Roman"/>
          <w:color w:val="000000" w:themeColor="text1"/>
          <w:sz w:val="28"/>
          <w:szCs w:val="28"/>
          <w:lang w:val="en-US"/>
        </w:rPr>
        <w:t>Baizyldayeva</w:t>
      </w:r>
      <w:proofErr w:type="spellEnd"/>
      <w:r w:rsidRPr="0049357A">
        <w:rPr>
          <w:rFonts w:ascii="Times New Roman" w:hAnsi="Times New Roman" w:cs="Times New Roman"/>
          <w:color w:val="000000" w:themeColor="text1"/>
          <w:sz w:val="28"/>
          <w:szCs w:val="28"/>
          <w:lang w:val="en-US"/>
        </w:rPr>
        <w:t xml:space="preserve"> U., </w:t>
      </w:r>
      <w:proofErr w:type="spellStart"/>
      <w:r w:rsidRPr="0049357A">
        <w:rPr>
          <w:rFonts w:ascii="Times New Roman" w:hAnsi="Times New Roman" w:cs="Times New Roman"/>
          <w:color w:val="000000" w:themeColor="text1"/>
          <w:sz w:val="28"/>
          <w:szCs w:val="28"/>
          <w:lang w:val="en-US"/>
        </w:rPr>
        <w:t>Yussupova</w:t>
      </w:r>
      <w:proofErr w:type="spellEnd"/>
      <w:r w:rsidRPr="0049357A">
        <w:rPr>
          <w:rFonts w:ascii="Times New Roman" w:hAnsi="Times New Roman" w:cs="Times New Roman"/>
          <w:color w:val="000000" w:themeColor="text1"/>
          <w:sz w:val="28"/>
          <w:szCs w:val="28"/>
          <w:lang w:val="en-US"/>
        </w:rPr>
        <w:t xml:space="preserve"> S. The moderating role of entrepreneurial self-efficacy and locus of control on the effect of the university environment and program on entrepreneurial intention and attitudes // European Journal of Educational Research. – 2023. – Vol.12, №3. – P.1539-1554. </w:t>
      </w:r>
    </w:p>
    <w:p w14:paraId="59C9F2D3"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Schermelleh</w:t>
      </w:r>
      <w:proofErr w:type="spellEnd"/>
      <w:r w:rsidRPr="0049357A">
        <w:rPr>
          <w:rFonts w:ascii="Times New Roman" w:hAnsi="Times New Roman" w:cs="Times New Roman"/>
          <w:color w:val="000000" w:themeColor="text1"/>
          <w:sz w:val="28"/>
          <w:szCs w:val="28"/>
          <w:lang w:val="en-US"/>
        </w:rPr>
        <w:t xml:space="preserve">-Engel K., </w:t>
      </w:r>
      <w:proofErr w:type="spellStart"/>
      <w:r w:rsidRPr="0049357A">
        <w:rPr>
          <w:rFonts w:ascii="Times New Roman" w:hAnsi="Times New Roman" w:cs="Times New Roman"/>
          <w:color w:val="000000" w:themeColor="text1"/>
          <w:sz w:val="28"/>
          <w:szCs w:val="28"/>
          <w:lang w:val="en-US"/>
        </w:rPr>
        <w:t>Moosbrugger</w:t>
      </w:r>
      <w:proofErr w:type="spellEnd"/>
      <w:r w:rsidRPr="0049357A">
        <w:rPr>
          <w:rFonts w:ascii="Times New Roman" w:hAnsi="Times New Roman" w:cs="Times New Roman"/>
          <w:color w:val="000000" w:themeColor="text1"/>
          <w:sz w:val="28"/>
          <w:szCs w:val="28"/>
          <w:lang w:val="en-US"/>
        </w:rPr>
        <w:t xml:space="preserve"> H., Müller H. Evaluating the fit of structural equation models: Tests of significance and descriptive goodness-of-fit measures // MPR-Online. – 2003. – Vol. 8, №2. – P. 23–74. </w:t>
      </w:r>
    </w:p>
    <w:p w14:paraId="33757E24"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lastRenderedPageBreak/>
        <w:t xml:space="preserve">Franke N., </w:t>
      </w:r>
      <w:proofErr w:type="spellStart"/>
      <w:r w:rsidRPr="0049357A">
        <w:rPr>
          <w:rFonts w:ascii="Times New Roman" w:hAnsi="Times New Roman" w:cs="Times New Roman"/>
          <w:color w:val="000000" w:themeColor="text1"/>
          <w:sz w:val="28"/>
          <w:szCs w:val="28"/>
          <w:lang w:val="en-US"/>
        </w:rPr>
        <w:t>Lüthje</w:t>
      </w:r>
      <w:proofErr w:type="spellEnd"/>
      <w:r w:rsidRPr="0049357A">
        <w:rPr>
          <w:rFonts w:ascii="Times New Roman" w:hAnsi="Times New Roman" w:cs="Times New Roman"/>
          <w:color w:val="000000" w:themeColor="text1"/>
          <w:sz w:val="28"/>
          <w:szCs w:val="28"/>
          <w:lang w:val="en-US"/>
        </w:rPr>
        <w:t xml:space="preserve"> C. Entrepreneurial intentions of business students: A Benchmarking study // International Journal of Innovation and Technology Management. – 2004. – Vol.01, №03. – P.269–288. </w:t>
      </w:r>
    </w:p>
    <w:p w14:paraId="3D74FDB9"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Souitaris</w:t>
      </w:r>
      <w:proofErr w:type="spellEnd"/>
      <w:r w:rsidRPr="0049357A">
        <w:rPr>
          <w:rFonts w:ascii="Times New Roman" w:hAnsi="Times New Roman" w:cs="Times New Roman"/>
          <w:color w:val="000000" w:themeColor="text1"/>
          <w:sz w:val="28"/>
          <w:szCs w:val="28"/>
          <w:lang w:val="en-US"/>
        </w:rPr>
        <w:t xml:space="preserve"> V., </w:t>
      </w:r>
      <w:proofErr w:type="spellStart"/>
      <w:r w:rsidRPr="0049357A">
        <w:rPr>
          <w:rFonts w:ascii="Times New Roman" w:hAnsi="Times New Roman" w:cs="Times New Roman"/>
          <w:color w:val="000000" w:themeColor="text1"/>
          <w:sz w:val="28"/>
          <w:szCs w:val="28"/>
          <w:lang w:val="en-US"/>
        </w:rPr>
        <w:t>Zerbinati</w:t>
      </w:r>
      <w:proofErr w:type="spellEnd"/>
      <w:r w:rsidRPr="0049357A">
        <w:rPr>
          <w:rFonts w:ascii="Times New Roman" w:hAnsi="Times New Roman" w:cs="Times New Roman"/>
          <w:color w:val="000000" w:themeColor="text1"/>
          <w:sz w:val="28"/>
          <w:szCs w:val="28"/>
          <w:lang w:val="en-US"/>
        </w:rPr>
        <w:t xml:space="preserve"> S., Al-</w:t>
      </w:r>
      <w:proofErr w:type="spellStart"/>
      <w:r w:rsidRPr="0049357A">
        <w:rPr>
          <w:rFonts w:ascii="Times New Roman" w:hAnsi="Times New Roman" w:cs="Times New Roman"/>
          <w:color w:val="000000" w:themeColor="text1"/>
          <w:sz w:val="28"/>
          <w:szCs w:val="28"/>
          <w:lang w:val="en-US"/>
        </w:rPr>
        <w:t>Laham</w:t>
      </w:r>
      <w:proofErr w:type="spellEnd"/>
      <w:r w:rsidRPr="0049357A">
        <w:rPr>
          <w:rFonts w:ascii="Times New Roman" w:hAnsi="Times New Roman" w:cs="Times New Roman"/>
          <w:color w:val="000000" w:themeColor="text1"/>
          <w:sz w:val="28"/>
          <w:szCs w:val="28"/>
          <w:lang w:val="en-US"/>
        </w:rPr>
        <w:t xml:space="preserve"> A. Do entrepreneurship </w:t>
      </w:r>
      <w:proofErr w:type="spellStart"/>
      <w:r w:rsidRPr="0049357A">
        <w:rPr>
          <w:rFonts w:ascii="Times New Roman" w:hAnsi="Times New Roman" w:cs="Times New Roman"/>
          <w:color w:val="000000" w:themeColor="text1"/>
          <w:sz w:val="28"/>
          <w:szCs w:val="28"/>
          <w:lang w:val="en-US"/>
        </w:rPr>
        <w:t>programmes</w:t>
      </w:r>
      <w:proofErr w:type="spellEnd"/>
      <w:r w:rsidRPr="0049357A">
        <w:rPr>
          <w:rFonts w:ascii="Times New Roman" w:hAnsi="Times New Roman" w:cs="Times New Roman"/>
          <w:color w:val="000000" w:themeColor="text1"/>
          <w:sz w:val="28"/>
          <w:szCs w:val="28"/>
          <w:lang w:val="en-US"/>
        </w:rPr>
        <w:t xml:space="preserve"> raise entrepreneurial intention of science and engineering students? The effect of learning, inspiration and resources // Journal of Business Venturing. – 2007. – Vol.22, №4. – P.566–591. </w:t>
      </w:r>
    </w:p>
    <w:p w14:paraId="4C368975"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Levenson H. Multidimensional locus of control in psychiatric patients // Journal of Consulting and Clinical Psychology. – 1973. – Vol.41, №3. – P.397–404. </w:t>
      </w:r>
    </w:p>
    <w:p w14:paraId="634432E1"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Liñán</w:t>
      </w:r>
      <w:proofErr w:type="spellEnd"/>
      <w:r w:rsidRPr="0049357A">
        <w:rPr>
          <w:rFonts w:ascii="Times New Roman" w:hAnsi="Times New Roman" w:cs="Times New Roman"/>
          <w:color w:val="000000" w:themeColor="text1"/>
          <w:sz w:val="28"/>
          <w:szCs w:val="28"/>
          <w:lang w:val="en-US"/>
        </w:rPr>
        <w:t xml:space="preserve"> F., Chen Y.W. Development and cross-cultural application of a specific instrument to measure entrepreneurial intentions // Entrepreneurship Theory and Practice. – 2009. – Vol.33, №3. – P. 593–617.</w:t>
      </w:r>
    </w:p>
    <w:p w14:paraId="4A60D8B9"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Hu L.T., </w:t>
      </w:r>
      <w:proofErr w:type="spellStart"/>
      <w:r w:rsidRPr="0049357A">
        <w:rPr>
          <w:rFonts w:ascii="Times New Roman" w:hAnsi="Times New Roman" w:cs="Times New Roman"/>
          <w:color w:val="000000" w:themeColor="text1"/>
          <w:sz w:val="28"/>
          <w:szCs w:val="28"/>
          <w:lang w:val="en-US"/>
        </w:rPr>
        <w:t>Bentler</w:t>
      </w:r>
      <w:proofErr w:type="spellEnd"/>
      <w:r w:rsidRPr="0049357A">
        <w:rPr>
          <w:rFonts w:ascii="Times New Roman" w:hAnsi="Times New Roman" w:cs="Times New Roman"/>
          <w:color w:val="000000" w:themeColor="text1"/>
          <w:sz w:val="28"/>
          <w:szCs w:val="28"/>
          <w:lang w:val="en-US"/>
        </w:rPr>
        <w:t xml:space="preserve"> P. M. Cutoff criteria for fit indexes in covariance structure analysis: Conventional criteria versus new alternatives // Structural Equation Modeling. – 1999. – Vol.6, №1. – P.1–55.</w:t>
      </w:r>
    </w:p>
    <w:p w14:paraId="00671C2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Kline T. J. B. Psychological testing a practical approach to design and evaluation. – Thousand Oaks: Sage publications., 2005. 15.02.2023</w:t>
      </w:r>
    </w:p>
    <w:p w14:paraId="0EAEFF8C"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Kim S., Sturman E., Kim E. S. Structural equation modeling: Principles, processes, and practices // K. D. Strang (Ed.), The Palgrave handbook of research design in business and management. – New-York: Palgrave Macmillan. - 2005. – P.153-172. </w:t>
      </w:r>
    </w:p>
    <w:p w14:paraId="6A8E645E"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On State Youth Policy. The Law of The Republic of Kazakhstan dated 9 February 2015 №285-V </w:t>
      </w:r>
      <w:hyperlink r:id="rId194" w:history="1">
        <w:r w:rsidRPr="0049357A">
          <w:rPr>
            <w:rFonts w:ascii="Times New Roman" w:hAnsi="Times New Roman" w:cs="Times New Roman"/>
            <w:color w:val="000000" w:themeColor="text1"/>
            <w:sz w:val="28"/>
            <w:szCs w:val="28"/>
            <w:lang w:val="en-US"/>
          </w:rPr>
          <w:t>https://adilet.zan.kz/eng/docs/Z1500000285</w:t>
        </w:r>
      </w:hyperlink>
      <w:r w:rsidRPr="0049357A">
        <w:rPr>
          <w:rFonts w:ascii="Times New Roman" w:hAnsi="Times New Roman" w:cs="Times New Roman"/>
          <w:color w:val="000000" w:themeColor="text1"/>
          <w:sz w:val="28"/>
          <w:szCs w:val="28"/>
          <w:lang w:val="en-US"/>
        </w:rPr>
        <w:t>. 20.01.2023</w:t>
      </w:r>
    </w:p>
    <w:p w14:paraId="73AD4F6E"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Tavakol</w:t>
      </w:r>
      <w:proofErr w:type="spellEnd"/>
      <w:r w:rsidRPr="0049357A">
        <w:rPr>
          <w:rFonts w:ascii="Times New Roman" w:hAnsi="Times New Roman" w:cs="Times New Roman"/>
          <w:color w:val="000000" w:themeColor="text1"/>
          <w:sz w:val="28"/>
          <w:szCs w:val="28"/>
          <w:lang w:val="en-US"/>
        </w:rPr>
        <w:t xml:space="preserve">, Mohsen &amp; </w:t>
      </w:r>
      <w:proofErr w:type="spellStart"/>
      <w:r w:rsidRPr="0049357A">
        <w:rPr>
          <w:rFonts w:ascii="Times New Roman" w:hAnsi="Times New Roman" w:cs="Times New Roman"/>
          <w:color w:val="000000" w:themeColor="text1"/>
          <w:sz w:val="28"/>
          <w:szCs w:val="28"/>
          <w:lang w:val="en-US"/>
        </w:rPr>
        <w:t>Dennick</w:t>
      </w:r>
      <w:proofErr w:type="spellEnd"/>
      <w:r w:rsidRPr="0049357A">
        <w:rPr>
          <w:rFonts w:ascii="Times New Roman" w:hAnsi="Times New Roman" w:cs="Times New Roman"/>
          <w:color w:val="000000" w:themeColor="text1"/>
          <w:sz w:val="28"/>
          <w:szCs w:val="28"/>
          <w:lang w:val="en-US"/>
        </w:rPr>
        <w:t xml:space="preserve">, Reg. (2011). Making Sense of Cronbach's Alpha. International Journal of Medical Education. 2. 53-55. 10.5116/ijme.4dfb.8dfd. </w:t>
      </w:r>
    </w:p>
    <w:p w14:paraId="5ACD26D8"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Cronbach L.J. Coefficient alpha and the internal structure of tests // Psychometrika. – 1951. – Vol.16. – P.297-334. </w:t>
      </w:r>
    </w:p>
    <w:p w14:paraId="0B581E4A"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Sekerbayeva</w:t>
      </w:r>
      <w:proofErr w:type="spellEnd"/>
      <w:r w:rsidRPr="0049357A">
        <w:rPr>
          <w:rFonts w:ascii="Times New Roman" w:hAnsi="Times New Roman" w:cs="Times New Roman"/>
          <w:color w:val="000000" w:themeColor="text1"/>
          <w:sz w:val="28"/>
          <w:szCs w:val="28"/>
          <w:lang w:val="en-US"/>
        </w:rPr>
        <w:t xml:space="preserve"> A., </w:t>
      </w:r>
      <w:proofErr w:type="spellStart"/>
      <w:r w:rsidRPr="0049357A">
        <w:rPr>
          <w:rFonts w:ascii="Times New Roman" w:hAnsi="Times New Roman" w:cs="Times New Roman"/>
          <w:color w:val="000000" w:themeColor="text1"/>
          <w:sz w:val="28"/>
          <w:szCs w:val="28"/>
          <w:lang w:val="en-US"/>
        </w:rPr>
        <w:t>Tamenova</w:t>
      </w:r>
      <w:proofErr w:type="spellEnd"/>
      <w:r w:rsidRPr="0049357A">
        <w:rPr>
          <w:rFonts w:ascii="Times New Roman" w:hAnsi="Times New Roman" w:cs="Times New Roman"/>
          <w:color w:val="000000" w:themeColor="text1"/>
          <w:sz w:val="28"/>
          <w:szCs w:val="28"/>
          <w:lang w:val="en-US"/>
        </w:rPr>
        <w:t xml:space="preserve"> S., </w:t>
      </w:r>
      <w:proofErr w:type="spellStart"/>
      <w:r w:rsidRPr="0049357A">
        <w:rPr>
          <w:rFonts w:ascii="Times New Roman" w:hAnsi="Times New Roman" w:cs="Times New Roman"/>
          <w:color w:val="000000" w:themeColor="text1"/>
          <w:sz w:val="28"/>
          <w:szCs w:val="28"/>
          <w:lang w:val="en-US"/>
        </w:rPr>
        <w:t>Tarman</w:t>
      </w:r>
      <w:proofErr w:type="spellEnd"/>
      <w:r w:rsidRPr="0049357A">
        <w:rPr>
          <w:rFonts w:ascii="Times New Roman" w:hAnsi="Times New Roman" w:cs="Times New Roman"/>
          <w:color w:val="000000" w:themeColor="text1"/>
          <w:sz w:val="28"/>
          <w:szCs w:val="28"/>
          <w:lang w:val="en-US"/>
        </w:rPr>
        <w:t xml:space="preserve"> B., </w:t>
      </w:r>
      <w:proofErr w:type="spellStart"/>
      <w:r w:rsidRPr="0049357A">
        <w:rPr>
          <w:rFonts w:ascii="Times New Roman" w:hAnsi="Times New Roman" w:cs="Times New Roman"/>
          <w:color w:val="000000" w:themeColor="text1"/>
          <w:sz w:val="28"/>
          <w:szCs w:val="28"/>
          <w:lang w:val="en-US"/>
        </w:rPr>
        <w:t>Razakova</w:t>
      </w:r>
      <w:proofErr w:type="spellEnd"/>
      <w:r w:rsidRPr="0049357A">
        <w:rPr>
          <w:rFonts w:ascii="Times New Roman" w:hAnsi="Times New Roman" w:cs="Times New Roman"/>
          <w:color w:val="000000" w:themeColor="text1"/>
          <w:sz w:val="28"/>
          <w:szCs w:val="28"/>
          <w:lang w:val="en-US"/>
        </w:rPr>
        <w:t xml:space="preserve"> D., </w:t>
      </w:r>
      <w:proofErr w:type="spellStart"/>
      <w:r w:rsidRPr="0049357A">
        <w:rPr>
          <w:rFonts w:ascii="Times New Roman" w:hAnsi="Times New Roman" w:cs="Times New Roman"/>
          <w:color w:val="000000" w:themeColor="text1"/>
          <w:sz w:val="28"/>
          <w:szCs w:val="28"/>
          <w:lang w:val="en-US"/>
        </w:rPr>
        <w:t>Satpayeva</w:t>
      </w:r>
      <w:proofErr w:type="spellEnd"/>
      <w:r w:rsidRPr="0049357A">
        <w:rPr>
          <w:rFonts w:ascii="Times New Roman" w:hAnsi="Times New Roman" w:cs="Times New Roman"/>
          <w:color w:val="000000" w:themeColor="text1"/>
          <w:sz w:val="28"/>
          <w:szCs w:val="28"/>
          <w:lang w:val="en-US"/>
        </w:rPr>
        <w:t xml:space="preserve"> Z.  Analysis of employment factors for university graduates in Kazakhstan // Problems and Perspectives in Management. – 2024. – Vol.22, №2. – P.683-695.</w:t>
      </w:r>
    </w:p>
    <w:p w14:paraId="528F30EA"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Badaru</w:t>
      </w:r>
      <w:proofErr w:type="spellEnd"/>
      <w:r w:rsidRPr="0049357A">
        <w:rPr>
          <w:rFonts w:ascii="Times New Roman" w:hAnsi="Times New Roman" w:cs="Times New Roman"/>
          <w:color w:val="000000" w:themeColor="text1"/>
          <w:sz w:val="28"/>
          <w:szCs w:val="28"/>
          <w:lang w:val="en-US"/>
        </w:rPr>
        <w:t xml:space="preserve"> K.A., </w:t>
      </w:r>
      <w:proofErr w:type="spellStart"/>
      <w:r w:rsidRPr="0049357A">
        <w:rPr>
          <w:rFonts w:ascii="Times New Roman" w:hAnsi="Times New Roman" w:cs="Times New Roman"/>
          <w:color w:val="000000" w:themeColor="text1"/>
          <w:sz w:val="28"/>
          <w:szCs w:val="28"/>
          <w:lang w:val="en-US"/>
        </w:rPr>
        <w:t>Adu</w:t>
      </w:r>
      <w:proofErr w:type="spellEnd"/>
      <w:r w:rsidRPr="0049357A">
        <w:rPr>
          <w:rFonts w:ascii="Times New Roman" w:hAnsi="Times New Roman" w:cs="Times New Roman"/>
          <w:color w:val="000000" w:themeColor="text1"/>
          <w:sz w:val="28"/>
          <w:szCs w:val="28"/>
          <w:lang w:val="en-US"/>
        </w:rPr>
        <w:t xml:space="preserve"> E.O. The political awareness and participation of university students in post-Apartheid South Africa // Research in Social Sciences and Technology. – 2021. – Vol.6, №3. – P.1–24. </w:t>
      </w:r>
    </w:p>
    <w:p w14:paraId="5A545407"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Barakat S., Boddington M., </w:t>
      </w:r>
      <w:proofErr w:type="spellStart"/>
      <w:r w:rsidRPr="0049357A">
        <w:rPr>
          <w:rFonts w:ascii="Times New Roman" w:hAnsi="Times New Roman" w:cs="Times New Roman"/>
          <w:color w:val="000000" w:themeColor="text1"/>
          <w:sz w:val="28"/>
          <w:szCs w:val="28"/>
          <w:lang w:val="en-US"/>
        </w:rPr>
        <w:t>Vyakarnam</w:t>
      </w:r>
      <w:proofErr w:type="spellEnd"/>
      <w:r w:rsidRPr="0049357A">
        <w:rPr>
          <w:rFonts w:ascii="Times New Roman" w:hAnsi="Times New Roman" w:cs="Times New Roman"/>
          <w:color w:val="000000" w:themeColor="text1"/>
          <w:sz w:val="28"/>
          <w:szCs w:val="28"/>
          <w:lang w:val="en-US"/>
        </w:rPr>
        <w:t xml:space="preserve"> S. Measuring entrepreneurial self-efficacy to understand the impact of creative activities for learning innovation // International Journal of Management Education. – 2014. – Vol.12, №3. – P.456–468. </w:t>
      </w:r>
    </w:p>
    <w:p w14:paraId="70287445"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Dube B., </w:t>
      </w:r>
      <w:proofErr w:type="spellStart"/>
      <w:r w:rsidRPr="0049357A">
        <w:rPr>
          <w:rFonts w:ascii="Times New Roman" w:hAnsi="Times New Roman" w:cs="Times New Roman"/>
          <w:color w:val="000000" w:themeColor="text1"/>
          <w:sz w:val="28"/>
          <w:szCs w:val="28"/>
          <w:lang w:val="en-US"/>
        </w:rPr>
        <w:t>Mahlomaholo</w:t>
      </w:r>
      <w:proofErr w:type="spellEnd"/>
      <w:r w:rsidRPr="0049357A">
        <w:rPr>
          <w:rFonts w:ascii="Times New Roman" w:hAnsi="Times New Roman" w:cs="Times New Roman"/>
          <w:color w:val="000000" w:themeColor="text1"/>
          <w:sz w:val="28"/>
          <w:szCs w:val="28"/>
          <w:lang w:val="en-US"/>
        </w:rPr>
        <w:t xml:space="preserve"> S., </w:t>
      </w:r>
      <w:proofErr w:type="spellStart"/>
      <w:r w:rsidRPr="0049357A">
        <w:rPr>
          <w:rFonts w:ascii="Times New Roman" w:hAnsi="Times New Roman" w:cs="Times New Roman"/>
          <w:color w:val="000000" w:themeColor="text1"/>
          <w:sz w:val="28"/>
          <w:szCs w:val="28"/>
          <w:lang w:val="en-US"/>
        </w:rPr>
        <w:t>Setlalentoa</w:t>
      </w:r>
      <w:proofErr w:type="spellEnd"/>
      <w:r w:rsidRPr="0049357A">
        <w:rPr>
          <w:rFonts w:ascii="Times New Roman" w:hAnsi="Times New Roman" w:cs="Times New Roman"/>
          <w:color w:val="000000" w:themeColor="text1"/>
          <w:sz w:val="28"/>
          <w:szCs w:val="28"/>
          <w:lang w:val="en-US"/>
        </w:rPr>
        <w:t xml:space="preserve"> W., </w:t>
      </w:r>
      <w:proofErr w:type="spellStart"/>
      <w:r w:rsidRPr="0049357A">
        <w:rPr>
          <w:rFonts w:ascii="Times New Roman" w:hAnsi="Times New Roman" w:cs="Times New Roman"/>
          <w:color w:val="000000" w:themeColor="text1"/>
          <w:sz w:val="28"/>
          <w:szCs w:val="28"/>
          <w:lang w:val="en-US"/>
        </w:rPr>
        <w:t>Tarman</w:t>
      </w:r>
      <w:proofErr w:type="spellEnd"/>
      <w:r w:rsidRPr="0049357A">
        <w:rPr>
          <w:rFonts w:ascii="Times New Roman" w:hAnsi="Times New Roman" w:cs="Times New Roman"/>
          <w:color w:val="000000" w:themeColor="text1"/>
          <w:sz w:val="28"/>
          <w:szCs w:val="28"/>
          <w:lang w:val="en-US"/>
        </w:rPr>
        <w:t xml:space="preserve"> B. (2023). Creating sustainable learning environments in the era of the posthuman: Towards </w:t>
      </w:r>
      <w:proofErr w:type="spellStart"/>
      <w:r w:rsidRPr="0049357A">
        <w:rPr>
          <w:rFonts w:ascii="Times New Roman" w:hAnsi="Times New Roman" w:cs="Times New Roman"/>
          <w:color w:val="000000" w:themeColor="text1"/>
          <w:sz w:val="28"/>
          <w:szCs w:val="28"/>
          <w:lang w:val="en-US"/>
        </w:rPr>
        <w:t>orderless</w:t>
      </w:r>
      <w:proofErr w:type="spellEnd"/>
      <w:r w:rsidRPr="0049357A">
        <w:rPr>
          <w:rFonts w:ascii="Times New Roman" w:hAnsi="Times New Roman" w:cs="Times New Roman"/>
          <w:color w:val="000000" w:themeColor="text1"/>
          <w:sz w:val="28"/>
          <w:szCs w:val="28"/>
          <w:lang w:val="en-US"/>
        </w:rPr>
        <w:t xml:space="preserve"> curriculum // Journal of Curriculum Studies Research. – 2023. – Vol.5, №1. – P. </w:t>
      </w:r>
      <w:proofErr w:type="spellStart"/>
      <w:r w:rsidRPr="0049357A">
        <w:rPr>
          <w:rFonts w:ascii="Times New Roman" w:hAnsi="Times New Roman" w:cs="Times New Roman"/>
          <w:color w:val="000000" w:themeColor="text1"/>
          <w:sz w:val="28"/>
          <w:szCs w:val="28"/>
          <w:lang w:val="en-US"/>
        </w:rPr>
        <w:t>i</w:t>
      </w:r>
      <w:proofErr w:type="spellEnd"/>
      <w:r w:rsidRPr="0049357A">
        <w:rPr>
          <w:rFonts w:ascii="Times New Roman" w:hAnsi="Times New Roman" w:cs="Times New Roman"/>
          <w:color w:val="000000" w:themeColor="text1"/>
          <w:sz w:val="28"/>
          <w:szCs w:val="28"/>
          <w:lang w:val="en-US"/>
        </w:rPr>
        <w:t xml:space="preserve">–x. </w:t>
      </w:r>
    </w:p>
    <w:p w14:paraId="5B017233"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Galán</w:t>
      </w:r>
      <w:proofErr w:type="spellEnd"/>
      <w:r w:rsidRPr="0049357A">
        <w:rPr>
          <w:rFonts w:ascii="Times New Roman" w:hAnsi="Times New Roman" w:cs="Times New Roman"/>
          <w:color w:val="000000" w:themeColor="text1"/>
          <w:sz w:val="28"/>
          <w:szCs w:val="28"/>
          <w:lang w:val="en-US"/>
        </w:rPr>
        <w:t xml:space="preserve">-Casado D., </w:t>
      </w:r>
      <w:proofErr w:type="spellStart"/>
      <w:r w:rsidRPr="0049357A">
        <w:rPr>
          <w:rFonts w:ascii="Times New Roman" w:hAnsi="Times New Roman" w:cs="Times New Roman"/>
          <w:color w:val="000000" w:themeColor="text1"/>
          <w:sz w:val="28"/>
          <w:szCs w:val="28"/>
          <w:lang w:val="en-US"/>
        </w:rPr>
        <w:t>Moraleda</w:t>
      </w:r>
      <w:proofErr w:type="spellEnd"/>
      <w:r w:rsidRPr="0049357A">
        <w:rPr>
          <w:rFonts w:ascii="Times New Roman" w:hAnsi="Times New Roman" w:cs="Times New Roman"/>
          <w:color w:val="000000" w:themeColor="text1"/>
          <w:sz w:val="28"/>
          <w:szCs w:val="28"/>
          <w:lang w:val="en-US"/>
        </w:rPr>
        <w:t xml:space="preserve"> A., Martínez-Martí M. L., Pérez-Nieto M. Á. Sustainable environments in education: Results on the effects of the new </w:t>
      </w:r>
      <w:r w:rsidRPr="0049357A">
        <w:rPr>
          <w:rFonts w:ascii="Times New Roman" w:hAnsi="Times New Roman" w:cs="Times New Roman"/>
          <w:color w:val="000000" w:themeColor="text1"/>
          <w:sz w:val="28"/>
          <w:szCs w:val="28"/>
          <w:lang w:val="en-US"/>
        </w:rPr>
        <w:lastRenderedPageBreak/>
        <w:t>environments in learning processes of university students // Sustainability. – 2020. – Vol.12, №7. – P.1-12.</w:t>
      </w:r>
    </w:p>
    <w:p w14:paraId="61870789"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Molomo</w:t>
      </w:r>
      <w:proofErr w:type="spellEnd"/>
      <w:r w:rsidRPr="0049357A">
        <w:rPr>
          <w:rFonts w:ascii="Times New Roman" w:hAnsi="Times New Roman" w:cs="Times New Roman"/>
          <w:color w:val="000000" w:themeColor="text1"/>
          <w:sz w:val="28"/>
          <w:szCs w:val="28"/>
          <w:lang w:val="en-US"/>
        </w:rPr>
        <w:t xml:space="preserve"> P. A. Renewal in educational spaces as a relational aspect: Making way for a new culture of reasoning innovation and sustainability // Journal of Curriculum Studies Research. – 2023. – Vol.5, №1. – P.82–94. </w:t>
      </w:r>
    </w:p>
    <w:p w14:paraId="1438FA06"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Nur’Aini</w:t>
      </w:r>
      <w:proofErr w:type="spellEnd"/>
      <w:r w:rsidRPr="0049357A">
        <w:rPr>
          <w:rFonts w:ascii="Times New Roman" w:hAnsi="Times New Roman" w:cs="Times New Roman"/>
          <w:color w:val="000000" w:themeColor="text1"/>
          <w:sz w:val="28"/>
          <w:szCs w:val="28"/>
          <w:lang w:val="en-US"/>
        </w:rPr>
        <w:t xml:space="preserve"> S. University students’ learning disruption and affordance in a contested learning environment // Research in Social Sciences and Technology. – 2021. – Vol.6, №3. – P.25–44. </w:t>
      </w:r>
    </w:p>
    <w:p w14:paraId="68DC7731"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Wahyudi</w:t>
      </w:r>
      <w:proofErr w:type="spellEnd"/>
      <w:r w:rsidRPr="0049357A">
        <w:rPr>
          <w:rFonts w:ascii="Times New Roman" w:hAnsi="Times New Roman" w:cs="Times New Roman"/>
          <w:color w:val="000000" w:themeColor="text1"/>
          <w:sz w:val="28"/>
          <w:szCs w:val="28"/>
          <w:lang w:val="en-US"/>
        </w:rPr>
        <w:t xml:space="preserve"> W. Peasants’ resistance to state-owned enterprises: Learning from an </w:t>
      </w:r>
      <w:proofErr w:type="spellStart"/>
      <w:r w:rsidRPr="0049357A">
        <w:rPr>
          <w:rFonts w:ascii="Times New Roman" w:hAnsi="Times New Roman" w:cs="Times New Roman"/>
          <w:color w:val="000000" w:themeColor="text1"/>
          <w:sz w:val="28"/>
          <w:szCs w:val="28"/>
          <w:lang w:val="en-US"/>
        </w:rPr>
        <w:t>indonesian</w:t>
      </w:r>
      <w:proofErr w:type="spellEnd"/>
      <w:r w:rsidRPr="0049357A">
        <w:rPr>
          <w:rFonts w:ascii="Times New Roman" w:hAnsi="Times New Roman" w:cs="Times New Roman"/>
          <w:color w:val="000000" w:themeColor="text1"/>
          <w:sz w:val="28"/>
          <w:szCs w:val="28"/>
          <w:lang w:val="en-US"/>
        </w:rPr>
        <w:t xml:space="preserve"> social movement // Journal of Social Studies Education Research. – 2021. – Vol.12, №3. – P.368–395. </w:t>
      </w:r>
    </w:p>
    <w:p w14:paraId="6CD589C9"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Islam T. Cultivating entrepreneurs: Role of the university environment, locus of control and self-efficacy // Procedia Computer Science. – 2019. – Vol.158. – P.642–647. </w:t>
      </w:r>
    </w:p>
    <w:p w14:paraId="5713CEF1"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Wardana</w:t>
      </w:r>
      <w:proofErr w:type="spellEnd"/>
      <w:r w:rsidRPr="0049357A">
        <w:rPr>
          <w:rFonts w:ascii="Times New Roman" w:hAnsi="Times New Roman" w:cs="Times New Roman"/>
          <w:color w:val="000000" w:themeColor="text1"/>
          <w:sz w:val="28"/>
          <w:szCs w:val="28"/>
          <w:lang w:val="en-US"/>
        </w:rPr>
        <w:t xml:space="preserve"> L. W., </w:t>
      </w:r>
      <w:proofErr w:type="spellStart"/>
      <w:r w:rsidRPr="0049357A">
        <w:rPr>
          <w:rFonts w:ascii="Times New Roman" w:hAnsi="Times New Roman" w:cs="Times New Roman"/>
          <w:color w:val="000000" w:themeColor="text1"/>
          <w:sz w:val="28"/>
          <w:szCs w:val="28"/>
          <w:lang w:val="en-US"/>
        </w:rPr>
        <w:t>Narmaditya</w:t>
      </w:r>
      <w:proofErr w:type="spellEnd"/>
      <w:r w:rsidRPr="0049357A">
        <w:rPr>
          <w:rFonts w:ascii="Times New Roman" w:hAnsi="Times New Roman" w:cs="Times New Roman"/>
          <w:color w:val="000000" w:themeColor="text1"/>
          <w:sz w:val="28"/>
          <w:szCs w:val="28"/>
          <w:lang w:val="en-US"/>
        </w:rPr>
        <w:t xml:space="preserve"> B. S., Wibowo A., </w:t>
      </w:r>
      <w:proofErr w:type="spellStart"/>
      <w:r w:rsidRPr="0049357A">
        <w:rPr>
          <w:rFonts w:ascii="Times New Roman" w:hAnsi="Times New Roman" w:cs="Times New Roman"/>
          <w:color w:val="000000" w:themeColor="text1"/>
          <w:sz w:val="28"/>
          <w:szCs w:val="28"/>
          <w:lang w:val="en-US"/>
        </w:rPr>
        <w:t>Mahendra</w:t>
      </w:r>
      <w:proofErr w:type="spellEnd"/>
      <w:r w:rsidRPr="0049357A">
        <w:rPr>
          <w:rFonts w:ascii="Times New Roman" w:hAnsi="Times New Roman" w:cs="Times New Roman"/>
          <w:color w:val="000000" w:themeColor="text1"/>
          <w:sz w:val="28"/>
          <w:szCs w:val="28"/>
          <w:lang w:val="en-US"/>
        </w:rPr>
        <w:t xml:space="preserve"> A. M., Wibowo N. A., </w:t>
      </w:r>
      <w:proofErr w:type="spellStart"/>
      <w:r w:rsidRPr="0049357A">
        <w:rPr>
          <w:rFonts w:ascii="Times New Roman" w:hAnsi="Times New Roman" w:cs="Times New Roman"/>
          <w:color w:val="000000" w:themeColor="text1"/>
          <w:sz w:val="28"/>
          <w:szCs w:val="28"/>
          <w:lang w:val="en-US"/>
        </w:rPr>
        <w:t>Harwida</w:t>
      </w:r>
      <w:proofErr w:type="spellEnd"/>
      <w:r w:rsidRPr="0049357A">
        <w:rPr>
          <w:rFonts w:ascii="Times New Roman" w:hAnsi="Times New Roman" w:cs="Times New Roman"/>
          <w:color w:val="000000" w:themeColor="text1"/>
          <w:sz w:val="28"/>
          <w:szCs w:val="28"/>
          <w:lang w:val="en-US"/>
        </w:rPr>
        <w:t xml:space="preserve"> G., </w:t>
      </w:r>
      <w:proofErr w:type="spellStart"/>
      <w:r w:rsidRPr="0049357A">
        <w:rPr>
          <w:rFonts w:ascii="Times New Roman" w:hAnsi="Times New Roman" w:cs="Times New Roman"/>
          <w:color w:val="000000" w:themeColor="text1"/>
          <w:sz w:val="28"/>
          <w:szCs w:val="28"/>
          <w:lang w:val="en-US"/>
        </w:rPr>
        <w:t>Rohman</w:t>
      </w:r>
      <w:proofErr w:type="spellEnd"/>
      <w:r w:rsidRPr="0049357A">
        <w:rPr>
          <w:rFonts w:ascii="Times New Roman" w:hAnsi="Times New Roman" w:cs="Times New Roman"/>
          <w:color w:val="000000" w:themeColor="text1"/>
          <w:sz w:val="28"/>
          <w:szCs w:val="28"/>
          <w:lang w:val="en-US"/>
        </w:rPr>
        <w:t xml:space="preserve"> A. N. The impact of entrepreneurship education and students’ entrepreneurial mindset: The mediating role of attitude and self-efficacy // </w:t>
      </w:r>
      <w:proofErr w:type="spellStart"/>
      <w:r w:rsidRPr="0049357A">
        <w:rPr>
          <w:rFonts w:ascii="Times New Roman" w:hAnsi="Times New Roman" w:cs="Times New Roman"/>
          <w:color w:val="000000" w:themeColor="text1"/>
          <w:sz w:val="28"/>
          <w:szCs w:val="28"/>
          <w:lang w:val="en-US"/>
        </w:rPr>
        <w:t>Heliyon</w:t>
      </w:r>
      <w:proofErr w:type="spellEnd"/>
      <w:r w:rsidRPr="0049357A">
        <w:rPr>
          <w:rFonts w:ascii="Times New Roman" w:hAnsi="Times New Roman" w:cs="Times New Roman"/>
          <w:color w:val="000000" w:themeColor="text1"/>
          <w:sz w:val="28"/>
          <w:szCs w:val="28"/>
          <w:lang w:val="en-US"/>
        </w:rPr>
        <w:t>. – 2020. – Vol.6, №9. - 7 р.</w:t>
      </w:r>
    </w:p>
    <w:p w14:paraId="2DF6D52F"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Atmono</w:t>
      </w:r>
      <w:proofErr w:type="spellEnd"/>
      <w:r w:rsidRPr="0049357A">
        <w:rPr>
          <w:rFonts w:ascii="Times New Roman" w:hAnsi="Times New Roman" w:cs="Times New Roman"/>
          <w:color w:val="000000" w:themeColor="text1"/>
          <w:sz w:val="28"/>
          <w:szCs w:val="28"/>
          <w:lang w:val="en-US"/>
        </w:rPr>
        <w:t xml:space="preserve"> D., </w:t>
      </w:r>
      <w:proofErr w:type="spellStart"/>
      <w:r w:rsidRPr="0049357A">
        <w:rPr>
          <w:rFonts w:ascii="Times New Roman" w:hAnsi="Times New Roman" w:cs="Times New Roman"/>
          <w:color w:val="000000" w:themeColor="text1"/>
          <w:sz w:val="28"/>
          <w:szCs w:val="28"/>
          <w:lang w:val="en-US"/>
        </w:rPr>
        <w:t>Rahmattullah</w:t>
      </w:r>
      <w:proofErr w:type="spellEnd"/>
      <w:r w:rsidRPr="0049357A">
        <w:rPr>
          <w:rFonts w:ascii="Times New Roman" w:hAnsi="Times New Roman" w:cs="Times New Roman"/>
          <w:color w:val="000000" w:themeColor="text1"/>
          <w:sz w:val="28"/>
          <w:szCs w:val="28"/>
          <w:lang w:val="en-US"/>
        </w:rPr>
        <w:t xml:space="preserve"> M., Setiawan A., </w:t>
      </w:r>
      <w:proofErr w:type="spellStart"/>
      <w:r w:rsidRPr="0049357A">
        <w:rPr>
          <w:rFonts w:ascii="Times New Roman" w:hAnsi="Times New Roman" w:cs="Times New Roman"/>
          <w:color w:val="000000" w:themeColor="text1"/>
          <w:sz w:val="28"/>
          <w:szCs w:val="28"/>
          <w:lang w:val="en-US"/>
        </w:rPr>
        <w:t>Mustofa</w:t>
      </w:r>
      <w:proofErr w:type="spellEnd"/>
      <w:r w:rsidRPr="0049357A">
        <w:rPr>
          <w:rFonts w:ascii="Times New Roman" w:hAnsi="Times New Roman" w:cs="Times New Roman"/>
          <w:color w:val="000000" w:themeColor="text1"/>
          <w:sz w:val="28"/>
          <w:szCs w:val="28"/>
          <w:lang w:val="en-US"/>
        </w:rPr>
        <w:t xml:space="preserve"> R. H., </w:t>
      </w:r>
      <w:proofErr w:type="spellStart"/>
      <w:r w:rsidRPr="0049357A">
        <w:rPr>
          <w:rFonts w:ascii="Times New Roman" w:hAnsi="Times New Roman" w:cs="Times New Roman"/>
          <w:color w:val="000000" w:themeColor="text1"/>
          <w:sz w:val="28"/>
          <w:szCs w:val="28"/>
          <w:lang w:val="en-US"/>
        </w:rPr>
        <w:t>Pramudita</w:t>
      </w:r>
      <w:proofErr w:type="spellEnd"/>
      <w:r w:rsidRPr="0049357A">
        <w:rPr>
          <w:rFonts w:ascii="Times New Roman" w:hAnsi="Times New Roman" w:cs="Times New Roman"/>
          <w:color w:val="000000" w:themeColor="text1"/>
          <w:sz w:val="28"/>
          <w:szCs w:val="28"/>
          <w:lang w:val="en-US"/>
        </w:rPr>
        <w:t xml:space="preserve"> D. A., </w:t>
      </w:r>
      <w:proofErr w:type="spellStart"/>
      <w:r w:rsidRPr="0049357A">
        <w:rPr>
          <w:rFonts w:ascii="Times New Roman" w:hAnsi="Times New Roman" w:cs="Times New Roman"/>
          <w:color w:val="000000" w:themeColor="text1"/>
          <w:sz w:val="28"/>
          <w:szCs w:val="28"/>
          <w:lang w:val="en-US"/>
        </w:rPr>
        <w:t>Ulfatun</w:t>
      </w:r>
      <w:proofErr w:type="spellEnd"/>
      <w:r w:rsidRPr="0049357A">
        <w:rPr>
          <w:rFonts w:ascii="Times New Roman" w:hAnsi="Times New Roman" w:cs="Times New Roman"/>
          <w:color w:val="000000" w:themeColor="text1"/>
          <w:sz w:val="28"/>
          <w:szCs w:val="28"/>
          <w:lang w:val="en-US"/>
        </w:rPr>
        <w:t xml:space="preserve"> T., Reza R., </w:t>
      </w:r>
      <w:proofErr w:type="spellStart"/>
      <w:r w:rsidRPr="0049357A">
        <w:rPr>
          <w:rFonts w:ascii="Times New Roman" w:hAnsi="Times New Roman" w:cs="Times New Roman"/>
          <w:color w:val="000000" w:themeColor="text1"/>
          <w:sz w:val="28"/>
          <w:szCs w:val="28"/>
          <w:lang w:val="en-US"/>
        </w:rPr>
        <w:t>Mustofa</w:t>
      </w:r>
      <w:proofErr w:type="spellEnd"/>
      <w:r w:rsidRPr="0049357A">
        <w:rPr>
          <w:rFonts w:ascii="Times New Roman" w:hAnsi="Times New Roman" w:cs="Times New Roman"/>
          <w:color w:val="000000" w:themeColor="text1"/>
          <w:sz w:val="28"/>
          <w:szCs w:val="28"/>
          <w:lang w:val="en-US"/>
        </w:rPr>
        <w:t xml:space="preserve"> A. The effect of entrepreneurial education on university student’s entrepreneurial self-efficacy and entrepreneurial intention // International Journal of Evaluation and Research in Education. – 2023. – Vol.12, №1. – P.495–504. </w:t>
      </w:r>
    </w:p>
    <w:p w14:paraId="715D398C"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Maritz A., Brown C. Enhancing entrepreneurial self-efficacy through vocational entrepreneurship education </w:t>
      </w:r>
      <w:proofErr w:type="spellStart"/>
      <w:r w:rsidRPr="0049357A">
        <w:rPr>
          <w:rFonts w:ascii="Times New Roman" w:hAnsi="Times New Roman" w:cs="Times New Roman"/>
          <w:color w:val="000000" w:themeColor="text1"/>
          <w:sz w:val="28"/>
          <w:szCs w:val="28"/>
          <w:lang w:val="en-US"/>
        </w:rPr>
        <w:t>programmes</w:t>
      </w:r>
      <w:proofErr w:type="spellEnd"/>
      <w:r w:rsidRPr="0049357A">
        <w:rPr>
          <w:rFonts w:ascii="Times New Roman" w:hAnsi="Times New Roman" w:cs="Times New Roman"/>
          <w:color w:val="000000" w:themeColor="text1"/>
          <w:sz w:val="28"/>
          <w:szCs w:val="28"/>
          <w:lang w:val="en-US"/>
        </w:rPr>
        <w:t xml:space="preserve"> // Journal of Vocational Education and Training. – 2013. – Vol.65, №4. – P.543–559. </w:t>
      </w:r>
    </w:p>
    <w:p w14:paraId="2075A905"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Ajzen I., Fishbein M. The prediction of behavior from attitudinal and normative variables // Journal of Experimental Social Psychology. – 1970. – Vol.6, №4. – P.466-487.</w:t>
      </w:r>
    </w:p>
    <w:p w14:paraId="5CE1F3B7"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Roig</w:t>
      </w:r>
      <w:proofErr w:type="spellEnd"/>
      <w:r w:rsidRPr="0049357A">
        <w:rPr>
          <w:rFonts w:ascii="Times New Roman" w:hAnsi="Times New Roman" w:cs="Times New Roman"/>
          <w:color w:val="000000" w:themeColor="text1"/>
          <w:sz w:val="28"/>
          <w:szCs w:val="28"/>
          <w:lang w:val="en-US"/>
        </w:rPr>
        <w:t xml:space="preserve"> M., </w:t>
      </w:r>
      <w:proofErr w:type="spellStart"/>
      <w:r w:rsidRPr="0049357A">
        <w:rPr>
          <w:rFonts w:ascii="Times New Roman" w:hAnsi="Times New Roman" w:cs="Times New Roman"/>
          <w:color w:val="000000" w:themeColor="text1"/>
          <w:sz w:val="28"/>
          <w:szCs w:val="28"/>
          <w:lang w:val="en-US"/>
        </w:rPr>
        <w:t>Nordbrandt</w:t>
      </w:r>
      <w:proofErr w:type="spellEnd"/>
      <w:r w:rsidRPr="0049357A">
        <w:rPr>
          <w:rFonts w:ascii="Times New Roman" w:hAnsi="Times New Roman" w:cs="Times New Roman"/>
          <w:color w:val="000000" w:themeColor="text1"/>
          <w:sz w:val="28"/>
          <w:szCs w:val="28"/>
          <w:lang w:val="en-US"/>
        </w:rPr>
        <w:t xml:space="preserve"> S., </w:t>
      </w:r>
      <w:proofErr w:type="spellStart"/>
      <w:r w:rsidRPr="0049357A">
        <w:rPr>
          <w:rFonts w:ascii="Times New Roman" w:hAnsi="Times New Roman" w:cs="Times New Roman"/>
          <w:color w:val="000000" w:themeColor="text1"/>
          <w:sz w:val="28"/>
          <w:szCs w:val="28"/>
          <w:lang w:val="en-US"/>
        </w:rPr>
        <w:t>Geertsen</w:t>
      </w:r>
      <w:proofErr w:type="spellEnd"/>
      <w:r w:rsidRPr="0049357A">
        <w:rPr>
          <w:rFonts w:ascii="Times New Roman" w:hAnsi="Times New Roman" w:cs="Times New Roman"/>
          <w:color w:val="000000" w:themeColor="text1"/>
          <w:sz w:val="28"/>
          <w:szCs w:val="28"/>
          <w:lang w:val="en-US"/>
        </w:rPr>
        <w:t xml:space="preserve"> S. S., Nielsen J. B. The effects of cardiovascular exercise on human memory: a review with meta-analysis // Neuroscience &amp; Biobehavioral Reviews. – 2013. – Vol.37, №8. – P.1645-1666.</w:t>
      </w:r>
    </w:p>
    <w:p w14:paraId="634F9795"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Trudeau F., Shephard R.J. Physical education, school physical activity, school sports and academic performance // Int J </w:t>
      </w:r>
      <w:proofErr w:type="spellStart"/>
      <w:r w:rsidRPr="0049357A">
        <w:rPr>
          <w:rFonts w:ascii="Times New Roman" w:hAnsi="Times New Roman" w:cs="Times New Roman"/>
          <w:color w:val="000000" w:themeColor="text1"/>
          <w:sz w:val="28"/>
          <w:szCs w:val="28"/>
          <w:lang w:val="en-US"/>
        </w:rPr>
        <w:t>Behav</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Nutr</w:t>
      </w:r>
      <w:proofErr w:type="spellEnd"/>
      <w:r w:rsidRPr="0049357A">
        <w:rPr>
          <w:rFonts w:ascii="Times New Roman" w:hAnsi="Times New Roman" w:cs="Times New Roman"/>
          <w:color w:val="000000" w:themeColor="text1"/>
          <w:sz w:val="28"/>
          <w:szCs w:val="28"/>
          <w:lang w:val="en-US"/>
        </w:rPr>
        <w:t xml:space="preserve"> Phys Act. – 2008. – Vol.5, №1. – P.1-12. </w:t>
      </w:r>
    </w:p>
    <w:p w14:paraId="7F7722BD"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Donnelly J.E, Lambourne K. Classroom-based physical activity, cognition, and academic achievement // Preventive Medicine. – 2011. – Vol.52. – P.S36-S42.</w:t>
      </w:r>
    </w:p>
    <w:p w14:paraId="187CB748"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B4623F">
        <w:rPr>
          <w:rFonts w:ascii="Times New Roman" w:hAnsi="Times New Roman" w:cs="Times New Roman"/>
          <w:sz w:val="28"/>
          <w:szCs w:val="28"/>
          <w:lang w:val="en-US"/>
        </w:rPr>
        <w:t>Chen L.J</w:t>
      </w:r>
      <w:r w:rsidRPr="0049357A">
        <w:rPr>
          <w:rFonts w:ascii="Times New Roman" w:hAnsi="Times New Roman" w:cs="Times New Roman"/>
          <w:color w:val="000000" w:themeColor="text1"/>
          <w:sz w:val="28"/>
          <w:szCs w:val="28"/>
          <w:lang w:val="en-US"/>
        </w:rPr>
        <w:t>, </w:t>
      </w:r>
      <w:r w:rsidRPr="00B4623F">
        <w:rPr>
          <w:rFonts w:ascii="Times New Roman" w:hAnsi="Times New Roman" w:cs="Times New Roman"/>
          <w:sz w:val="28"/>
          <w:szCs w:val="28"/>
          <w:lang w:val="en-US"/>
        </w:rPr>
        <w:t>Fox K.R</w:t>
      </w:r>
      <w:r w:rsidRPr="0049357A">
        <w:rPr>
          <w:rFonts w:ascii="Times New Roman" w:hAnsi="Times New Roman" w:cs="Times New Roman"/>
          <w:color w:val="000000" w:themeColor="text1"/>
          <w:sz w:val="28"/>
          <w:szCs w:val="28"/>
          <w:lang w:val="en-US"/>
        </w:rPr>
        <w:t>, </w:t>
      </w:r>
      <w:r w:rsidRPr="00B4623F">
        <w:rPr>
          <w:rFonts w:ascii="Times New Roman" w:hAnsi="Times New Roman" w:cs="Times New Roman"/>
          <w:sz w:val="28"/>
          <w:szCs w:val="28"/>
          <w:lang w:val="en-US"/>
        </w:rPr>
        <w:t>Ku P.W</w:t>
      </w:r>
      <w:r w:rsidRPr="0049357A">
        <w:rPr>
          <w:rFonts w:ascii="Times New Roman" w:hAnsi="Times New Roman" w:cs="Times New Roman"/>
          <w:color w:val="000000" w:themeColor="text1"/>
          <w:sz w:val="28"/>
          <w:szCs w:val="28"/>
          <w:lang w:val="en-US"/>
        </w:rPr>
        <w:t>, </w:t>
      </w:r>
      <w:proofErr w:type="spellStart"/>
      <w:r w:rsidRPr="00B4623F">
        <w:rPr>
          <w:rFonts w:ascii="Times New Roman" w:hAnsi="Times New Roman" w:cs="Times New Roman"/>
          <w:sz w:val="28"/>
          <w:szCs w:val="28"/>
          <w:lang w:val="en-US"/>
        </w:rPr>
        <w:t>Taun</w:t>
      </w:r>
      <w:proofErr w:type="spellEnd"/>
      <w:r w:rsidRPr="00B4623F">
        <w:rPr>
          <w:rFonts w:ascii="Times New Roman" w:hAnsi="Times New Roman" w:cs="Times New Roman"/>
          <w:sz w:val="28"/>
          <w:szCs w:val="28"/>
          <w:lang w:val="en-US"/>
        </w:rPr>
        <w:t xml:space="preserve"> C.Y</w:t>
      </w:r>
      <w:r w:rsidRPr="0049357A">
        <w:rPr>
          <w:rFonts w:ascii="Times New Roman" w:hAnsi="Times New Roman" w:cs="Times New Roman"/>
          <w:color w:val="000000" w:themeColor="text1"/>
          <w:sz w:val="28"/>
          <w:szCs w:val="28"/>
          <w:lang w:val="en-US"/>
        </w:rPr>
        <w:t>. </w:t>
      </w:r>
      <w:r w:rsidRPr="00B4623F">
        <w:rPr>
          <w:rFonts w:ascii="Times New Roman" w:hAnsi="Times New Roman" w:cs="Times New Roman"/>
          <w:sz w:val="28"/>
          <w:szCs w:val="28"/>
          <w:lang w:val="en-US"/>
        </w:rPr>
        <w:t>Fitness change and subsequent academic performance in adolescents //</w:t>
      </w:r>
      <w:r w:rsidRPr="0049357A">
        <w:rPr>
          <w:rFonts w:ascii="Times New Roman" w:hAnsi="Times New Roman" w:cs="Times New Roman"/>
          <w:color w:val="000000" w:themeColor="text1"/>
          <w:sz w:val="28"/>
          <w:szCs w:val="28"/>
          <w:lang w:val="en-US"/>
        </w:rPr>
        <w:t> J Sch Health. – 2</w:t>
      </w:r>
      <w:r w:rsidRPr="00B4623F">
        <w:rPr>
          <w:rFonts w:ascii="Times New Roman" w:hAnsi="Times New Roman" w:cs="Times New Roman"/>
          <w:sz w:val="28"/>
          <w:szCs w:val="28"/>
          <w:lang w:val="en-US"/>
        </w:rPr>
        <w:t>013. – Vol.83, №9. – P.631-638</w:t>
      </w:r>
      <w:r w:rsidRPr="0049357A">
        <w:rPr>
          <w:rFonts w:ascii="Times New Roman" w:hAnsi="Times New Roman" w:cs="Times New Roman"/>
          <w:color w:val="000000" w:themeColor="text1"/>
          <w:sz w:val="28"/>
          <w:szCs w:val="28"/>
          <w:lang w:val="en-US"/>
        </w:rPr>
        <w:t>.</w:t>
      </w:r>
    </w:p>
    <w:p w14:paraId="038FFA2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Bezold</w:t>
      </w:r>
      <w:proofErr w:type="spellEnd"/>
      <w:r w:rsidRPr="0049357A">
        <w:rPr>
          <w:rFonts w:ascii="Times New Roman" w:hAnsi="Times New Roman" w:cs="Times New Roman"/>
          <w:color w:val="000000" w:themeColor="text1"/>
          <w:sz w:val="28"/>
          <w:szCs w:val="28"/>
          <w:lang w:val="en-US"/>
        </w:rPr>
        <w:t xml:space="preserve"> C. P., </w:t>
      </w:r>
      <w:proofErr w:type="spellStart"/>
      <w:r w:rsidRPr="0049357A">
        <w:rPr>
          <w:rFonts w:ascii="Times New Roman" w:hAnsi="Times New Roman" w:cs="Times New Roman"/>
          <w:color w:val="000000" w:themeColor="text1"/>
          <w:sz w:val="28"/>
          <w:szCs w:val="28"/>
          <w:lang w:val="en-US"/>
        </w:rPr>
        <w:t>Konty</w:t>
      </w:r>
      <w:proofErr w:type="spellEnd"/>
      <w:r w:rsidRPr="0049357A">
        <w:rPr>
          <w:rFonts w:ascii="Times New Roman" w:hAnsi="Times New Roman" w:cs="Times New Roman"/>
          <w:color w:val="000000" w:themeColor="text1"/>
          <w:sz w:val="28"/>
          <w:szCs w:val="28"/>
          <w:lang w:val="en-US"/>
        </w:rPr>
        <w:t xml:space="preserve"> K. J., Day S. E., Berger M., Harr L., Larkin M., Stark J. H. The effects of changes in physical fitness on academic performance among New York City youth // Journal of Adolescent Health. – 2014. – Vol.55, №6. – P.774-781.</w:t>
      </w:r>
    </w:p>
    <w:p w14:paraId="457BADF0"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lastRenderedPageBreak/>
        <w:t>Visier</w:t>
      </w:r>
      <w:proofErr w:type="spellEnd"/>
      <w:r w:rsidRPr="0049357A">
        <w:rPr>
          <w:rFonts w:ascii="Times New Roman" w:hAnsi="Times New Roman" w:cs="Times New Roman"/>
          <w:color w:val="000000" w:themeColor="text1"/>
          <w:sz w:val="28"/>
          <w:szCs w:val="28"/>
          <w:lang w:val="en-US"/>
        </w:rPr>
        <w:t xml:space="preserve">-Alfonso M. E., Álvarez-Bueno C., Sánchez-López M., </w:t>
      </w:r>
      <w:proofErr w:type="spellStart"/>
      <w:r w:rsidRPr="0049357A">
        <w:rPr>
          <w:rFonts w:ascii="Times New Roman" w:hAnsi="Times New Roman" w:cs="Times New Roman"/>
          <w:color w:val="000000" w:themeColor="text1"/>
          <w:sz w:val="28"/>
          <w:szCs w:val="28"/>
          <w:lang w:val="en-US"/>
        </w:rPr>
        <w:t>Cavero</w:t>
      </w:r>
      <w:proofErr w:type="spellEnd"/>
      <w:r w:rsidRPr="0049357A">
        <w:rPr>
          <w:rFonts w:ascii="Times New Roman" w:hAnsi="Times New Roman" w:cs="Times New Roman"/>
          <w:color w:val="000000" w:themeColor="text1"/>
          <w:sz w:val="28"/>
          <w:szCs w:val="28"/>
          <w:lang w:val="en-US"/>
        </w:rPr>
        <w:t>-Redondo I., Martínez-</w:t>
      </w:r>
      <w:proofErr w:type="spellStart"/>
      <w:r w:rsidRPr="0049357A">
        <w:rPr>
          <w:rFonts w:ascii="Times New Roman" w:hAnsi="Times New Roman" w:cs="Times New Roman"/>
          <w:color w:val="000000" w:themeColor="text1"/>
          <w:sz w:val="28"/>
          <w:szCs w:val="28"/>
          <w:lang w:val="en-US"/>
        </w:rPr>
        <w:t>Hortelano</w:t>
      </w:r>
      <w:proofErr w:type="spellEnd"/>
      <w:r w:rsidRPr="0049357A">
        <w:rPr>
          <w:rFonts w:ascii="Times New Roman" w:hAnsi="Times New Roman" w:cs="Times New Roman"/>
          <w:color w:val="000000" w:themeColor="text1"/>
          <w:sz w:val="28"/>
          <w:szCs w:val="28"/>
          <w:lang w:val="en-US"/>
        </w:rPr>
        <w:t xml:space="preserve"> J. A., Nieto-López M., Martínez-</w:t>
      </w:r>
      <w:proofErr w:type="spellStart"/>
      <w:r w:rsidRPr="0049357A">
        <w:rPr>
          <w:rFonts w:ascii="Times New Roman" w:hAnsi="Times New Roman" w:cs="Times New Roman"/>
          <w:color w:val="000000" w:themeColor="text1"/>
          <w:sz w:val="28"/>
          <w:szCs w:val="28"/>
          <w:lang w:val="en-US"/>
        </w:rPr>
        <w:t>Vizcaíno</w:t>
      </w:r>
      <w:proofErr w:type="spellEnd"/>
      <w:r w:rsidRPr="0049357A">
        <w:rPr>
          <w:rFonts w:ascii="Times New Roman" w:hAnsi="Times New Roman" w:cs="Times New Roman"/>
          <w:color w:val="000000" w:themeColor="text1"/>
          <w:sz w:val="28"/>
          <w:szCs w:val="28"/>
          <w:lang w:val="en-US"/>
        </w:rPr>
        <w:t xml:space="preserve"> V. Fitness and executive function as mediators between physical activity and academic achievement: mediators between physical activity and academic achievement // J. Sports Sci. – 2021. – Vol.39, №14. – P.1576–1584. </w:t>
      </w:r>
    </w:p>
    <w:p w14:paraId="34CCA3E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Liu G., Li W., Li X. Striking a balance: how long physical activity is ideal for academic success? Based on cognitive and physical fitness mediation analysis // Front. Psychol. – 2023. – Vol.14. – P.01-11.</w:t>
      </w:r>
    </w:p>
    <w:p w14:paraId="29B7EAD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Serikbayeva</w:t>
      </w:r>
      <w:proofErr w:type="spellEnd"/>
      <w:r w:rsidRPr="0049357A">
        <w:rPr>
          <w:rFonts w:ascii="Times New Roman" w:hAnsi="Times New Roman" w:cs="Times New Roman"/>
          <w:color w:val="000000" w:themeColor="text1"/>
          <w:sz w:val="28"/>
          <w:szCs w:val="28"/>
          <w:lang w:val="en-US"/>
        </w:rPr>
        <w:t xml:space="preserve"> A. 60% of university graduates work in Kazakhstan in areas other than their specialty. </w:t>
      </w:r>
      <w:proofErr w:type="spellStart"/>
      <w:r w:rsidRPr="0049357A">
        <w:rPr>
          <w:rFonts w:ascii="Times New Roman" w:hAnsi="Times New Roman" w:cs="Times New Roman"/>
          <w:color w:val="000000" w:themeColor="text1"/>
          <w:sz w:val="28"/>
          <w:szCs w:val="28"/>
          <w:lang w:val="en-US"/>
        </w:rPr>
        <w:t>KazPravda</w:t>
      </w:r>
      <w:proofErr w:type="spellEnd"/>
      <w:r w:rsidRPr="0049357A">
        <w:rPr>
          <w:rFonts w:ascii="Times New Roman" w:hAnsi="Times New Roman" w:cs="Times New Roman"/>
          <w:color w:val="000000" w:themeColor="text1"/>
          <w:sz w:val="28"/>
          <w:szCs w:val="28"/>
          <w:lang w:val="en-US"/>
        </w:rPr>
        <w:t xml:space="preserve">. </w:t>
      </w:r>
      <w:hyperlink r:id="rId195" w:history="1">
        <w:r w:rsidRPr="00B4623F">
          <w:rPr>
            <w:rFonts w:ascii="Times New Roman" w:hAnsi="Times New Roman" w:cs="Times New Roman"/>
            <w:sz w:val="28"/>
            <w:szCs w:val="28"/>
            <w:lang w:val="en-US"/>
          </w:rPr>
          <w:t>https://kazpravda.kz/n/60-vypusknikov-vuzov-rabotayut-v-kazahstane-ne-po-spetsialnosti/</w:t>
        </w:r>
      </w:hyperlink>
      <w:r w:rsidRPr="0049357A">
        <w:rPr>
          <w:rFonts w:ascii="Times New Roman" w:hAnsi="Times New Roman" w:cs="Times New Roman"/>
          <w:color w:val="000000" w:themeColor="text1"/>
          <w:sz w:val="28"/>
          <w:szCs w:val="28"/>
          <w:lang w:val="en-US"/>
        </w:rPr>
        <w:t xml:space="preserve">  10. 12. 2023. </w:t>
      </w:r>
    </w:p>
    <w:p w14:paraId="0FB84C57"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Kaliyeva</w:t>
      </w:r>
      <w:proofErr w:type="spellEnd"/>
      <w:r w:rsidRPr="0049357A">
        <w:rPr>
          <w:rFonts w:ascii="Times New Roman" w:hAnsi="Times New Roman" w:cs="Times New Roman"/>
          <w:color w:val="000000" w:themeColor="text1"/>
          <w:sz w:val="28"/>
          <w:szCs w:val="28"/>
          <w:lang w:val="en-US"/>
        </w:rPr>
        <w:t xml:space="preserve"> S. A., </w:t>
      </w:r>
      <w:proofErr w:type="spellStart"/>
      <w:r w:rsidRPr="0049357A">
        <w:rPr>
          <w:rFonts w:ascii="Times New Roman" w:hAnsi="Times New Roman" w:cs="Times New Roman"/>
          <w:color w:val="000000" w:themeColor="text1"/>
          <w:sz w:val="28"/>
          <w:szCs w:val="28"/>
          <w:lang w:val="en-US"/>
        </w:rPr>
        <w:t>Buitek</w:t>
      </w:r>
      <w:proofErr w:type="spellEnd"/>
      <w:r w:rsidRPr="0049357A">
        <w:rPr>
          <w:rFonts w:ascii="Times New Roman" w:hAnsi="Times New Roman" w:cs="Times New Roman"/>
          <w:color w:val="000000" w:themeColor="text1"/>
          <w:sz w:val="28"/>
          <w:szCs w:val="28"/>
          <w:lang w:val="en-US"/>
        </w:rPr>
        <w:t xml:space="preserve"> E. K., </w:t>
      </w:r>
      <w:proofErr w:type="spellStart"/>
      <w:r w:rsidRPr="0049357A">
        <w:rPr>
          <w:rFonts w:ascii="Times New Roman" w:hAnsi="Times New Roman" w:cs="Times New Roman"/>
          <w:color w:val="000000" w:themeColor="text1"/>
          <w:sz w:val="28"/>
          <w:szCs w:val="28"/>
          <w:lang w:val="en-US"/>
        </w:rPr>
        <w:t>Meldakhanova</w:t>
      </w:r>
      <w:proofErr w:type="spellEnd"/>
      <w:r w:rsidRPr="0049357A">
        <w:rPr>
          <w:rFonts w:ascii="Times New Roman" w:hAnsi="Times New Roman" w:cs="Times New Roman"/>
          <w:color w:val="000000" w:themeColor="text1"/>
          <w:sz w:val="28"/>
          <w:szCs w:val="28"/>
          <w:lang w:val="en-US"/>
        </w:rPr>
        <w:t xml:space="preserve"> M. K. Analysis of the youth labor market in the Republic of Kazakhstan in the context of global challenges // Economics: The Strategy and Practice. – 2020. – Vol.15, №4. – P.81-88. </w:t>
      </w:r>
    </w:p>
    <w:p w14:paraId="2C55551D"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Schmutte</w:t>
      </w:r>
      <w:proofErr w:type="spellEnd"/>
      <w:r w:rsidRPr="0049357A">
        <w:rPr>
          <w:rFonts w:ascii="Times New Roman" w:hAnsi="Times New Roman" w:cs="Times New Roman"/>
          <w:color w:val="000000" w:themeColor="text1"/>
          <w:sz w:val="28"/>
          <w:szCs w:val="28"/>
          <w:lang w:val="en-US"/>
        </w:rPr>
        <w:t xml:space="preserve"> I. M.  How do social networks affect labor </w:t>
      </w:r>
      <w:proofErr w:type="gramStart"/>
      <w:r w:rsidRPr="0049357A">
        <w:rPr>
          <w:rFonts w:ascii="Times New Roman" w:hAnsi="Times New Roman" w:cs="Times New Roman"/>
          <w:color w:val="000000" w:themeColor="text1"/>
          <w:sz w:val="28"/>
          <w:szCs w:val="28"/>
          <w:lang w:val="en-US"/>
        </w:rPr>
        <w:t>markets.</w:t>
      </w:r>
      <w:proofErr w:type="gramEnd"/>
      <w:r w:rsidRPr="0049357A">
        <w:rPr>
          <w:rFonts w:ascii="Times New Roman" w:hAnsi="Times New Roman" w:cs="Times New Roman"/>
          <w:color w:val="000000" w:themeColor="text1"/>
          <w:sz w:val="28"/>
          <w:szCs w:val="28"/>
          <w:lang w:val="en-US"/>
        </w:rPr>
        <w:t xml:space="preserve"> IZA World of Labor. – 2016. –10 р. </w:t>
      </w:r>
    </w:p>
    <w:p w14:paraId="60AEF327"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Passaretta</w:t>
      </w:r>
      <w:proofErr w:type="spellEnd"/>
      <w:r w:rsidRPr="0049357A">
        <w:rPr>
          <w:rFonts w:ascii="Times New Roman" w:hAnsi="Times New Roman" w:cs="Times New Roman"/>
          <w:color w:val="000000" w:themeColor="text1"/>
          <w:sz w:val="28"/>
          <w:szCs w:val="28"/>
          <w:lang w:val="en-US"/>
        </w:rPr>
        <w:t xml:space="preserve"> G., </w:t>
      </w:r>
      <w:proofErr w:type="spellStart"/>
      <w:r w:rsidRPr="0049357A">
        <w:rPr>
          <w:rFonts w:ascii="Times New Roman" w:hAnsi="Times New Roman" w:cs="Times New Roman"/>
          <w:color w:val="000000" w:themeColor="text1"/>
          <w:sz w:val="28"/>
          <w:szCs w:val="28"/>
          <w:lang w:val="en-US"/>
        </w:rPr>
        <w:t>Triventi</w:t>
      </w:r>
      <w:proofErr w:type="spellEnd"/>
      <w:r w:rsidRPr="0049357A">
        <w:rPr>
          <w:rFonts w:ascii="Times New Roman" w:hAnsi="Times New Roman" w:cs="Times New Roman"/>
          <w:color w:val="000000" w:themeColor="text1"/>
          <w:sz w:val="28"/>
          <w:szCs w:val="28"/>
          <w:lang w:val="en-US"/>
        </w:rPr>
        <w:t xml:space="preserve"> M. Work experience during higher education and post-graduation occupational outcomes: A comparative study on four European countries // International Journal of Comparative Sociology. – 2015. Vol.56, №3-4. – P.232-253.  </w:t>
      </w:r>
    </w:p>
    <w:p w14:paraId="32B31328"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Jackson D. The relationship between student employment, employability-building activities and graduate outcomes // Journal of Further and Higher Education. – 2024. – Vol.48, №1. – P.14–30. </w:t>
      </w:r>
    </w:p>
    <w:p w14:paraId="1AF2C644"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Mabungela</w:t>
      </w:r>
      <w:proofErr w:type="spellEnd"/>
      <w:r w:rsidRPr="0049357A">
        <w:rPr>
          <w:rFonts w:ascii="Times New Roman" w:hAnsi="Times New Roman" w:cs="Times New Roman"/>
          <w:color w:val="000000" w:themeColor="text1"/>
          <w:sz w:val="28"/>
          <w:szCs w:val="28"/>
          <w:lang w:val="en-US"/>
        </w:rPr>
        <w:t xml:space="preserve"> M., </w:t>
      </w:r>
      <w:proofErr w:type="spellStart"/>
      <w:r w:rsidRPr="0049357A">
        <w:rPr>
          <w:rFonts w:ascii="Times New Roman" w:hAnsi="Times New Roman" w:cs="Times New Roman"/>
          <w:color w:val="000000" w:themeColor="text1"/>
          <w:sz w:val="28"/>
          <w:szCs w:val="28"/>
          <w:lang w:val="en-US"/>
        </w:rPr>
        <w:t>Mtiki</w:t>
      </w:r>
      <w:proofErr w:type="spellEnd"/>
      <w:r w:rsidRPr="0049357A">
        <w:rPr>
          <w:rFonts w:ascii="Times New Roman" w:hAnsi="Times New Roman" w:cs="Times New Roman"/>
          <w:color w:val="000000" w:themeColor="text1"/>
          <w:sz w:val="28"/>
          <w:szCs w:val="28"/>
          <w:lang w:val="en-US"/>
        </w:rPr>
        <w:t xml:space="preserve"> V. Accelerating graduate employability through work-integrated learning // Research in Social Sciences and Technology. – 2024. – Vol.9, №1. – P.291-304. </w:t>
      </w:r>
    </w:p>
    <w:p w14:paraId="6EACE548"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Doskeyeva</w:t>
      </w:r>
      <w:proofErr w:type="spellEnd"/>
      <w:r w:rsidRPr="0049357A">
        <w:rPr>
          <w:rFonts w:ascii="Times New Roman" w:hAnsi="Times New Roman" w:cs="Times New Roman"/>
          <w:color w:val="000000" w:themeColor="text1"/>
          <w:sz w:val="28"/>
          <w:szCs w:val="28"/>
          <w:lang w:val="en-US"/>
        </w:rPr>
        <w:t xml:space="preserve"> G. Z., </w:t>
      </w:r>
      <w:proofErr w:type="spellStart"/>
      <w:r w:rsidRPr="0049357A">
        <w:rPr>
          <w:rFonts w:ascii="Times New Roman" w:hAnsi="Times New Roman" w:cs="Times New Roman"/>
          <w:color w:val="000000" w:themeColor="text1"/>
          <w:sz w:val="28"/>
          <w:szCs w:val="28"/>
          <w:lang w:val="en-US"/>
        </w:rPr>
        <w:t>Kuzembekova</w:t>
      </w:r>
      <w:proofErr w:type="spellEnd"/>
      <w:r w:rsidRPr="0049357A">
        <w:rPr>
          <w:rFonts w:ascii="Times New Roman" w:hAnsi="Times New Roman" w:cs="Times New Roman"/>
          <w:color w:val="000000" w:themeColor="text1"/>
          <w:sz w:val="28"/>
          <w:szCs w:val="28"/>
          <w:lang w:val="en-US"/>
        </w:rPr>
        <w:t xml:space="preserve"> R. A., </w:t>
      </w:r>
      <w:proofErr w:type="spellStart"/>
      <w:r w:rsidRPr="0049357A">
        <w:rPr>
          <w:rFonts w:ascii="Times New Roman" w:hAnsi="Times New Roman" w:cs="Times New Roman"/>
          <w:color w:val="000000" w:themeColor="text1"/>
          <w:sz w:val="28"/>
          <w:szCs w:val="28"/>
          <w:lang w:val="en-US"/>
        </w:rPr>
        <w:t>Umirzakov</w:t>
      </w:r>
      <w:proofErr w:type="spellEnd"/>
      <w:r w:rsidRPr="0049357A">
        <w:rPr>
          <w:rFonts w:ascii="Times New Roman" w:hAnsi="Times New Roman" w:cs="Times New Roman"/>
          <w:color w:val="000000" w:themeColor="text1"/>
          <w:sz w:val="28"/>
          <w:szCs w:val="28"/>
          <w:lang w:val="en-US"/>
        </w:rPr>
        <w:t xml:space="preserve"> S. Y., </w:t>
      </w:r>
      <w:proofErr w:type="spellStart"/>
      <w:r w:rsidRPr="0049357A">
        <w:rPr>
          <w:rFonts w:ascii="Times New Roman" w:hAnsi="Times New Roman" w:cs="Times New Roman"/>
          <w:color w:val="000000" w:themeColor="text1"/>
          <w:sz w:val="28"/>
          <w:szCs w:val="28"/>
          <w:lang w:val="en-US"/>
        </w:rPr>
        <w:t>Beimisheva</w:t>
      </w:r>
      <w:proofErr w:type="spellEnd"/>
      <w:r w:rsidRPr="0049357A">
        <w:rPr>
          <w:rFonts w:ascii="Times New Roman" w:hAnsi="Times New Roman" w:cs="Times New Roman"/>
          <w:color w:val="000000" w:themeColor="text1"/>
          <w:sz w:val="28"/>
          <w:szCs w:val="28"/>
          <w:lang w:val="en-US"/>
        </w:rPr>
        <w:t xml:space="preserve"> A. S., </w:t>
      </w:r>
      <w:proofErr w:type="spellStart"/>
      <w:r w:rsidRPr="0049357A">
        <w:rPr>
          <w:rFonts w:ascii="Times New Roman" w:hAnsi="Times New Roman" w:cs="Times New Roman"/>
          <w:color w:val="000000" w:themeColor="text1"/>
          <w:sz w:val="28"/>
          <w:szCs w:val="28"/>
          <w:lang w:val="en-US"/>
        </w:rPr>
        <w:t>Salimbayeva</w:t>
      </w:r>
      <w:proofErr w:type="spellEnd"/>
      <w:r w:rsidRPr="0049357A">
        <w:rPr>
          <w:rFonts w:ascii="Times New Roman" w:hAnsi="Times New Roman" w:cs="Times New Roman"/>
          <w:color w:val="000000" w:themeColor="text1"/>
          <w:sz w:val="28"/>
          <w:szCs w:val="28"/>
          <w:lang w:val="en-US"/>
        </w:rPr>
        <w:t xml:space="preserve"> R. A. How can dual education in technical and vocational institutions improve students’ academic achievements and mitigate youth unemployment in Kazakhstan? // Community College Journal of Research and Practice. – 2024. – P.1–16.</w:t>
      </w:r>
    </w:p>
    <w:p w14:paraId="79E4FF67"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Narayan D. Bonds and bridges: Social capital and poverty. – Washington DC: World Bank, 1999. –52 р.</w:t>
      </w:r>
    </w:p>
    <w:p w14:paraId="6127032F"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Woolcock M.  Social capital and its meanings // Canberra Bulletin of Public Administration. – 2000. – Vol.98. – P.17-19. </w:t>
      </w:r>
    </w:p>
    <w:p w14:paraId="30B20A27"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Smajlov</w:t>
      </w:r>
      <w:proofErr w:type="spellEnd"/>
      <w:r w:rsidRPr="0049357A">
        <w:rPr>
          <w:rFonts w:ascii="Times New Roman" w:hAnsi="Times New Roman" w:cs="Times New Roman"/>
          <w:color w:val="000000" w:themeColor="text1"/>
          <w:sz w:val="28"/>
          <w:szCs w:val="28"/>
          <w:lang w:val="en-US"/>
        </w:rPr>
        <w:t xml:space="preserve"> A. </w:t>
      </w:r>
      <w:proofErr w:type="spellStart"/>
      <w:r w:rsidRPr="0049357A">
        <w:rPr>
          <w:rFonts w:ascii="Times New Roman" w:hAnsi="Times New Roman" w:cs="Times New Roman"/>
          <w:color w:val="000000" w:themeColor="text1"/>
          <w:sz w:val="28"/>
          <w:szCs w:val="28"/>
          <w:lang w:val="en-US"/>
        </w:rPr>
        <w:t>Kazahstancy</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chashche</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ishchut</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rabotu</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cherez</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znakomyh</w:t>
      </w:r>
      <w:proofErr w:type="spellEnd"/>
      <w:r w:rsidRPr="0049357A">
        <w:rPr>
          <w:rFonts w:ascii="Times New Roman" w:hAnsi="Times New Roman" w:cs="Times New Roman"/>
          <w:color w:val="000000" w:themeColor="text1"/>
          <w:sz w:val="28"/>
          <w:szCs w:val="28"/>
          <w:lang w:val="en-US"/>
        </w:rPr>
        <w:t xml:space="preserve">, chem v </w:t>
      </w:r>
      <w:proofErr w:type="spellStart"/>
      <w:r w:rsidRPr="0049357A">
        <w:rPr>
          <w:rFonts w:ascii="Times New Roman" w:hAnsi="Times New Roman" w:cs="Times New Roman"/>
          <w:color w:val="000000" w:themeColor="text1"/>
          <w:sz w:val="28"/>
          <w:szCs w:val="28"/>
          <w:lang w:val="en-US"/>
        </w:rPr>
        <w:t>centrah</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zanyatosti</w:t>
      </w:r>
      <w:proofErr w:type="spellEnd"/>
      <w:r w:rsidRPr="0049357A">
        <w:rPr>
          <w:rFonts w:ascii="Times New Roman" w:hAnsi="Times New Roman" w:cs="Times New Roman"/>
          <w:color w:val="000000" w:themeColor="text1"/>
          <w:sz w:val="28"/>
          <w:szCs w:val="28"/>
          <w:lang w:val="en-US"/>
        </w:rPr>
        <w:t xml:space="preserve"> [Kazakhstanis more often look for work through friends than in employment centers]. </w:t>
      </w:r>
      <w:hyperlink r:id="rId196" w:history="1">
        <w:r w:rsidRPr="0049357A">
          <w:rPr>
            <w:rFonts w:ascii="Times New Roman" w:hAnsi="Times New Roman" w:cs="Times New Roman"/>
            <w:sz w:val="28"/>
            <w:szCs w:val="28"/>
          </w:rPr>
          <w:t>https</w:t>
        </w:r>
        <w:r w:rsidRPr="00B4623F">
          <w:rPr>
            <w:rFonts w:ascii="Times New Roman" w:hAnsi="Times New Roman" w:cs="Times New Roman"/>
            <w:sz w:val="28"/>
            <w:szCs w:val="28"/>
          </w:rPr>
          <w:t>://</w:t>
        </w:r>
        <w:r w:rsidRPr="0049357A">
          <w:rPr>
            <w:rFonts w:ascii="Times New Roman" w:hAnsi="Times New Roman" w:cs="Times New Roman"/>
            <w:sz w:val="28"/>
            <w:szCs w:val="28"/>
          </w:rPr>
          <w:t>www</w:t>
        </w:r>
        <w:r w:rsidRPr="00B4623F">
          <w:rPr>
            <w:rFonts w:ascii="Times New Roman" w:hAnsi="Times New Roman" w:cs="Times New Roman"/>
            <w:sz w:val="28"/>
            <w:szCs w:val="28"/>
          </w:rPr>
          <w:t>.</w:t>
        </w:r>
        <w:r w:rsidRPr="0049357A">
          <w:rPr>
            <w:rFonts w:ascii="Times New Roman" w:hAnsi="Times New Roman" w:cs="Times New Roman"/>
            <w:sz w:val="28"/>
            <w:szCs w:val="28"/>
          </w:rPr>
          <w:t>inalmaty</w:t>
        </w:r>
        <w:r w:rsidRPr="00B4623F">
          <w:rPr>
            <w:rFonts w:ascii="Times New Roman" w:hAnsi="Times New Roman" w:cs="Times New Roman"/>
            <w:sz w:val="28"/>
            <w:szCs w:val="28"/>
          </w:rPr>
          <w:t>.</w:t>
        </w:r>
        <w:r w:rsidRPr="0049357A">
          <w:rPr>
            <w:rFonts w:ascii="Times New Roman" w:hAnsi="Times New Roman" w:cs="Times New Roman"/>
            <w:sz w:val="28"/>
            <w:szCs w:val="28"/>
          </w:rPr>
          <w:t>kz</w:t>
        </w:r>
        <w:r w:rsidRPr="00B4623F">
          <w:rPr>
            <w:rFonts w:ascii="Times New Roman" w:hAnsi="Times New Roman" w:cs="Times New Roman"/>
            <w:sz w:val="28"/>
            <w:szCs w:val="28"/>
          </w:rPr>
          <w:t>/</w:t>
        </w:r>
        <w:r w:rsidRPr="0049357A">
          <w:rPr>
            <w:rFonts w:ascii="Times New Roman" w:hAnsi="Times New Roman" w:cs="Times New Roman"/>
            <w:sz w:val="28"/>
            <w:szCs w:val="28"/>
          </w:rPr>
          <w:t>news</w:t>
        </w:r>
        <w:r w:rsidRPr="00B4623F">
          <w:rPr>
            <w:rFonts w:ascii="Times New Roman" w:hAnsi="Times New Roman" w:cs="Times New Roman"/>
            <w:sz w:val="28"/>
            <w:szCs w:val="28"/>
          </w:rPr>
          <w:t>/3281997/</w:t>
        </w:r>
        <w:r w:rsidRPr="0049357A">
          <w:rPr>
            <w:rFonts w:ascii="Times New Roman" w:hAnsi="Times New Roman" w:cs="Times New Roman"/>
            <w:sz w:val="28"/>
            <w:szCs w:val="28"/>
          </w:rPr>
          <w:t>kazahstancy</w:t>
        </w:r>
        <w:r w:rsidRPr="00B4623F">
          <w:rPr>
            <w:rFonts w:ascii="Times New Roman" w:hAnsi="Times New Roman" w:cs="Times New Roman"/>
            <w:sz w:val="28"/>
            <w:szCs w:val="28"/>
          </w:rPr>
          <w:t>-</w:t>
        </w:r>
        <w:r w:rsidRPr="0049357A">
          <w:rPr>
            <w:rFonts w:ascii="Times New Roman" w:hAnsi="Times New Roman" w:cs="Times New Roman"/>
            <w:sz w:val="28"/>
            <w:szCs w:val="28"/>
          </w:rPr>
          <w:t>case</w:t>
        </w:r>
        <w:r w:rsidRPr="00B4623F">
          <w:rPr>
            <w:rFonts w:ascii="Times New Roman" w:hAnsi="Times New Roman" w:cs="Times New Roman"/>
            <w:sz w:val="28"/>
            <w:szCs w:val="28"/>
          </w:rPr>
          <w:t>-</w:t>
        </w:r>
        <w:r w:rsidRPr="0049357A">
          <w:rPr>
            <w:rFonts w:ascii="Times New Roman" w:hAnsi="Times New Roman" w:cs="Times New Roman"/>
            <w:sz w:val="28"/>
            <w:szCs w:val="28"/>
          </w:rPr>
          <w:t>isut</w:t>
        </w:r>
        <w:r w:rsidRPr="00B4623F">
          <w:rPr>
            <w:rFonts w:ascii="Times New Roman" w:hAnsi="Times New Roman" w:cs="Times New Roman"/>
            <w:sz w:val="28"/>
            <w:szCs w:val="28"/>
          </w:rPr>
          <w:t>-</w:t>
        </w:r>
        <w:r w:rsidRPr="0049357A">
          <w:rPr>
            <w:rFonts w:ascii="Times New Roman" w:hAnsi="Times New Roman" w:cs="Times New Roman"/>
            <w:sz w:val="28"/>
            <w:szCs w:val="28"/>
          </w:rPr>
          <w:t>rabotu</w:t>
        </w:r>
        <w:r w:rsidRPr="00B4623F">
          <w:rPr>
            <w:rFonts w:ascii="Times New Roman" w:hAnsi="Times New Roman" w:cs="Times New Roman"/>
            <w:sz w:val="28"/>
            <w:szCs w:val="28"/>
          </w:rPr>
          <w:t>-</w:t>
        </w:r>
        <w:r w:rsidRPr="0049357A">
          <w:rPr>
            <w:rFonts w:ascii="Times New Roman" w:hAnsi="Times New Roman" w:cs="Times New Roman"/>
            <w:sz w:val="28"/>
            <w:szCs w:val="28"/>
          </w:rPr>
          <w:t>cerez</w:t>
        </w:r>
        <w:r w:rsidRPr="00B4623F">
          <w:rPr>
            <w:rFonts w:ascii="Times New Roman" w:hAnsi="Times New Roman" w:cs="Times New Roman"/>
            <w:sz w:val="28"/>
            <w:szCs w:val="28"/>
          </w:rPr>
          <w:t>-</w:t>
        </w:r>
        <w:r w:rsidRPr="0049357A">
          <w:rPr>
            <w:rFonts w:ascii="Times New Roman" w:hAnsi="Times New Roman" w:cs="Times New Roman"/>
            <w:sz w:val="28"/>
            <w:szCs w:val="28"/>
          </w:rPr>
          <w:t>znakomyh</w:t>
        </w:r>
        <w:r w:rsidRPr="00B4623F">
          <w:rPr>
            <w:rFonts w:ascii="Times New Roman" w:hAnsi="Times New Roman" w:cs="Times New Roman"/>
            <w:sz w:val="28"/>
            <w:szCs w:val="28"/>
          </w:rPr>
          <w:t>-</w:t>
        </w:r>
        <w:r w:rsidRPr="0049357A">
          <w:rPr>
            <w:rFonts w:ascii="Times New Roman" w:hAnsi="Times New Roman" w:cs="Times New Roman"/>
            <w:sz w:val="28"/>
            <w:szCs w:val="28"/>
          </w:rPr>
          <w:t>cem</w:t>
        </w:r>
        <w:r w:rsidRPr="00B4623F">
          <w:rPr>
            <w:rFonts w:ascii="Times New Roman" w:hAnsi="Times New Roman" w:cs="Times New Roman"/>
            <w:sz w:val="28"/>
            <w:szCs w:val="28"/>
          </w:rPr>
          <w:t>-</w:t>
        </w:r>
        <w:r w:rsidRPr="0049357A">
          <w:rPr>
            <w:rFonts w:ascii="Times New Roman" w:hAnsi="Times New Roman" w:cs="Times New Roman"/>
            <w:sz w:val="28"/>
            <w:szCs w:val="28"/>
          </w:rPr>
          <w:t>v</w:t>
        </w:r>
        <w:r w:rsidRPr="00B4623F">
          <w:rPr>
            <w:rFonts w:ascii="Times New Roman" w:hAnsi="Times New Roman" w:cs="Times New Roman"/>
            <w:sz w:val="28"/>
            <w:szCs w:val="28"/>
          </w:rPr>
          <w:t>-</w:t>
        </w:r>
        <w:r w:rsidRPr="0049357A">
          <w:rPr>
            <w:rFonts w:ascii="Times New Roman" w:hAnsi="Times New Roman" w:cs="Times New Roman"/>
            <w:sz w:val="28"/>
            <w:szCs w:val="28"/>
          </w:rPr>
          <w:t>centrah</w:t>
        </w:r>
        <w:r w:rsidRPr="00B4623F">
          <w:rPr>
            <w:rFonts w:ascii="Times New Roman" w:hAnsi="Times New Roman" w:cs="Times New Roman"/>
            <w:sz w:val="28"/>
            <w:szCs w:val="28"/>
          </w:rPr>
          <w:t>-</w:t>
        </w:r>
        <w:r w:rsidRPr="0049357A">
          <w:rPr>
            <w:rFonts w:ascii="Times New Roman" w:hAnsi="Times New Roman" w:cs="Times New Roman"/>
            <w:sz w:val="28"/>
            <w:szCs w:val="28"/>
          </w:rPr>
          <w:t>zanatosti</w:t>
        </w:r>
      </w:hyperlink>
      <w:r w:rsidRPr="00B4623F">
        <w:rPr>
          <w:rFonts w:ascii="Times New Roman" w:hAnsi="Times New Roman" w:cs="Times New Roman"/>
          <w:color w:val="000000" w:themeColor="text1"/>
          <w:sz w:val="28"/>
          <w:szCs w:val="28"/>
        </w:rPr>
        <w:t xml:space="preserve">    25.11. </w:t>
      </w:r>
      <w:r w:rsidRPr="0049357A">
        <w:rPr>
          <w:rFonts w:ascii="Times New Roman" w:hAnsi="Times New Roman" w:cs="Times New Roman"/>
          <w:color w:val="000000" w:themeColor="text1"/>
          <w:sz w:val="28"/>
          <w:szCs w:val="28"/>
          <w:lang w:val="en-US"/>
        </w:rPr>
        <w:t xml:space="preserve">2022. </w:t>
      </w:r>
    </w:p>
    <w:p w14:paraId="393C391C"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Employment in Kazakhstan. </w:t>
      </w:r>
      <w:hyperlink r:id="rId197" w:history="1">
        <w:r w:rsidRPr="00B4623F">
          <w:rPr>
            <w:rFonts w:ascii="Times New Roman" w:hAnsi="Times New Roman" w:cs="Times New Roman"/>
            <w:sz w:val="28"/>
            <w:szCs w:val="28"/>
            <w:lang w:val="en-US"/>
          </w:rPr>
          <w:t>https://egov.kz/cms/en/articles/trudoustroystvo-v-kazahstane</w:t>
        </w:r>
      </w:hyperlink>
      <w:r w:rsidRPr="0049357A">
        <w:rPr>
          <w:rFonts w:ascii="Times New Roman" w:hAnsi="Times New Roman" w:cs="Times New Roman"/>
          <w:color w:val="000000" w:themeColor="text1"/>
          <w:sz w:val="28"/>
          <w:szCs w:val="28"/>
          <w:lang w:val="en-US"/>
        </w:rPr>
        <w:t xml:space="preserve">  25.11.2022.</w:t>
      </w:r>
    </w:p>
    <w:p w14:paraId="5667B0D3"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Varshavskaya</w:t>
      </w:r>
      <w:proofErr w:type="spellEnd"/>
      <w:r w:rsidRPr="0049357A">
        <w:rPr>
          <w:rFonts w:ascii="Times New Roman" w:hAnsi="Times New Roman" w:cs="Times New Roman"/>
          <w:color w:val="000000" w:themeColor="text1"/>
          <w:sz w:val="28"/>
          <w:szCs w:val="28"/>
          <w:lang w:val="en-US"/>
        </w:rPr>
        <w:t xml:space="preserve"> E., </w:t>
      </w:r>
      <w:proofErr w:type="spellStart"/>
      <w:r w:rsidRPr="0049357A">
        <w:rPr>
          <w:rFonts w:ascii="Times New Roman" w:hAnsi="Times New Roman" w:cs="Times New Roman"/>
          <w:color w:val="000000" w:themeColor="text1"/>
          <w:sz w:val="28"/>
          <w:szCs w:val="28"/>
          <w:lang w:val="en-US"/>
        </w:rPr>
        <w:t>Podverbnykh</w:t>
      </w:r>
      <w:proofErr w:type="spellEnd"/>
      <w:r w:rsidRPr="0049357A">
        <w:rPr>
          <w:rFonts w:ascii="Times New Roman" w:hAnsi="Times New Roman" w:cs="Times New Roman"/>
          <w:color w:val="000000" w:themeColor="text1"/>
          <w:sz w:val="28"/>
          <w:szCs w:val="28"/>
          <w:lang w:val="en-US"/>
        </w:rPr>
        <w:t xml:space="preserve"> U. Job search strategies of recent university graduates: prevalence and effectiveness // Education + Training. – 2021. – Vol.63, №1. – P.135-149. </w:t>
      </w:r>
    </w:p>
    <w:p w14:paraId="62F77DB2" w14:textId="77777777" w:rsidR="00F14E91" w:rsidRPr="00B4623F" w:rsidRDefault="00F14E91" w:rsidP="00015249">
      <w:pPr>
        <w:pStyle w:val="af"/>
        <w:numPr>
          <w:ilvl w:val="0"/>
          <w:numId w:val="34"/>
        </w:numPr>
        <w:ind w:left="0" w:firstLine="709"/>
        <w:jc w:val="both"/>
        <w:rPr>
          <w:rFonts w:ascii="Times New Roman" w:hAnsi="Times New Roman" w:cs="Times New Roman"/>
          <w:sz w:val="28"/>
          <w:szCs w:val="28"/>
          <w:lang w:val="en-US"/>
        </w:rPr>
      </w:pPr>
      <w:proofErr w:type="spellStart"/>
      <w:r w:rsidRPr="0049357A">
        <w:rPr>
          <w:rFonts w:ascii="Times New Roman" w:hAnsi="Times New Roman" w:cs="Times New Roman"/>
          <w:color w:val="000000" w:themeColor="text1"/>
          <w:sz w:val="28"/>
          <w:szCs w:val="28"/>
          <w:lang w:val="en-US"/>
        </w:rPr>
        <w:lastRenderedPageBreak/>
        <w:t>Alaref</w:t>
      </w:r>
      <w:proofErr w:type="spellEnd"/>
      <w:r w:rsidRPr="0049357A">
        <w:rPr>
          <w:rFonts w:ascii="Times New Roman" w:hAnsi="Times New Roman" w:cs="Times New Roman"/>
          <w:color w:val="000000" w:themeColor="text1"/>
          <w:sz w:val="28"/>
          <w:szCs w:val="28"/>
          <w:lang w:val="en-US"/>
        </w:rPr>
        <w:t xml:space="preserve"> J., Brodmann S., </w:t>
      </w:r>
      <w:proofErr w:type="spellStart"/>
      <w:r w:rsidRPr="0049357A">
        <w:rPr>
          <w:rFonts w:ascii="Times New Roman" w:hAnsi="Times New Roman" w:cs="Times New Roman"/>
          <w:color w:val="000000" w:themeColor="text1"/>
          <w:sz w:val="28"/>
          <w:szCs w:val="28"/>
          <w:lang w:val="en-US"/>
        </w:rPr>
        <w:t>Premand</w:t>
      </w:r>
      <w:proofErr w:type="spellEnd"/>
      <w:r w:rsidRPr="0049357A">
        <w:rPr>
          <w:rFonts w:ascii="Times New Roman" w:hAnsi="Times New Roman" w:cs="Times New Roman"/>
          <w:color w:val="000000" w:themeColor="text1"/>
          <w:sz w:val="28"/>
          <w:szCs w:val="28"/>
          <w:lang w:val="en-US"/>
        </w:rPr>
        <w:t xml:space="preserve"> P. The medium-term impact of entrepreneurship education on labor market outcomes: Experimental evidence from university graduates in Tunisia // Labor Economics. – 2020. – Vol.62. - e101787 р.</w:t>
      </w:r>
      <w:r w:rsidRPr="00B4623F">
        <w:rPr>
          <w:rFonts w:ascii="Times New Roman" w:hAnsi="Times New Roman" w:cs="Times New Roman"/>
          <w:sz w:val="28"/>
          <w:szCs w:val="28"/>
          <w:lang w:val="en-US"/>
        </w:rPr>
        <w:t xml:space="preserve"> </w:t>
      </w:r>
    </w:p>
    <w:p w14:paraId="4B9DF6D8" w14:textId="77777777" w:rsidR="00F14E91" w:rsidRPr="00B4623F" w:rsidRDefault="00F14E91" w:rsidP="00015249">
      <w:pPr>
        <w:pStyle w:val="af"/>
        <w:numPr>
          <w:ilvl w:val="0"/>
          <w:numId w:val="34"/>
        </w:numPr>
        <w:ind w:left="0" w:firstLine="709"/>
        <w:jc w:val="both"/>
        <w:rPr>
          <w:rFonts w:ascii="Times New Roman" w:hAnsi="Times New Roman" w:cs="Times New Roman"/>
          <w:color w:val="000000" w:themeColor="text1"/>
          <w:sz w:val="28"/>
          <w:szCs w:val="28"/>
        </w:rPr>
      </w:pPr>
      <w:proofErr w:type="spellStart"/>
      <w:r w:rsidRPr="0049357A">
        <w:rPr>
          <w:rFonts w:ascii="Times New Roman" w:hAnsi="Times New Roman" w:cs="Times New Roman"/>
          <w:color w:val="000000" w:themeColor="text1"/>
          <w:sz w:val="28"/>
          <w:szCs w:val="28"/>
          <w:lang w:val="en-US"/>
        </w:rPr>
        <w:t>Nitaliyev</w:t>
      </w:r>
      <w:proofErr w:type="spellEnd"/>
      <w:r w:rsidRPr="0049357A">
        <w:rPr>
          <w:rFonts w:ascii="Times New Roman" w:hAnsi="Times New Roman" w:cs="Times New Roman"/>
          <w:color w:val="000000" w:themeColor="text1"/>
          <w:sz w:val="28"/>
          <w:szCs w:val="28"/>
          <w:lang w:val="en-US"/>
        </w:rPr>
        <w:t xml:space="preserve"> T. With a diploma to the village, but without housing: experts announced the reduction of specialists in the regions. </w:t>
      </w:r>
      <w:hyperlink r:id="rId198" w:history="1">
        <w:r w:rsidRPr="0049357A">
          <w:rPr>
            <w:rFonts w:ascii="Times New Roman" w:hAnsi="Times New Roman" w:cs="Times New Roman"/>
            <w:sz w:val="28"/>
            <w:szCs w:val="28"/>
            <w:lang w:val="en-US"/>
          </w:rPr>
          <w:t>https</w:t>
        </w:r>
        <w:r w:rsidRPr="00B4623F">
          <w:rPr>
            <w:rFonts w:ascii="Times New Roman" w:hAnsi="Times New Roman" w:cs="Times New Roman"/>
            <w:sz w:val="28"/>
            <w:szCs w:val="28"/>
          </w:rPr>
          <w:t>://</w:t>
        </w:r>
        <w:proofErr w:type="spellStart"/>
        <w:r w:rsidRPr="0049357A">
          <w:rPr>
            <w:rFonts w:ascii="Times New Roman" w:hAnsi="Times New Roman" w:cs="Times New Roman"/>
            <w:sz w:val="28"/>
            <w:szCs w:val="28"/>
            <w:lang w:val="en-US"/>
          </w:rPr>
          <w:t>ulysmedia</w:t>
        </w:r>
        <w:proofErr w:type="spellEnd"/>
        <w:r w:rsidRPr="00B4623F">
          <w:rPr>
            <w:rFonts w:ascii="Times New Roman" w:hAnsi="Times New Roman" w:cs="Times New Roman"/>
            <w:sz w:val="28"/>
            <w:szCs w:val="28"/>
          </w:rPr>
          <w:t>.</w:t>
        </w:r>
        <w:proofErr w:type="spellStart"/>
        <w:r w:rsidRPr="0049357A">
          <w:rPr>
            <w:rFonts w:ascii="Times New Roman" w:hAnsi="Times New Roman" w:cs="Times New Roman"/>
            <w:sz w:val="28"/>
            <w:szCs w:val="28"/>
            <w:lang w:val="en-US"/>
          </w:rPr>
          <w:t>kz</w:t>
        </w:r>
        <w:proofErr w:type="spellEnd"/>
        <w:r w:rsidRPr="00B4623F">
          <w:rPr>
            <w:rFonts w:ascii="Times New Roman" w:hAnsi="Times New Roman" w:cs="Times New Roman"/>
            <w:sz w:val="28"/>
            <w:szCs w:val="28"/>
          </w:rPr>
          <w:t>/</w:t>
        </w:r>
        <w:r w:rsidRPr="0049357A">
          <w:rPr>
            <w:rFonts w:ascii="Times New Roman" w:hAnsi="Times New Roman" w:cs="Times New Roman"/>
            <w:sz w:val="28"/>
            <w:szCs w:val="28"/>
            <w:lang w:val="en-US"/>
          </w:rPr>
          <w:t>news</w:t>
        </w:r>
        <w:r w:rsidRPr="00B4623F">
          <w:rPr>
            <w:rFonts w:ascii="Times New Roman" w:hAnsi="Times New Roman" w:cs="Times New Roman"/>
            <w:sz w:val="28"/>
            <w:szCs w:val="28"/>
          </w:rPr>
          <w:t>/27259-</w:t>
        </w:r>
        <w:r w:rsidRPr="0049357A">
          <w:rPr>
            <w:rFonts w:ascii="Times New Roman" w:hAnsi="Times New Roman" w:cs="Times New Roman"/>
            <w:sz w:val="28"/>
            <w:szCs w:val="28"/>
            <w:lang w:val="en-US"/>
          </w:rPr>
          <w:t>s</w:t>
        </w:r>
        <w:r w:rsidRPr="00B4623F">
          <w:rPr>
            <w:rFonts w:ascii="Times New Roman" w:hAnsi="Times New Roman" w:cs="Times New Roman"/>
            <w:sz w:val="28"/>
            <w:szCs w:val="28"/>
          </w:rPr>
          <w:t>-</w:t>
        </w:r>
        <w:proofErr w:type="spellStart"/>
        <w:r w:rsidRPr="0049357A">
          <w:rPr>
            <w:rFonts w:ascii="Times New Roman" w:hAnsi="Times New Roman" w:cs="Times New Roman"/>
            <w:sz w:val="28"/>
            <w:szCs w:val="28"/>
            <w:lang w:val="en-US"/>
          </w:rPr>
          <w:t>diplomom</w:t>
        </w:r>
        <w:proofErr w:type="spellEnd"/>
        <w:r w:rsidRPr="00B4623F">
          <w:rPr>
            <w:rFonts w:ascii="Times New Roman" w:hAnsi="Times New Roman" w:cs="Times New Roman"/>
            <w:sz w:val="28"/>
            <w:szCs w:val="28"/>
          </w:rPr>
          <w:t>-</w:t>
        </w:r>
        <w:r w:rsidRPr="0049357A">
          <w:rPr>
            <w:rFonts w:ascii="Times New Roman" w:hAnsi="Times New Roman" w:cs="Times New Roman"/>
            <w:sz w:val="28"/>
            <w:szCs w:val="28"/>
            <w:lang w:val="en-US"/>
          </w:rPr>
          <w:t>v</w:t>
        </w:r>
        <w:r w:rsidRPr="00B4623F">
          <w:rPr>
            <w:rFonts w:ascii="Times New Roman" w:hAnsi="Times New Roman" w:cs="Times New Roman"/>
            <w:sz w:val="28"/>
            <w:szCs w:val="28"/>
          </w:rPr>
          <w:t>-</w:t>
        </w:r>
        <w:proofErr w:type="spellStart"/>
        <w:r w:rsidRPr="0049357A">
          <w:rPr>
            <w:rFonts w:ascii="Times New Roman" w:hAnsi="Times New Roman" w:cs="Times New Roman"/>
            <w:sz w:val="28"/>
            <w:szCs w:val="28"/>
            <w:lang w:val="en-US"/>
          </w:rPr>
          <w:t>selo</w:t>
        </w:r>
        <w:proofErr w:type="spellEnd"/>
        <w:r w:rsidRPr="00B4623F">
          <w:rPr>
            <w:rFonts w:ascii="Times New Roman" w:hAnsi="Times New Roman" w:cs="Times New Roman"/>
            <w:sz w:val="28"/>
            <w:szCs w:val="28"/>
          </w:rPr>
          <w:t>-</w:t>
        </w:r>
        <w:r w:rsidRPr="0049357A">
          <w:rPr>
            <w:rFonts w:ascii="Times New Roman" w:hAnsi="Times New Roman" w:cs="Times New Roman"/>
            <w:sz w:val="28"/>
            <w:szCs w:val="28"/>
            <w:lang w:val="en-US"/>
          </w:rPr>
          <w:t>no</w:t>
        </w:r>
        <w:r w:rsidRPr="00B4623F">
          <w:rPr>
            <w:rFonts w:ascii="Times New Roman" w:hAnsi="Times New Roman" w:cs="Times New Roman"/>
            <w:sz w:val="28"/>
            <w:szCs w:val="28"/>
          </w:rPr>
          <w:t>-</w:t>
        </w:r>
        <w:r w:rsidRPr="0049357A">
          <w:rPr>
            <w:rFonts w:ascii="Times New Roman" w:hAnsi="Times New Roman" w:cs="Times New Roman"/>
            <w:sz w:val="28"/>
            <w:szCs w:val="28"/>
            <w:lang w:val="en-US"/>
          </w:rPr>
          <w:t>bez</w:t>
        </w:r>
        <w:r w:rsidRPr="00B4623F">
          <w:rPr>
            <w:rFonts w:ascii="Times New Roman" w:hAnsi="Times New Roman" w:cs="Times New Roman"/>
            <w:sz w:val="28"/>
            <w:szCs w:val="28"/>
          </w:rPr>
          <w:t>-</w:t>
        </w:r>
        <w:proofErr w:type="spellStart"/>
        <w:r w:rsidRPr="0049357A">
          <w:rPr>
            <w:rFonts w:ascii="Times New Roman" w:hAnsi="Times New Roman" w:cs="Times New Roman"/>
            <w:sz w:val="28"/>
            <w:szCs w:val="28"/>
            <w:lang w:val="en-US"/>
          </w:rPr>
          <w:t>zhilia</w:t>
        </w:r>
        <w:proofErr w:type="spellEnd"/>
        <w:r w:rsidRPr="00B4623F">
          <w:rPr>
            <w:rFonts w:ascii="Times New Roman" w:hAnsi="Times New Roman" w:cs="Times New Roman"/>
            <w:sz w:val="28"/>
            <w:szCs w:val="28"/>
          </w:rPr>
          <w:t>-</w:t>
        </w:r>
        <w:r w:rsidRPr="0049357A">
          <w:rPr>
            <w:rFonts w:ascii="Times New Roman" w:hAnsi="Times New Roman" w:cs="Times New Roman"/>
            <w:sz w:val="28"/>
            <w:szCs w:val="28"/>
            <w:lang w:val="en-US"/>
          </w:rPr>
          <w:t>o</w:t>
        </w:r>
        <w:r w:rsidRPr="00B4623F">
          <w:rPr>
            <w:rFonts w:ascii="Times New Roman" w:hAnsi="Times New Roman" w:cs="Times New Roman"/>
            <w:sz w:val="28"/>
            <w:szCs w:val="28"/>
          </w:rPr>
          <w:t>-</w:t>
        </w:r>
        <w:proofErr w:type="spellStart"/>
        <w:r w:rsidRPr="0049357A">
          <w:rPr>
            <w:rFonts w:ascii="Times New Roman" w:hAnsi="Times New Roman" w:cs="Times New Roman"/>
            <w:sz w:val="28"/>
            <w:szCs w:val="28"/>
            <w:lang w:val="en-US"/>
          </w:rPr>
          <w:t>sokrashchenii</w:t>
        </w:r>
        <w:proofErr w:type="spellEnd"/>
        <w:r w:rsidRPr="00B4623F">
          <w:rPr>
            <w:rFonts w:ascii="Times New Roman" w:hAnsi="Times New Roman" w:cs="Times New Roman"/>
            <w:sz w:val="28"/>
            <w:szCs w:val="28"/>
          </w:rPr>
          <w:t>-</w:t>
        </w:r>
        <w:proofErr w:type="spellStart"/>
        <w:r w:rsidRPr="0049357A">
          <w:rPr>
            <w:rFonts w:ascii="Times New Roman" w:hAnsi="Times New Roman" w:cs="Times New Roman"/>
            <w:sz w:val="28"/>
            <w:szCs w:val="28"/>
            <w:lang w:val="en-US"/>
          </w:rPr>
          <w:t>spetsialistov</w:t>
        </w:r>
        <w:proofErr w:type="spellEnd"/>
        <w:r w:rsidRPr="00B4623F">
          <w:rPr>
            <w:rFonts w:ascii="Times New Roman" w:hAnsi="Times New Roman" w:cs="Times New Roman"/>
            <w:sz w:val="28"/>
            <w:szCs w:val="28"/>
          </w:rPr>
          <w:t>-</w:t>
        </w:r>
        <w:r w:rsidRPr="0049357A">
          <w:rPr>
            <w:rFonts w:ascii="Times New Roman" w:hAnsi="Times New Roman" w:cs="Times New Roman"/>
            <w:sz w:val="28"/>
            <w:szCs w:val="28"/>
            <w:lang w:val="en-US"/>
          </w:rPr>
          <w:t>v</w:t>
        </w:r>
        <w:r w:rsidRPr="00B4623F">
          <w:rPr>
            <w:rFonts w:ascii="Times New Roman" w:hAnsi="Times New Roman" w:cs="Times New Roman"/>
            <w:sz w:val="28"/>
            <w:szCs w:val="28"/>
          </w:rPr>
          <w:t>-</w:t>
        </w:r>
        <w:proofErr w:type="spellStart"/>
        <w:r w:rsidRPr="0049357A">
          <w:rPr>
            <w:rFonts w:ascii="Times New Roman" w:hAnsi="Times New Roman" w:cs="Times New Roman"/>
            <w:sz w:val="28"/>
            <w:szCs w:val="28"/>
            <w:lang w:val="en-US"/>
          </w:rPr>
          <w:t>regionakh</w:t>
        </w:r>
        <w:proofErr w:type="spellEnd"/>
        <w:r w:rsidRPr="00B4623F">
          <w:rPr>
            <w:rFonts w:ascii="Times New Roman" w:hAnsi="Times New Roman" w:cs="Times New Roman"/>
            <w:sz w:val="28"/>
            <w:szCs w:val="28"/>
          </w:rPr>
          <w:t>-</w:t>
        </w:r>
        <w:proofErr w:type="spellStart"/>
        <w:r w:rsidRPr="0049357A">
          <w:rPr>
            <w:rFonts w:ascii="Times New Roman" w:hAnsi="Times New Roman" w:cs="Times New Roman"/>
            <w:sz w:val="28"/>
            <w:szCs w:val="28"/>
            <w:lang w:val="en-US"/>
          </w:rPr>
          <w:t>zaiavili</w:t>
        </w:r>
        <w:proofErr w:type="spellEnd"/>
        <w:r w:rsidRPr="00B4623F">
          <w:rPr>
            <w:rFonts w:ascii="Times New Roman" w:hAnsi="Times New Roman" w:cs="Times New Roman"/>
            <w:sz w:val="28"/>
            <w:szCs w:val="28"/>
          </w:rPr>
          <w:t>-</w:t>
        </w:r>
        <w:proofErr w:type="spellStart"/>
        <w:r w:rsidRPr="0049357A">
          <w:rPr>
            <w:rFonts w:ascii="Times New Roman" w:hAnsi="Times New Roman" w:cs="Times New Roman"/>
            <w:sz w:val="28"/>
            <w:szCs w:val="28"/>
            <w:lang w:val="en-US"/>
          </w:rPr>
          <w:t>eksperty</w:t>
        </w:r>
        <w:proofErr w:type="spellEnd"/>
        <w:r w:rsidRPr="00B4623F">
          <w:rPr>
            <w:rFonts w:ascii="Times New Roman" w:hAnsi="Times New Roman" w:cs="Times New Roman"/>
            <w:sz w:val="28"/>
            <w:szCs w:val="28"/>
          </w:rPr>
          <w:t>/</w:t>
        </w:r>
      </w:hyperlink>
      <w:r w:rsidRPr="00B4623F">
        <w:rPr>
          <w:rFonts w:ascii="Times New Roman" w:hAnsi="Times New Roman" w:cs="Times New Roman"/>
          <w:color w:val="000000" w:themeColor="text1"/>
          <w:sz w:val="28"/>
          <w:szCs w:val="28"/>
        </w:rPr>
        <w:t xml:space="preserve">  15.03.2024.</w:t>
      </w:r>
    </w:p>
    <w:p w14:paraId="0613ACDD"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State graduate employment programs.  </w:t>
      </w:r>
      <w:hyperlink r:id="rId199" w:history="1">
        <w:r w:rsidRPr="00B4623F">
          <w:rPr>
            <w:rFonts w:ascii="Times New Roman" w:hAnsi="Times New Roman" w:cs="Times New Roman"/>
            <w:sz w:val="28"/>
            <w:szCs w:val="28"/>
            <w:lang w:val="en-US"/>
          </w:rPr>
          <w:t>https://ksu.edu.kz/en/educational-activity/centr-karery-i-trudoustrojstva-kru/gosudarstvennye-programmy/</w:t>
        </w:r>
      </w:hyperlink>
      <w:r w:rsidRPr="0049357A">
        <w:rPr>
          <w:rFonts w:ascii="Times New Roman" w:hAnsi="Times New Roman" w:cs="Times New Roman"/>
          <w:color w:val="000000" w:themeColor="text1"/>
          <w:sz w:val="28"/>
          <w:szCs w:val="28"/>
          <w:lang w:val="en-US"/>
        </w:rPr>
        <w:t xml:space="preserve">  01.10.2024.</w:t>
      </w:r>
    </w:p>
    <w:p w14:paraId="3BDB5F7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Employment of university graduates. </w:t>
      </w:r>
      <w:hyperlink r:id="rId200" w:history="1">
        <w:r w:rsidRPr="00B4623F">
          <w:rPr>
            <w:rFonts w:ascii="Times New Roman" w:hAnsi="Times New Roman" w:cs="Times New Roman"/>
            <w:sz w:val="28"/>
            <w:szCs w:val="28"/>
            <w:lang w:val="en-US"/>
          </w:rPr>
          <w:t>https://egov.kz/cms/en/articles/vipusknik</w:t>
        </w:r>
      </w:hyperlink>
      <w:r w:rsidRPr="0049357A">
        <w:rPr>
          <w:rFonts w:ascii="Times New Roman" w:hAnsi="Times New Roman" w:cs="Times New Roman"/>
          <w:color w:val="000000" w:themeColor="text1"/>
          <w:sz w:val="28"/>
          <w:szCs w:val="28"/>
          <w:lang w:val="en-US"/>
        </w:rPr>
        <w:t xml:space="preserve">  02.01.2024.</w:t>
      </w:r>
    </w:p>
    <w:p w14:paraId="69E964FD"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Pospelova</w:t>
      </w:r>
      <w:proofErr w:type="spellEnd"/>
      <w:r w:rsidRPr="0049357A">
        <w:rPr>
          <w:rFonts w:ascii="Times New Roman" w:hAnsi="Times New Roman" w:cs="Times New Roman"/>
          <w:color w:val="000000" w:themeColor="text1"/>
          <w:sz w:val="28"/>
          <w:szCs w:val="28"/>
          <w:lang w:val="en-US"/>
        </w:rPr>
        <w:t xml:space="preserve"> T. Outlook for the Interaction of Science, Business and State in Building Innovative Economy in Russia // Procedia - Social and Behavioral Sciences. – 2012. – Vol.52. – P.168–178. </w:t>
      </w:r>
    </w:p>
    <w:p w14:paraId="39D4302D"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Asamoah-Appiah, William. (2025). The Effect of Academia-Industry Linkages for Sustainable Employment. The Mediating Role of Funding. International Journal of Human Resource Studies. 15. 15. 10.5296/</w:t>
      </w:r>
      <w:proofErr w:type="gramStart"/>
      <w:r w:rsidRPr="0049357A">
        <w:rPr>
          <w:rFonts w:ascii="Times New Roman" w:hAnsi="Times New Roman" w:cs="Times New Roman"/>
          <w:color w:val="000000" w:themeColor="text1"/>
          <w:sz w:val="28"/>
          <w:szCs w:val="28"/>
          <w:lang w:val="en-US"/>
        </w:rPr>
        <w:t>ijhrs.v</w:t>
      </w:r>
      <w:proofErr w:type="gramEnd"/>
      <w:r w:rsidRPr="0049357A">
        <w:rPr>
          <w:rFonts w:ascii="Times New Roman" w:hAnsi="Times New Roman" w:cs="Times New Roman"/>
          <w:color w:val="000000" w:themeColor="text1"/>
          <w:sz w:val="28"/>
          <w:szCs w:val="28"/>
          <w:lang w:val="en-US"/>
        </w:rPr>
        <w:t>15i1.22391.</w:t>
      </w:r>
    </w:p>
    <w:p w14:paraId="1C490844"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Köchling</w:t>
      </w:r>
      <w:proofErr w:type="spellEnd"/>
      <w:r w:rsidRPr="0049357A">
        <w:rPr>
          <w:rFonts w:ascii="Times New Roman" w:hAnsi="Times New Roman" w:cs="Times New Roman"/>
          <w:color w:val="000000" w:themeColor="text1"/>
          <w:sz w:val="28"/>
          <w:szCs w:val="28"/>
          <w:lang w:val="en-US"/>
        </w:rPr>
        <w:t xml:space="preserve">, A., </w:t>
      </w:r>
      <w:proofErr w:type="spellStart"/>
      <w:r w:rsidRPr="0049357A">
        <w:rPr>
          <w:rFonts w:ascii="Times New Roman" w:hAnsi="Times New Roman" w:cs="Times New Roman"/>
          <w:color w:val="000000" w:themeColor="text1"/>
          <w:sz w:val="28"/>
          <w:szCs w:val="28"/>
          <w:lang w:val="en-US"/>
        </w:rPr>
        <w:t>Wehner</w:t>
      </w:r>
      <w:proofErr w:type="spellEnd"/>
      <w:r w:rsidRPr="0049357A">
        <w:rPr>
          <w:rFonts w:ascii="Times New Roman" w:hAnsi="Times New Roman" w:cs="Times New Roman"/>
          <w:color w:val="000000" w:themeColor="text1"/>
          <w:sz w:val="28"/>
          <w:szCs w:val="28"/>
          <w:lang w:val="en-US"/>
        </w:rPr>
        <w:t xml:space="preserve">, M. C., &amp; </w:t>
      </w:r>
      <w:proofErr w:type="spellStart"/>
      <w:r w:rsidRPr="0049357A">
        <w:rPr>
          <w:rFonts w:ascii="Times New Roman" w:hAnsi="Times New Roman" w:cs="Times New Roman"/>
          <w:color w:val="000000" w:themeColor="text1"/>
          <w:sz w:val="28"/>
          <w:szCs w:val="28"/>
          <w:lang w:val="en-US"/>
        </w:rPr>
        <w:t>Ruhle</w:t>
      </w:r>
      <w:proofErr w:type="spellEnd"/>
      <w:r w:rsidRPr="0049357A">
        <w:rPr>
          <w:rFonts w:ascii="Times New Roman" w:hAnsi="Times New Roman" w:cs="Times New Roman"/>
          <w:color w:val="000000" w:themeColor="text1"/>
          <w:sz w:val="28"/>
          <w:szCs w:val="28"/>
          <w:lang w:val="en-US"/>
        </w:rPr>
        <w:t>, S. A. (2025). This (AI)</w:t>
      </w:r>
      <w:proofErr w:type="spellStart"/>
      <w:r w:rsidRPr="0049357A">
        <w:rPr>
          <w:rFonts w:ascii="Times New Roman" w:hAnsi="Times New Roman" w:cs="Times New Roman"/>
          <w:color w:val="000000" w:themeColor="text1"/>
          <w:sz w:val="28"/>
          <w:szCs w:val="28"/>
          <w:lang w:val="en-US"/>
        </w:rPr>
        <w:t>n’t</w:t>
      </w:r>
      <w:proofErr w:type="spellEnd"/>
      <w:r w:rsidRPr="0049357A">
        <w:rPr>
          <w:rFonts w:ascii="Times New Roman" w:hAnsi="Times New Roman" w:cs="Times New Roman"/>
          <w:color w:val="000000" w:themeColor="text1"/>
          <w:sz w:val="28"/>
          <w:szCs w:val="28"/>
          <w:lang w:val="en-US"/>
        </w:rPr>
        <w:t xml:space="preserve"> fair? Employee reactions to artificial intelligence (AI) in career development systems. Review of Managerial Science, 19, 1195–1228. </w:t>
      </w:r>
      <w:hyperlink r:id="rId201" w:tgtFrame="_new" w:history="1">
        <w:r w:rsidRPr="0049357A">
          <w:rPr>
            <w:rFonts w:ascii="Times New Roman" w:hAnsi="Times New Roman" w:cs="Times New Roman"/>
            <w:color w:val="000000" w:themeColor="text1"/>
            <w:sz w:val="28"/>
            <w:szCs w:val="28"/>
            <w:lang w:val="en-US"/>
          </w:rPr>
          <w:t>https://doi.org/10.1007/s11846-024-00789-3</w:t>
        </w:r>
      </w:hyperlink>
    </w:p>
    <w:p w14:paraId="38CECAFB"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Parveen, M., &amp; </w:t>
      </w:r>
      <w:proofErr w:type="spellStart"/>
      <w:r w:rsidRPr="0049357A">
        <w:rPr>
          <w:rFonts w:ascii="Times New Roman" w:hAnsi="Times New Roman" w:cs="Times New Roman"/>
          <w:color w:val="000000" w:themeColor="text1"/>
          <w:sz w:val="28"/>
          <w:szCs w:val="28"/>
          <w:lang w:val="en-US"/>
        </w:rPr>
        <w:t>Alkudsi</w:t>
      </w:r>
      <w:proofErr w:type="spellEnd"/>
      <w:r w:rsidRPr="0049357A">
        <w:rPr>
          <w:rFonts w:ascii="Times New Roman" w:hAnsi="Times New Roman" w:cs="Times New Roman"/>
          <w:color w:val="000000" w:themeColor="text1"/>
          <w:sz w:val="28"/>
          <w:szCs w:val="28"/>
          <w:lang w:val="en-US"/>
        </w:rPr>
        <w:t xml:space="preserve">, Y. M. (2024). Graduates' perspectives on AI integration: Implications for skill development and career readiness. International Journal of Educational Research and Innovation, 22, 1–17. </w:t>
      </w:r>
      <w:hyperlink r:id="rId202" w:tgtFrame="_new" w:history="1">
        <w:r w:rsidRPr="0049357A">
          <w:rPr>
            <w:rFonts w:ascii="Times New Roman" w:hAnsi="Times New Roman" w:cs="Times New Roman"/>
            <w:color w:val="000000" w:themeColor="text1"/>
            <w:sz w:val="28"/>
            <w:szCs w:val="28"/>
            <w:lang w:val="en-US"/>
          </w:rPr>
          <w:t>https://doi.org/10.46661/ijeri.10651</w:t>
        </w:r>
      </w:hyperlink>
    </w:p>
    <w:p w14:paraId="704DD473"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Bennett, D., Knight, E., Divan, A., </w:t>
      </w:r>
      <w:proofErr w:type="spellStart"/>
      <w:r w:rsidRPr="0049357A">
        <w:rPr>
          <w:rFonts w:ascii="Times New Roman" w:hAnsi="Times New Roman" w:cs="Times New Roman"/>
          <w:color w:val="000000" w:themeColor="text1"/>
          <w:sz w:val="28"/>
          <w:szCs w:val="28"/>
          <w:lang w:val="en-US"/>
        </w:rPr>
        <w:t>Kuchel</w:t>
      </w:r>
      <w:proofErr w:type="spellEnd"/>
      <w:r w:rsidRPr="0049357A">
        <w:rPr>
          <w:rFonts w:ascii="Times New Roman" w:hAnsi="Times New Roman" w:cs="Times New Roman"/>
          <w:color w:val="000000" w:themeColor="text1"/>
          <w:sz w:val="28"/>
          <w:szCs w:val="28"/>
          <w:lang w:val="en-US"/>
        </w:rPr>
        <w:t xml:space="preserve">, L., Horn, J., van </w:t>
      </w:r>
      <w:proofErr w:type="spellStart"/>
      <w:r w:rsidRPr="0049357A">
        <w:rPr>
          <w:rFonts w:ascii="Times New Roman" w:hAnsi="Times New Roman" w:cs="Times New Roman"/>
          <w:color w:val="000000" w:themeColor="text1"/>
          <w:sz w:val="28"/>
          <w:szCs w:val="28"/>
          <w:lang w:val="en-US"/>
        </w:rPr>
        <w:t>Reyk</w:t>
      </w:r>
      <w:proofErr w:type="spellEnd"/>
      <w:r w:rsidRPr="0049357A">
        <w:rPr>
          <w:rFonts w:ascii="Times New Roman" w:hAnsi="Times New Roman" w:cs="Times New Roman"/>
          <w:color w:val="000000" w:themeColor="text1"/>
          <w:sz w:val="28"/>
          <w:szCs w:val="28"/>
          <w:lang w:val="en-US"/>
        </w:rPr>
        <w:t>, D., &amp; Burke da Silva, K. (2017). How do research-intensive universities portray employability strategies? A review of their websites. Australian Journal of Career Development, 26(2), 52-61. </w:t>
      </w:r>
      <w:hyperlink r:id="rId203" w:history="1">
        <w:r w:rsidRPr="0049357A">
          <w:rPr>
            <w:rFonts w:ascii="Times New Roman" w:hAnsi="Times New Roman" w:cs="Times New Roman"/>
            <w:color w:val="000000" w:themeColor="text1"/>
            <w:sz w:val="28"/>
            <w:szCs w:val="28"/>
            <w:lang w:val="en-US"/>
          </w:rPr>
          <w:t>https://doi.org/10.1177/1038416217714475</w:t>
        </w:r>
      </w:hyperlink>
    </w:p>
    <w:p w14:paraId="74DC34BD" w14:textId="77777777" w:rsidR="00F14E91" w:rsidRPr="0049357A" w:rsidRDefault="002C6007" w:rsidP="00015249">
      <w:pPr>
        <w:pStyle w:val="af"/>
        <w:numPr>
          <w:ilvl w:val="0"/>
          <w:numId w:val="34"/>
        </w:numPr>
        <w:ind w:left="0" w:firstLine="709"/>
        <w:jc w:val="both"/>
        <w:rPr>
          <w:rFonts w:ascii="Times New Roman" w:hAnsi="Times New Roman" w:cs="Times New Roman"/>
          <w:color w:val="000000" w:themeColor="text1"/>
          <w:sz w:val="28"/>
          <w:szCs w:val="28"/>
          <w:lang w:val="en-US"/>
        </w:rPr>
      </w:pPr>
      <w:hyperlink r:id="rId204" w:tooltip="Esther Ishengoma" w:history="1">
        <w:r w:rsidR="00F14E91" w:rsidRPr="0049357A">
          <w:rPr>
            <w:rFonts w:ascii="Times New Roman" w:hAnsi="Times New Roman" w:cs="Times New Roman"/>
            <w:color w:val="000000" w:themeColor="text1"/>
            <w:sz w:val="28"/>
            <w:szCs w:val="28"/>
            <w:lang w:val="en-US"/>
          </w:rPr>
          <w:t>Ishengoma, E.</w:t>
        </w:r>
      </w:hyperlink>
      <w:r w:rsidR="00F14E91" w:rsidRPr="0049357A">
        <w:rPr>
          <w:rFonts w:ascii="Times New Roman" w:hAnsi="Times New Roman" w:cs="Times New Roman"/>
          <w:color w:val="000000" w:themeColor="text1"/>
          <w:sz w:val="28"/>
          <w:szCs w:val="28"/>
          <w:lang w:val="en-US"/>
        </w:rPr>
        <w:t> and </w:t>
      </w:r>
      <w:hyperlink r:id="rId205" w:tooltip="Terje I. Vaaland" w:history="1">
        <w:r w:rsidR="00F14E91" w:rsidRPr="0049357A">
          <w:rPr>
            <w:rFonts w:ascii="Times New Roman" w:hAnsi="Times New Roman" w:cs="Times New Roman"/>
            <w:color w:val="000000" w:themeColor="text1"/>
            <w:sz w:val="28"/>
            <w:szCs w:val="28"/>
            <w:lang w:val="en-US"/>
          </w:rPr>
          <w:t>Vaaland, T.I.</w:t>
        </w:r>
      </w:hyperlink>
      <w:r w:rsidR="00F14E91" w:rsidRPr="0049357A">
        <w:rPr>
          <w:rFonts w:ascii="Times New Roman" w:hAnsi="Times New Roman" w:cs="Times New Roman"/>
          <w:color w:val="000000" w:themeColor="text1"/>
          <w:sz w:val="28"/>
          <w:szCs w:val="28"/>
          <w:lang w:val="en-US"/>
        </w:rPr>
        <w:t> (2016), "Can university-industry linkages stimulate student employability?", </w:t>
      </w:r>
      <w:hyperlink r:id="rId206" w:history="1">
        <w:r w:rsidR="00F14E91" w:rsidRPr="0049357A">
          <w:rPr>
            <w:rFonts w:ascii="Times New Roman" w:hAnsi="Times New Roman" w:cs="Times New Roman"/>
            <w:color w:val="000000" w:themeColor="text1"/>
            <w:sz w:val="28"/>
            <w:szCs w:val="28"/>
            <w:lang w:val="en-US"/>
          </w:rPr>
          <w:t>Education + Training</w:t>
        </w:r>
      </w:hyperlink>
      <w:r w:rsidR="00F14E91" w:rsidRPr="0049357A">
        <w:rPr>
          <w:rFonts w:ascii="Times New Roman" w:hAnsi="Times New Roman" w:cs="Times New Roman"/>
          <w:color w:val="000000" w:themeColor="text1"/>
          <w:sz w:val="28"/>
          <w:szCs w:val="28"/>
          <w:lang w:val="en-US"/>
        </w:rPr>
        <w:t>, Vol. 58 No. 1, pp. 18-44. </w:t>
      </w:r>
      <w:hyperlink r:id="rId207" w:tooltip="DOI: https://doi.org/10.1108/ET-11-2014-0137" w:history="1">
        <w:r w:rsidR="00F14E91" w:rsidRPr="0049357A">
          <w:rPr>
            <w:rFonts w:ascii="Times New Roman" w:hAnsi="Times New Roman" w:cs="Times New Roman"/>
            <w:color w:val="000000" w:themeColor="text1"/>
            <w:sz w:val="28"/>
            <w:szCs w:val="28"/>
            <w:lang w:val="en-US"/>
          </w:rPr>
          <w:t>https://doi.org/10.1108/ET-11-2014-0137</w:t>
        </w:r>
      </w:hyperlink>
    </w:p>
    <w:p w14:paraId="3EE02554"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McCowan, T. (2015). Should universities promote employability? Theory and Research in Education, 13(3), 267–285. </w:t>
      </w:r>
      <w:hyperlink r:id="rId208" w:tgtFrame="_new" w:history="1">
        <w:r w:rsidRPr="0049357A">
          <w:rPr>
            <w:rFonts w:ascii="Times New Roman" w:hAnsi="Times New Roman" w:cs="Times New Roman"/>
            <w:color w:val="000000" w:themeColor="text1"/>
            <w:sz w:val="28"/>
            <w:szCs w:val="28"/>
            <w:lang w:val="en-US"/>
          </w:rPr>
          <w:t>https://doi.org/10.1177/1477878515598060</w:t>
        </w:r>
      </w:hyperlink>
    </w:p>
    <w:p w14:paraId="3804EC4C"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Sekerbayeva</w:t>
      </w:r>
      <w:proofErr w:type="spellEnd"/>
      <w:r w:rsidRPr="0049357A">
        <w:rPr>
          <w:rFonts w:ascii="Times New Roman" w:hAnsi="Times New Roman" w:cs="Times New Roman"/>
          <w:color w:val="000000" w:themeColor="text1"/>
          <w:sz w:val="28"/>
          <w:szCs w:val="28"/>
          <w:lang w:val="en-US"/>
        </w:rPr>
        <w:t xml:space="preserve"> A., </w:t>
      </w:r>
      <w:proofErr w:type="spellStart"/>
      <w:r w:rsidRPr="0049357A">
        <w:rPr>
          <w:rFonts w:ascii="Times New Roman" w:hAnsi="Times New Roman" w:cs="Times New Roman"/>
          <w:color w:val="000000" w:themeColor="text1"/>
          <w:sz w:val="28"/>
          <w:szCs w:val="28"/>
          <w:lang w:val="en-US"/>
        </w:rPr>
        <w:t>Tamenova</w:t>
      </w:r>
      <w:proofErr w:type="spellEnd"/>
      <w:r w:rsidRPr="0049357A">
        <w:rPr>
          <w:rFonts w:ascii="Times New Roman" w:hAnsi="Times New Roman" w:cs="Times New Roman"/>
          <w:color w:val="000000" w:themeColor="text1"/>
          <w:sz w:val="28"/>
          <w:szCs w:val="28"/>
          <w:lang w:val="en-US"/>
        </w:rPr>
        <w:t xml:space="preserve"> S., </w:t>
      </w:r>
      <w:proofErr w:type="spellStart"/>
      <w:r w:rsidRPr="0049357A">
        <w:rPr>
          <w:rFonts w:ascii="Times New Roman" w:hAnsi="Times New Roman" w:cs="Times New Roman"/>
          <w:color w:val="000000" w:themeColor="text1"/>
          <w:sz w:val="28"/>
          <w:szCs w:val="28"/>
          <w:lang w:val="en-US"/>
        </w:rPr>
        <w:t>Satpayeva</w:t>
      </w:r>
      <w:proofErr w:type="spellEnd"/>
      <w:r w:rsidRPr="0049357A">
        <w:rPr>
          <w:rFonts w:ascii="Times New Roman" w:hAnsi="Times New Roman" w:cs="Times New Roman"/>
          <w:color w:val="000000" w:themeColor="text1"/>
          <w:sz w:val="28"/>
          <w:szCs w:val="28"/>
          <w:lang w:val="en-US"/>
        </w:rPr>
        <w:t xml:space="preserve"> Z., &amp; </w:t>
      </w:r>
      <w:proofErr w:type="spellStart"/>
      <w:r w:rsidRPr="0049357A">
        <w:rPr>
          <w:rFonts w:ascii="Times New Roman" w:hAnsi="Times New Roman" w:cs="Times New Roman"/>
          <w:color w:val="000000" w:themeColor="text1"/>
          <w:sz w:val="28"/>
          <w:szCs w:val="28"/>
          <w:lang w:val="en-US"/>
        </w:rPr>
        <w:t>Kangalakova</w:t>
      </w:r>
      <w:proofErr w:type="spellEnd"/>
      <w:r w:rsidRPr="0049357A">
        <w:rPr>
          <w:rFonts w:ascii="Times New Roman" w:hAnsi="Times New Roman" w:cs="Times New Roman"/>
          <w:color w:val="000000" w:themeColor="text1"/>
          <w:sz w:val="28"/>
          <w:szCs w:val="28"/>
          <w:lang w:val="en-US"/>
        </w:rPr>
        <w:t xml:space="preserve"> D. The employment of university graduates in Kazakhstan: possible economic effect and triple helix model // Statistics, Accounting and Audit. – 2024. – Vol.2, № 93. – P.76–88. </w:t>
      </w:r>
    </w:p>
    <w:p w14:paraId="2FE9DEDA"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Cazon</w:t>
      </w:r>
      <w:proofErr w:type="spellEnd"/>
      <w:r w:rsidRPr="0049357A">
        <w:rPr>
          <w:rFonts w:ascii="Times New Roman" w:hAnsi="Times New Roman" w:cs="Times New Roman"/>
          <w:color w:val="000000" w:themeColor="text1"/>
          <w:sz w:val="28"/>
          <w:szCs w:val="28"/>
          <w:lang w:val="en-US"/>
        </w:rPr>
        <w:t xml:space="preserve"> A. Transferring Knowledge from Academia to the Companies: A New Method / Ferraro V., </w:t>
      </w:r>
      <w:proofErr w:type="spellStart"/>
      <w:r w:rsidRPr="0049357A">
        <w:rPr>
          <w:rFonts w:ascii="Times New Roman" w:hAnsi="Times New Roman" w:cs="Times New Roman"/>
          <w:color w:val="000000" w:themeColor="text1"/>
          <w:sz w:val="28"/>
          <w:szCs w:val="28"/>
          <w:lang w:val="en-US"/>
        </w:rPr>
        <w:t>Kääriäinen</w:t>
      </w:r>
      <w:proofErr w:type="spellEnd"/>
      <w:r w:rsidRPr="0049357A">
        <w:rPr>
          <w:rFonts w:ascii="Times New Roman" w:hAnsi="Times New Roman" w:cs="Times New Roman"/>
          <w:color w:val="000000" w:themeColor="text1"/>
          <w:sz w:val="28"/>
          <w:szCs w:val="28"/>
          <w:lang w:val="en-US"/>
        </w:rPr>
        <w:t xml:space="preserve"> P., </w:t>
      </w:r>
      <w:proofErr w:type="spellStart"/>
      <w:r w:rsidRPr="0049357A">
        <w:rPr>
          <w:rFonts w:ascii="Times New Roman" w:hAnsi="Times New Roman" w:cs="Times New Roman"/>
          <w:color w:val="000000" w:themeColor="text1"/>
          <w:sz w:val="28"/>
          <w:szCs w:val="28"/>
          <w:lang w:val="en-US"/>
        </w:rPr>
        <w:t>Morer</w:t>
      </w:r>
      <w:proofErr w:type="spellEnd"/>
      <w:r w:rsidRPr="0049357A">
        <w:rPr>
          <w:rFonts w:ascii="Times New Roman" w:hAnsi="Times New Roman" w:cs="Times New Roman"/>
          <w:color w:val="000000" w:themeColor="text1"/>
          <w:sz w:val="28"/>
          <w:szCs w:val="28"/>
          <w:lang w:val="en-US"/>
        </w:rPr>
        <w:t xml:space="preserve">-Camo P., </w:t>
      </w:r>
      <w:proofErr w:type="spellStart"/>
      <w:r w:rsidRPr="0049357A">
        <w:rPr>
          <w:rFonts w:ascii="Times New Roman" w:hAnsi="Times New Roman" w:cs="Times New Roman"/>
          <w:color w:val="000000" w:themeColor="text1"/>
          <w:sz w:val="28"/>
          <w:szCs w:val="28"/>
          <w:lang w:val="en-US"/>
        </w:rPr>
        <w:t>Pasold</w:t>
      </w:r>
      <w:proofErr w:type="spellEnd"/>
      <w:r w:rsidRPr="0049357A">
        <w:rPr>
          <w:rFonts w:ascii="Times New Roman" w:hAnsi="Times New Roman" w:cs="Times New Roman"/>
          <w:color w:val="000000" w:themeColor="text1"/>
          <w:sz w:val="28"/>
          <w:szCs w:val="28"/>
          <w:lang w:val="en-US"/>
        </w:rPr>
        <w:t xml:space="preserve"> A. (eds) </w:t>
      </w:r>
      <w:proofErr w:type="spellStart"/>
      <w:r w:rsidRPr="0049357A">
        <w:rPr>
          <w:rFonts w:ascii="Times New Roman" w:hAnsi="Times New Roman" w:cs="Times New Roman"/>
          <w:color w:val="000000" w:themeColor="text1"/>
          <w:sz w:val="28"/>
          <w:szCs w:val="28"/>
          <w:lang w:val="en-US"/>
        </w:rPr>
        <w:lastRenderedPageBreak/>
        <w:t>Materialising</w:t>
      </w:r>
      <w:proofErr w:type="spellEnd"/>
      <w:r w:rsidRPr="0049357A">
        <w:rPr>
          <w:rFonts w:ascii="Times New Roman" w:hAnsi="Times New Roman" w:cs="Times New Roman"/>
          <w:color w:val="000000" w:themeColor="text1"/>
          <w:sz w:val="28"/>
          <w:szCs w:val="28"/>
          <w:lang w:val="en-US"/>
        </w:rPr>
        <w:t xml:space="preserve"> the Future. Research for Development. – Cham: Springer., 2023. – P. 65-80.</w:t>
      </w:r>
    </w:p>
    <w:p w14:paraId="3A17105C"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Asgarova</w:t>
      </w:r>
      <w:proofErr w:type="spellEnd"/>
      <w:r w:rsidRPr="0049357A">
        <w:rPr>
          <w:rFonts w:ascii="Times New Roman" w:hAnsi="Times New Roman" w:cs="Times New Roman"/>
          <w:color w:val="000000" w:themeColor="text1"/>
          <w:sz w:val="28"/>
          <w:szCs w:val="28"/>
          <w:lang w:val="en-US"/>
        </w:rPr>
        <w:t xml:space="preserve"> V., Kan Y., </w:t>
      </w:r>
      <w:proofErr w:type="spellStart"/>
      <w:r w:rsidRPr="0049357A">
        <w:rPr>
          <w:rFonts w:ascii="Times New Roman" w:hAnsi="Times New Roman" w:cs="Times New Roman"/>
          <w:color w:val="000000" w:themeColor="text1"/>
          <w:sz w:val="28"/>
          <w:szCs w:val="28"/>
          <w:lang w:val="en-US"/>
        </w:rPr>
        <w:t>Reindl</w:t>
      </w:r>
      <w:proofErr w:type="spellEnd"/>
      <w:r w:rsidRPr="0049357A">
        <w:rPr>
          <w:rFonts w:ascii="Times New Roman" w:hAnsi="Times New Roman" w:cs="Times New Roman"/>
          <w:color w:val="000000" w:themeColor="text1"/>
          <w:sz w:val="28"/>
          <w:szCs w:val="28"/>
          <w:lang w:val="en-US"/>
        </w:rPr>
        <w:t xml:space="preserve"> S., Liu M. What changes are university students seeking? Bringing employers to classrooms to facilitate post-graduation opportunities // Irish Educational Studies. – 2023. – Vol.42, №4. – P.825–840. </w:t>
      </w:r>
    </w:p>
    <w:p w14:paraId="21DB77FC"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SABAH groups project. </w:t>
      </w:r>
      <w:hyperlink r:id="rId209" w:history="1">
        <w:r w:rsidRPr="0049357A">
          <w:rPr>
            <w:rFonts w:ascii="Times New Roman" w:hAnsi="Times New Roman" w:cs="Times New Roman"/>
            <w:color w:val="000000" w:themeColor="text1"/>
            <w:sz w:val="28"/>
            <w:szCs w:val="28"/>
            <w:lang w:val="en-US"/>
          </w:rPr>
          <w:t>https://edu.gov.az/en/programmes/sabah-qruplari-layihesi</w:t>
        </w:r>
      </w:hyperlink>
      <w:r w:rsidRPr="0049357A">
        <w:rPr>
          <w:rFonts w:ascii="Times New Roman" w:hAnsi="Times New Roman" w:cs="Times New Roman"/>
          <w:color w:val="000000" w:themeColor="text1"/>
          <w:sz w:val="28"/>
          <w:szCs w:val="28"/>
          <w:lang w:val="en-US"/>
        </w:rPr>
        <w:t xml:space="preserve">  15.09.2024.</w:t>
      </w:r>
    </w:p>
    <w:p w14:paraId="7B96BADC" w14:textId="77777777" w:rsidR="00F14E91" w:rsidRPr="00B4623F" w:rsidRDefault="00F14E91" w:rsidP="00015249">
      <w:pPr>
        <w:pStyle w:val="af"/>
        <w:numPr>
          <w:ilvl w:val="0"/>
          <w:numId w:val="34"/>
        </w:numPr>
        <w:ind w:left="0" w:firstLine="709"/>
        <w:jc w:val="both"/>
        <w:rPr>
          <w:rFonts w:ascii="Times New Roman" w:hAnsi="Times New Roman" w:cs="Times New Roman"/>
          <w:color w:val="000000" w:themeColor="text1"/>
          <w:sz w:val="28"/>
          <w:szCs w:val="28"/>
        </w:rPr>
      </w:pPr>
      <w:proofErr w:type="spellStart"/>
      <w:r w:rsidRPr="0049357A">
        <w:rPr>
          <w:rFonts w:ascii="Times New Roman" w:hAnsi="Times New Roman" w:cs="Times New Roman"/>
          <w:color w:val="000000" w:themeColor="text1"/>
          <w:sz w:val="28"/>
          <w:szCs w:val="28"/>
          <w:lang w:val="en-US"/>
        </w:rPr>
        <w:t>Tengrinews</w:t>
      </w:r>
      <w:proofErr w:type="spellEnd"/>
      <w:r w:rsidRPr="0049357A">
        <w:rPr>
          <w:rFonts w:ascii="Times New Roman" w:hAnsi="Times New Roman" w:cs="Times New Roman"/>
          <w:color w:val="000000" w:themeColor="text1"/>
          <w:sz w:val="28"/>
          <w:szCs w:val="28"/>
          <w:lang w:val="en-US"/>
        </w:rPr>
        <w:t xml:space="preserve">. 20 years of cooperation: how </w:t>
      </w:r>
      <w:proofErr w:type="spellStart"/>
      <w:r w:rsidRPr="0049357A">
        <w:rPr>
          <w:rFonts w:ascii="Times New Roman" w:hAnsi="Times New Roman" w:cs="Times New Roman"/>
          <w:color w:val="000000" w:themeColor="text1"/>
          <w:sz w:val="28"/>
          <w:szCs w:val="28"/>
          <w:lang w:val="en-US"/>
        </w:rPr>
        <w:t>Narxoz</w:t>
      </w:r>
      <w:proofErr w:type="spellEnd"/>
      <w:r w:rsidRPr="0049357A">
        <w:rPr>
          <w:rFonts w:ascii="Times New Roman" w:hAnsi="Times New Roman" w:cs="Times New Roman"/>
          <w:color w:val="000000" w:themeColor="text1"/>
          <w:sz w:val="28"/>
          <w:szCs w:val="28"/>
          <w:lang w:val="en-US"/>
        </w:rPr>
        <w:t xml:space="preserve"> and the National Bank jointly prepare successful financiers. </w:t>
      </w:r>
      <w:hyperlink r:id="rId210" w:history="1">
        <w:r w:rsidRPr="0049357A">
          <w:rPr>
            <w:rFonts w:ascii="Times New Roman" w:hAnsi="Times New Roman" w:cs="Times New Roman"/>
            <w:color w:val="000000" w:themeColor="text1"/>
            <w:sz w:val="28"/>
            <w:szCs w:val="28"/>
            <w:lang w:val="en-US"/>
          </w:rPr>
          <w:t>https</w:t>
        </w:r>
        <w:r w:rsidRPr="00B4623F">
          <w:rPr>
            <w:rFonts w:ascii="Times New Roman" w:hAnsi="Times New Roman" w:cs="Times New Roman"/>
            <w:color w:val="000000" w:themeColor="text1"/>
            <w:sz w:val="28"/>
            <w:szCs w:val="28"/>
          </w:rPr>
          <w:t>://</w:t>
        </w:r>
        <w:proofErr w:type="spellStart"/>
        <w:r w:rsidRPr="0049357A">
          <w:rPr>
            <w:rFonts w:ascii="Times New Roman" w:hAnsi="Times New Roman" w:cs="Times New Roman"/>
            <w:color w:val="000000" w:themeColor="text1"/>
            <w:sz w:val="28"/>
            <w:szCs w:val="28"/>
            <w:lang w:val="en-US"/>
          </w:rPr>
          <w:t>tengrinews</w:t>
        </w:r>
        <w:proofErr w:type="spellEnd"/>
        <w:r w:rsidRPr="00B4623F">
          <w:rPr>
            <w:rFonts w:ascii="Times New Roman" w:hAnsi="Times New Roman" w:cs="Times New Roman"/>
            <w:color w:val="000000" w:themeColor="text1"/>
            <w:sz w:val="28"/>
            <w:szCs w:val="28"/>
          </w:rPr>
          <w:t>.</w:t>
        </w:r>
        <w:proofErr w:type="spellStart"/>
        <w:r w:rsidRPr="0049357A">
          <w:rPr>
            <w:rFonts w:ascii="Times New Roman" w:hAnsi="Times New Roman" w:cs="Times New Roman"/>
            <w:color w:val="000000" w:themeColor="text1"/>
            <w:sz w:val="28"/>
            <w:szCs w:val="28"/>
            <w:lang w:val="en-US"/>
          </w:rPr>
          <w:t>kz</w:t>
        </w:r>
        <w:proofErr w:type="spellEnd"/>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news</w:t>
        </w:r>
        <w:r w:rsidRPr="00B4623F">
          <w:rPr>
            <w:rFonts w:ascii="Times New Roman" w:hAnsi="Times New Roman" w:cs="Times New Roman"/>
            <w:color w:val="000000" w:themeColor="text1"/>
            <w:sz w:val="28"/>
            <w:szCs w:val="28"/>
          </w:rPr>
          <w:t>/20-</w:t>
        </w:r>
        <w:r w:rsidRPr="0049357A">
          <w:rPr>
            <w:rFonts w:ascii="Times New Roman" w:hAnsi="Times New Roman" w:cs="Times New Roman"/>
            <w:color w:val="000000" w:themeColor="text1"/>
            <w:sz w:val="28"/>
            <w:szCs w:val="28"/>
            <w:lang w:val="en-US"/>
          </w:rPr>
          <w:t>let</w:t>
        </w:r>
        <w:r w:rsidRPr="00B4623F">
          <w:rPr>
            <w:rFonts w:ascii="Times New Roman" w:hAnsi="Times New Roman" w:cs="Times New Roman"/>
            <w:color w:val="000000" w:themeColor="text1"/>
            <w:sz w:val="28"/>
            <w:szCs w:val="28"/>
          </w:rPr>
          <w:t>-</w:t>
        </w:r>
        <w:proofErr w:type="spellStart"/>
        <w:r w:rsidRPr="0049357A">
          <w:rPr>
            <w:rFonts w:ascii="Times New Roman" w:hAnsi="Times New Roman" w:cs="Times New Roman"/>
            <w:color w:val="000000" w:themeColor="text1"/>
            <w:sz w:val="28"/>
            <w:szCs w:val="28"/>
            <w:lang w:val="en-US"/>
          </w:rPr>
          <w:t>sotrudnichestva</w:t>
        </w:r>
        <w:proofErr w:type="spellEnd"/>
        <w:r w:rsidRPr="00B4623F">
          <w:rPr>
            <w:rFonts w:ascii="Times New Roman" w:hAnsi="Times New Roman" w:cs="Times New Roman"/>
            <w:color w:val="000000" w:themeColor="text1"/>
            <w:sz w:val="28"/>
            <w:szCs w:val="28"/>
          </w:rPr>
          <w:t>-</w:t>
        </w:r>
        <w:proofErr w:type="spellStart"/>
        <w:r w:rsidRPr="0049357A">
          <w:rPr>
            <w:rFonts w:ascii="Times New Roman" w:hAnsi="Times New Roman" w:cs="Times New Roman"/>
            <w:color w:val="000000" w:themeColor="text1"/>
            <w:sz w:val="28"/>
            <w:szCs w:val="28"/>
            <w:lang w:val="en-US"/>
          </w:rPr>
          <w:t>narhoz</w:t>
        </w:r>
        <w:proofErr w:type="spellEnd"/>
        <w:r w:rsidRPr="00B4623F">
          <w:rPr>
            <w:rFonts w:ascii="Times New Roman" w:hAnsi="Times New Roman" w:cs="Times New Roman"/>
            <w:color w:val="000000" w:themeColor="text1"/>
            <w:sz w:val="28"/>
            <w:szCs w:val="28"/>
          </w:rPr>
          <w:t>-</w:t>
        </w:r>
        <w:proofErr w:type="spellStart"/>
        <w:r w:rsidRPr="0049357A">
          <w:rPr>
            <w:rFonts w:ascii="Times New Roman" w:hAnsi="Times New Roman" w:cs="Times New Roman"/>
            <w:color w:val="000000" w:themeColor="text1"/>
            <w:sz w:val="28"/>
            <w:szCs w:val="28"/>
            <w:lang w:val="en-US"/>
          </w:rPr>
          <w:t>natsbank</w:t>
        </w:r>
        <w:proofErr w:type="spellEnd"/>
        <w:r w:rsidRPr="00B4623F">
          <w:rPr>
            <w:rFonts w:ascii="Times New Roman" w:hAnsi="Times New Roman" w:cs="Times New Roman"/>
            <w:color w:val="000000" w:themeColor="text1"/>
            <w:sz w:val="28"/>
            <w:szCs w:val="28"/>
          </w:rPr>
          <w:t>-</w:t>
        </w:r>
        <w:proofErr w:type="spellStart"/>
        <w:r w:rsidRPr="0049357A">
          <w:rPr>
            <w:rFonts w:ascii="Times New Roman" w:hAnsi="Times New Roman" w:cs="Times New Roman"/>
            <w:color w:val="000000" w:themeColor="text1"/>
            <w:sz w:val="28"/>
            <w:szCs w:val="28"/>
            <w:lang w:val="en-US"/>
          </w:rPr>
          <w:t>sovmestno</w:t>
        </w:r>
        <w:proofErr w:type="spellEnd"/>
        <w:r w:rsidRPr="00B4623F">
          <w:rPr>
            <w:rFonts w:ascii="Times New Roman" w:hAnsi="Times New Roman" w:cs="Times New Roman"/>
            <w:color w:val="000000" w:themeColor="text1"/>
            <w:sz w:val="28"/>
            <w:szCs w:val="28"/>
          </w:rPr>
          <w:t>-</w:t>
        </w:r>
        <w:proofErr w:type="spellStart"/>
        <w:r w:rsidRPr="0049357A">
          <w:rPr>
            <w:rFonts w:ascii="Times New Roman" w:hAnsi="Times New Roman" w:cs="Times New Roman"/>
            <w:color w:val="000000" w:themeColor="text1"/>
            <w:sz w:val="28"/>
            <w:szCs w:val="28"/>
            <w:lang w:val="en-US"/>
          </w:rPr>
          <w:t>gotovyat</w:t>
        </w:r>
        <w:proofErr w:type="spellEnd"/>
        <w:r w:rsidRPr="00B4623F">
          <w:rPr>
            <w:rFonts w:ascii="Times New Roman" w:hAnsi="Times New Roman" w:cs="Times New Roman"/>
            <w:color w:val="000000" w:themeColor="text1"/>
            <w:sz w:val="28"/>
            <w:szCs w:val="28"/>
          </w:rPr>
          <w:t>-505199/</w:t>
        </w:r>
      </w:hyperlink>
      <w:r w:rsidRPr="00B4623F">
        <w:rPr>
          <w:rFonts w:ascii="Times New Roman" w:hAnsi="Times New Roman" w:cs="Times New Roman"/>
          <w:color w:val="000000" w:themeColor="text1"/>
          <w:sz w:val="28"/>
          <w:szCs w:val="28"/>
        </w:rPr>
        <w:t xml:space="preserve"> 15.09.2024. </w:t>
      </w:r>
    </w:p>
    <w:p w14:paraId="608B9297"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Tayauova</w:t>
      </w:r>
      <w:proofErr w:type="spellEnd"/>
      <w:r w:rsidRPr="0049357A">
        <w:rPr>
          <w:rFonts w:ascii="Times New Roman" w:hAnsi="Times New Roman" w:cs="Times New Roman"/>
          <w:color w:val="000000" w:themeColor="text1"/>
          <w:sz w:val="28"/>
          <w:szCs w:val="28"/>
          <w:lang w:val="en-US"/>
        </w:rPr>
        <w:t xml:space="preserve"> G., </w:t>
      </w:r>
      <w:proofErr w:type="spellStart"/>
      <w:r w:rsidRPr="0049357A">
        <w:rPr>
          <w:rFonts w:ascii="Times New Roman" w:hAnsi="Times New Roman" w:cs="Times New Roman"/>
          <w:color w:val="000000" w:themeColor="text1"/>
          <w:sz w:val="28"/>
          <w:szCs w:val="28"/>
          <w:lang w:val="en-US"/>
        </w:rPr>
        <w:t>Bektaş</w:t>
      </w:r>
      <w:proofErr w:type="spellEnd"/>
      <w:r w:rsidRPr="0049357A">
        <w:rPr>
          <w:rFonts w:ascii="Times New Roman" w:hAnsi="Times New Roman" w:cs="Times New Roman"/>
          <w:color w:val="000000" w:themeColor="text1"/>
          <w:sz w:val="28"/>
          <w:szCs w:val="28"/>
          <w:lang w:val="en-US"/>
        </w:rPr>
        <w:t xml:space="preserve"> Ç.  An overview of entrepreneurial universities and main barriers to entrepreneurial university development in Kazakhstan // The Journal of Economic Research &amp; Business Administration. – 2018. – Vol.124. – P. 245-253. </w:t>
      </w:r>
    </w:p>
    <w:p w14:paraId="658390AE"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Badriotti</w:t>
      </w:r>
      <w:proofErr w:type="spellEnd"/>
      <w:r w:rsidRPr="0049357A">
        <w:rPr>
          <w:rFonts w:ascii="Times New Roman" w:hAnsi="Times New Roman" w:cs="Times New Roman"/>
          <w:color w:val="000000" w:themeColor="text1"/>
          <w:sz w:val="28"/>
          <w:szCs w:val="28"/>
          <w:lang w:val="en-US"/>
        </w:rPr>
        <w:t xml:space="preserve"> A., </w:t>
      </w:r>
      <w:proofErr w:type="spellStart"/>
      <w:r w:rsidRPr="0049357A">
        <w:rPr>
          <w:rFonts w:ascii="Times New Roman" w:hAnsi="Times New Roman" w:cs="Times New Roman"/>
          <w:color w:val="000000" w:themeColor="text1"/>
          <w:sz w:val="28"/>
          <w:szCs w:val="28"/>
          <w:lang w:val="en-US"/>
        </w:rPr>
        <w:t>Pappadà</w:t>
      </w:r>
      <w:proofErr w:type="spellEnd"/>
      <w:r w:rsidRPr="0049357A">
        <w:rPr>
          <w:rFonts w:ascii="Times New Roman" w:hAnsi="Times New Roman" w:cs="Times New Roman"/>
          <w:color w:val="000000" w:themeColor="text1"/>
          <w:sz w:val="28"/>
          <w:szCs w:val="28"/>
          <w:lang w:val="en-US"/>
        </w:rPr>
        <w:t xml:space="preserve"> G. Higher education and graduate employment in Europe // Journal for Perspectives of Economic Political and Social Integration. – 2011. – Vol.17, №1-2. – P.15-31.</w:t>
      </w:r>
    </w:p>
    <w:p w14:paraId="03525DA6"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Shatovska</w:t>
      </w:r>
      <w:proofErr w:type="spellEnd"/>
      <w:r w:rsidRPr="0049357A">
        <w:rPr>
          <w:rFonts w:ascii="Times New Roman" w:hAnsi="Times New Roman" w:cs="Times New Roman"/>
          <w:color w:val="000000" w:themeColor="text1"/>
          <w:sz w:val="28"/>
          <w:szCs w:val="28"/>
          <w:lang w:val="en-US"/>
        </w:rPr>
        <w:t xml:space="preserve"> T., </w:t>
      </w:r>
      <w:proofErr w:type="spellStart"/>
      <w:r w:rsidRPr="0049357A">
        <w:rPr>
          <w:rFonts w:ascii="Times New Roman" w:hAnsi="Times New Roman" w:cs="Times New Roman"/>
          <w:color w:val="000000" w:themeColor="text1"/>
          <w:sz w:val="28"/>
          <w:szCs w:val="28"/>
          <w:lang w:val="en-US"/>
        </w:rPr>
        <w:t>Repka</w:t>
      </w:r>
      <w:proofErr w:type="spellEnd"/>
      <w:r w:rsidRPr="0049357A">
        <w:rPr>
          <w:rFonts w:ascii="Times New Roman" w:hAnsi="Times New Roman" w:cs="Times New Roman"/>
          <w:color w:val="000000" w:themeColor="text1"/>
          <w:sz w:val="28"/>
          <w:szCs w:val="28"/>
          <w:lang w:val="en-US"/>
        </w:rPr>
        <w:t xml:space="preserve"> V., </w:t>
      </w:r>
      <w:proofErr w:type="spellStart"/>
      <w:r w:rsidRPr="0049357A">
        <w:rPr>
          <w:rFonts w:ascii="Times New Roman" w:hAnsi="Times New Roman" w:cs="Times New Roman"/>
          <w:color w:val="000000" w:themeColor="text1"/>
          <w:sz w:val="28"/>
          <w:szCs w:val="28"/>
          <w:lang w:val="en-US"/>
        </w:rPr>
        <w:t>Kamenieva</w:t>
      </w:r>
      <w:proofErr w:type="spellEnd"/>
      <w:r w:rsidRPr="0049357A">
        <w:rPr>
          <w:rFonts w:ascii="Times New Roman" w:hAnsi="Times New Roman" w:cs="Times New Roman"/>
          <w:color w:val="000000" w:themeColor="text1"/>
          <w:sz w:val="28"/>
          <w:szCs w:val="28"/>
          <w:lang w:val="en-US"/>
        </w:rPr>
        <w:t xml:space="preserve"> I. Intelligent Recruitment Services System // Lecture Notes in Business Information Processing. – Berlin: Springer, 2009. – P.411-419.</w:t>
      </w:r>
    </w:p>
    <w:p w14:paraId="09DF5524"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Li H. The Establishment of College Student Employment Guidance System Integrating Artificial Intelligence and Civic Education // Mathematical Problems in Engineering. – 2022. – Vol.6. –9 р.</w:t>
      </w:r>
    </w:p>
    <w:p w14:paraId="57D20385"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Green R. Markets, Management, and ‘Reengineering’ Higher Education // The Annals of the American Academy of Political and Social Science. – 2003. – Vol. 585, №1. – P.196–210.</w:t>
      </w:r>
    </w:p>
    <w:p w14:paraId="2EDDF40D" w14:textId="77777777" w:rsidR="00F14E91" w:rsidRPr="0049357A" w:rsidRDefault="002C6007" w:rsidP="00015249">
      <w:pPr>
        <w:pStyle w:val="af"/>
        <w:numPr>
          <w:ilvl w:val="0"/>
          <w:numId w:val="34"/>
        </w:numPr>
        <w:ind w:left="0" w:firstLine="709"/>
        <w:jc w:val="both"/>
        <w:rPr>
          <w:rFonts w:ascii="Times New Roman" w:hAnsi="Times New Roman" w:cs="Times New Roman"/>
          <w:color w:val="000000" w:themeColor="text1"/>
          <w:sz w:val="28"/>
          <w:szCs w:val="28"/>
          <w:lang w:val="en-US"/>
        </w:rPr>
      </w:pPr>
      <w:hyperlink r:id="rId211" w:tooltip="Alfred Presbitero" w:history="1">
        <w:proofErr w:type="spellStart"/>
        <w:r w:rsidR="00F14E91" w:rsidRPr="0049357A">
          <w:rPr>
            <w:rFonts w:ascii="Times New Roman" w:hAnsi="Times New Roman" w:cs="Times New Roman"/>
            <w:color w:val="000000" w:themeColor="text1"/>
            <w:sz w:val="28"/>
            <w:szCs w:val="28"/>
            <w:lang w:val="en-US"/>
          </w:rPr>
          <w:t>Presbitero</w:t>
        </w:r>
        <w:proofErr w:type="spellEnd"/>
        <w:r w:rsidR="00F14E91" w:rsidRPr="0049357A">
          <w:rPr>
            <w:rFonts w:ascii="Times New Roman" w:hAnsi="Times New Roman" w:cs="Times New Roman"/>
            <w:color w:val="000000" w:themeColor="text1"/>
            <w:sz w:val="28"/>
            <w:szCs w:val="28"/>
            <w:lang w:val="en-US"/>
          </w:rPr>
          <w:t xml:space="preserve"> A.</w:t>
        </w:r>
      </w:hyperlink>
      <w:r w:rsidR="00F14E91" w:rsidRPr="0049357A">
        <w:rPr>
          <w:rFonts w:ascii="Times New Roman" w:hAnsi="Times New Roman" w:cs="Times New Roman"/>
          <w:color w:val="000000" w:themeColor="text1"/>
          <w:sz w:val="28"/>
          <w:szCs w:val="28"/>
          <w:lang w:val="en-US"/>
        </w:rPr>
        <w:t xml:space="preserve">, </w:t>
      </w:r>
      <w:hyperlink r:id="rId212" w:tooltip="Mendiola Teng-Calleja" w:history="1">
        <w:r w:rsidR="00F14E91" w:rsidRPr="0049357A">
          <w:rPr>
            <w:rFonts w:ascii="Times New Roman" w:hAnsi="Times New Roman" w:cs="Times New Roman"/>
            <w:color w:val="000000" w:themeColor="text1"/>
            <w:sz w:val="28"/>
            <w:szCs w:val="28"/>
            <w:lang w:val="en-US"/>
          </w:rPr>
          <w:t>Teng-Calleja M.</w:t>
        </w:r>
      </w:hyperlink>
      <w:r w:rsidR="00F14E91" w:rsidRPr="0049357A">
        <w:rPr>
          <w:rFonts w:ascii="Times New Roman" w:hAnsi="Times New Roman" w:cs="Times New Roman"/>
          <w:color w:val="000000" w:themeColor="text1"/>
          <w:sz w:val="28"/>
          <w:szCs w:val="28"/>
          <w:lang w:val="en-US"/>
        </w:rPr>
        <w:t xml:space="preserve"> Job attitudes and career behaviors relating to employees' perceived incorporation of artificial intelligence in the workplace: a career self-management perspective // </w:t>
      </w:r>
      <w:hyperlink r:id="rId213" w:history="1">
        <w:r w:rsidR="00F14E91" w:rsidRPr="0049357A">
          <w:rPr>
            <w:rFonts w:ascii="Times New Roman" w:hAnsi="Times New Roman" w:cs="Times New Roman"/>
            <w:color w:val="000000" w:themeColor="text1"/>
            <w:sz w:val="28"/>
            <w:szCs w:val="28"/>
            <w:lang w:val="en-US"/>
          </w:rPr>
          <w:t>Personnel Review</w:t>
        </w:r>
      </w:hyperlink>
      <w:r w:rsidR="00F14E91" w:rsidRPr="0049357A">
        <w:rPr>
          <w:rFonts w:ascii="Times New Roman" w:hAnsi="Times New Roman" w:cs="Times New Roman"/>
          <w:color w:val="000000" w:themeColor="text1"/>
          <w:sz w:val="28"/>
          <w:szCs w:val="28"/>
          <w:lang w:val="en-US"/>
        </w:rPr>
        <w:t xml:space="preserve">. – 2023. – Vol. 52, №4. – P.1169-1187.  </w:t>
      </w:r>
    </w:p>
    <w:p w14:paraId="13E8731D"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Slimi</w:t>
      </w:r>
      <w:proofErr w:type="spellEnd"/>
      <w:r w:rsidRPr="0049357A">
        <w:rPr>
          <w:rFonts w:ascii="Times New Roman" w:hAnsi="Times New Roman" w:cs="Times New Roman"/>
          <w:color w:val="000000" w:themeColor="text1"/>
          <w:sz w:val="28"/>
          <w:szCs w:val="28"/>
          <w:lang w:val="en-US"/>
        </w:rPr>
        <w:t xml:space="preserve"> Z., </w:t>
      </w:r>
      <w:proofErr w:type="spellStart"/>
      <w:r w:rsidRPr="0049357A">
        <w:rPr>
          <w:rFonts w:ascii="Times New Roman" w:hAnsi="Times New Roman" w:cs="Times New Roman"/>
          <w:color w:val="000000" w:themeColor="text1"/>
          <w:sz w:val="28"/>
          <w:szCs w:val="28"/>
          <w:lang w:val="en-US"/>
        </w:rPr>
        <w:t>Carballido</w:t>
      </w:r>
      <w:proofErr w:type="spellEnd"/>
      <w:r w:rsidRPr="0049357A">
        <w:rPr>
          <w:rFonts w:ascii="Times New Roman" w:hAnsi="Times New Roman" w:cs="Times New Roman"/>
          <w:color w:val="000000" w:themeColor="text1"/>
          <w:sz w:val="28"/>
          <w:szCs w:val="28"/>
          <w:lang w:val="en-US"/>
        </w:rPr>
        <w:t xml:space="preserve"> B. Systematic Review: AI's Impact on Higher Education - Learning, Teaching, and Career Opportunities // TEM Journal. – 2023. – Vol.12, №3. – P.1627-1637. </w:t>
      </w:r>
    </w:p>
    <w:p w14:paraId="5794D196"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Bankins</w:t>
      </w:r>
      <w:proofErr w:type="spellEnd"/>
      <w:r w:rsidRPr="0049357A">
        <w:rPr>
          <w:rFonts w:ascii="Times New Roman" w:hAnsi="Times New Roman" w:cs="Times New Roman"/>
          <w:color w:val="000000" w:themeColor="text1"/>
          <w:sz w:val="28"/>
          <w:szCs w:val="28"/>
          <w:lang w:val="en-US"/>
        </w:rPr>
        <w:t xml:space="preserve"> S. The ethical use of artificial intelligence in human resource management: a decision-making framework // Ethics Inf Technol. – 2021. – Vol.23, №3. – P.841–854.</w:t>
      </w:r>
    </w:p>
    <w:p w14:paraId="03394E39"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Drydakis</w:t>
      </w:r>
      <w:proofErr w:type="spellEnd"/>
      <w:r w:rsidRPr="0049357A">
        <w:rPr>
          <w:rFonts w:ascii="Times New Roman" w:hAnsi="Times New Roman" w:cs="Times New Roman"/>
          <w:color w:val="000000" w:themeColor="text1"/>
          <w:sz w:val="28"/>
          <w:szCs w:val="28"/>
          <w:lang w:val="en-US"/>
        </w:rPr>
        <w:t xml:space="preserve"> N. Artificial intelligence capital and employment prospects // Oxford Economic Papers. – 2024. – Vol.76, №4. – P.901–919.</w:t>
      </w:r>
    </w:p>
    <w:p w14:paraId="487A954E"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Nazarbayev University. Career and Advising Center. </w:t>
      </w:r>
      <w:hyperlink r:id="rId214" w:anchor="!/tab/347563768-1" w:history="1">
        <w:r w:rsidRPr="0049357A">
          <w:rPr>
            <w:rFonts w:ascii="Times New Roman" w:hAnsi="Times New Roman" w:cs="Times New Roman"/>
            <w:color w:val="000000" w:themeColor="text1"/>
            <w:sz w:val="28"/>
            <w:szCs w:val="28"/>
            <w:lang w:val="en-US"/>
          </w:rPr>
          <w:t>https://cac.nu.edu.kz/aboutus#!/tab/347563768-1</w:t>
        </w:r>
      </w:hyperlink>
      <w:r w:rsidRPr="0049357A">
        <w:rPr>
          <w:rFonts w:ascii="Times New Roman" w:hAnsi="Times New Roman" w:cs="Times New Roman"/>
          <w:color w:val="000000" w:themeColor="text1"/>
          <w:sz w:val="28"/>
          <w:szCs w:val="28"/>
          <w:lang w:val="en-US"/>
        </w:rPr>
        <w:t xml:space="preserve"> </w:t>
      </w:r>
    </w:p>
    <w:p w14:paraId="21BEBED0"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KIMEP University. Career Center. </w:t>
      </w:r>
      <w:hyperlink r:id="rId215" w:history="1">
        <w:r w:rsidRPr="0049357A">
          <w:rPr>
            <w:rFonts w:ascii="Times New Roman" w:hAnsi="Times New Roman" w:cs="Times New Roman"/>
            <w:color w:val="000000" w:themeColor="text1"/>
            <w:sz w:val="28"/>
            <w:szCs w:val="28"/>
            <w:lang w:val="en-US"/>
          </w:rPr>
          <w:t>https://www.kimep.kz/current-students/en/career-employment/</w:t>
        </w:r>
      </w:hyperlink>
    </w:p>
    <w:p w14:paraId="2DAAE424"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Kazakh-British Technical University. Career &amp; Alumni Relations Center. </w:t>
      </w:r>
      <w:hyperlink r:id="rId216" w:history="1">
        <w:r w:rsidRPr="0049357A">
          <w:rPr>
            <w:rFonts w:ascii="Times New Roman" w:hAnsi="Times New Roman" w:cs="Times New Roman"/>
            <w:color w:val="000000" w:themeColor="text1"/>
            <w:sz w:val="28"/>
            <w:szCs w:val="28"/>
            <w:lang w:val="en-US"/>
          </w:rPr>
          <w:t>https://kbtu.edu.kz/en/students/career-and-employment</w:t>
        </w:r>
      </w:hyperlink>
    </w:p>
    <w:p w14:paraId="0FFF03DC"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lastRenderedPageBreak/>
        <w:t xml:space="preserve">Eurasian National University. Alumni Office. </w:t>
      </w:r>
      <w:hyperlink r:id="rId217" w:history="1">
        <w:r w:rsidRPr="0049357A">
          <w:rPr>
            <w:rFonts w:ascii="Times New Roman" w:hAnsi="Times New Roman" w:cs="Times New Roman"/>
            <w:color w:val="000000" w:themeColor="text1"/>
            <w:sz w:val="28"/>
            <w:szCs w:val="28"/>
            <w:lang w:val="en-US"/>
          </w:rPr>
          <w:t>https://enu.kz/en/page/graduates/alumni-office</w:t>
        </w:r>
      </w:hyperlink>
    </w:p>
    <w:p w14:paraId="4543CD0A"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Satbayev</w:t>
      </w:r>
      <w:proofErr w:type="spellEnd"/>
      <w:r w:rsidRPr="0049357A">
        <w:rPr>
          <w:rFonts w:ascii="Times New Roman" w:hAnsi="Times New Roman" w:cs="Times New Roman"/>
          <w:color w:val="000000" w:themeColor="text1"/>
          <w:sz w:val="28"/>
          <w:szCs w:val="28"/>
          <w:lang w:val="en-US"/>
        </w:rPr>
        <w:t xml:space="preserve"> University. Career Center. </w:t>
      </w:r>
      <w:hyperlink r:id="rId218" w:history="1">
        <w:r w:rsidRPr="0049357A">
          <w:rPr>
            <w:rFonts w:ascii="Times New Roman" w:hAnsi="Times New Roman" w:cs="Times New Roman"/>
            <w:color w:val="000000" w:themeColor="text1"/>
            <w:sz w:val="28"/>
            <w:szCs w:val="28"/>
            <w:lang w:val="en-US"/>
          </w:rPr>
          <w:t>https://satbayev.university/en/career-center</w:t>
        </w:r>
      </w:hyperlink>
    </w:p>
    <w:p w14:paraId="551DC25C"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Narxoz</w:t>
      </w:r>
      <w:proofErr w:type="spellEnd"/>
      <w:r w:rsidRPr="0049357A">
        <w:rPr>
          <w:rFonts w:ascii="Times New Roman" w:hAnsi="Times New Roman" w:cs="Times New Roman"/>
          <w:color w:val="000000" w:themeColor="text1"/>
          <w:sz w:val="28"/>
          <w:szCs w:val="28"/>
          <w:lang w:val="en-US"/>
        </w:rPr>
        <w:t xml:space="preserve"> University. Career Development Office. </w:t>
      </w:r>
      <w:hyperlink r:id="rId219" w:anchor="en" w:history="1">
        <w:r w:rsidRPr="0049357A">
          <w:rPr>
            <w:rFonts w:ascii="Times New Roman" w:hAnsi="Times New Roman" w:cs="Times New Roman"/>
            <w:color w:val="000000" w:themeColor="text1"/>
            <w:sz w:val="28"/>
            <w:szCs w:val="28"/>
            <w:lang w:val="en-US"/>
          </w:rPr>
          <w:t>https://narxoz.edu.kz/alumni#en</w:t>
        </w:r>
      </w:hyperlink>
    </w:p>
    <w:p w14:paraId="71B6396E"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Auezov</w:t>
      </w:r>
      <w:proofErr w:type="spellEnd"/>
      <w:r w:rsidRPr="0049357A">
        <w:rPr>
          <w:rFonts w:ascii="Times New Roman" w:hAnsi="Times New Roman" w:cs="Times New Roman"/>
          <w:color w:val="000000" w:themeColor="text1"/>
          <w:sz w:val="28"/>
          <w:szCs w:val="28"/>
          <w:lang w:val="en-US"/>
        </w:rPr>
        <w:t xml:space="preserve"> University. Student Affairs Department </w:t>
      </w:r>
      <w:hyperlink r:id="rId220" w:history="1">
        <w:r w:rsidRPr="0049357A">
          <w:rPr>
            <w:rFonts w:ascii="Times New Roman" w:hAnsi="Times New Roman" w:cs="Times New Roman"/>
            <w:color w:val="000000" w:themeColor="text1"/>
            <w:sz w:val="28"/>
            <w:szCs w:val="28"/>
            <w:lang w:val="en-US"/>
          </w:rPr>
          <w:t>https://dsa.auezov.edu.kz/en/</w:t>
        </w:r>
      </w:hyperlink>
    </w:p>
    <w:p w14:paraId="76C6346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Farabi</w:t>
      </w:r>
      <w:proofErr w:type="spellEnd"/>
      <w:r w:rsidRPr="0049357A">
        <w:rPr>
          <w:rFonts w:ascii="Times New Roman" w:hAnsi="Times New Roman" w:cs="Times New Roman"/>
          <w:color w:val="000000" w:themeColor="text1"/>
          <w:sz w:val="28"/>
          <w:szCs w:val="28"/>
          <w:lang w:val="en-US"/>
        </w:rPr>
        <w:t xml:space="preserve"> University (Kazakh National University named after al-</w:t>
      </w:r>
      <w:proofErr w:type="spellStart"/>
      <w:r w:rsidRPr="0049357A">
        <w:rPr>
          <w:rFonts w:ascii="Times New Roman" w:hAnsi="Times New Roman" w:cs="Times New Roman"/>
          <w:color w:val="000000" w:themeColor="text1"/>
          <w:sz w:val="28"/>
          <w:szCs w:val="28"/>
          <w:lang w:val="en-US"/>
        </w:rPr>
        <w:t>Farabi</w:t>
      </w:r>
      <w:proofErr w:type="spellEnd"/>
      <w:r w:rsidRPr="0049357A">
        <w:rPr>
          <w:rFonts w:ascii="Times New Roman" w:hAnsi="Times New Roman" w:cs="Times New Roman"/>
          <w:color w:val="000000" w:themeColor="text1"/>
          <w:sz w:val="28"/>
          <w:szCs w:val="28"/>
          <w:lang w:val="en-US"/>
        </w:rPr>
        <w:t xml:space="preserve">). Career and employment center. </w:t>
      </w:r>
      <w:hyperlink r:id="rId221" w:history="1">
        <w:r w:rsidRPr="0049357A">
          <w:rPr>
            <w:rFonts w:ascii="Times New Roman" w:hAnsi="Times New Roman" w:cs="Times New Roman"/>
            <w:color w:val="000000" w:themeColor="text1"/>
            <w:sz w:val="28"/>
            <w:szCs w:val="28"/>
            <w:lang w:val="en-US"/>
          </w:rPr>
          <w:t>https://farabi.university/students/career#</w:t>
        </w:r>
      </w:hyperlink>
    </w:p>
    <w:p w14:paraId="2CD48485"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Karaganda </w:t>
      </w:r>
      <w:proofErr w:type="spellStart"/>
      <w:r w:rsidRPr="0049357A">
        <w:rPr>
          <w:rFonts w:ascii="Times New Roman" w:hAnsi="Times New Roman" w:cs="Times New Roman"/>
          <w:color w:val="000000" w:themeColor="text1"/>
          <w:sz w:val="28"/>
          <w:szCs w:val="28"/>
          <w:lang w:val="en-US"/>
        </w:rPr>
        <w:t>Buketov</w:t>
      </w:r>
      <w:proofErr w:type="spellEnd"/>
      <w:r w:rsidRPr="0049357A">
        <w:rPr>
          <w:rFonts w:ascii="Times New Roman" w:hAnsi="Times New Roman" w:cs="Times New Roman"/>
          <w:color w:val="000000" w:themeColor="text1"/>
          <w:sz w:val="28"/>
          <w:szCs w:val="28"/>
          <w:lang w:val="en-US"/>
        </w:rPr>
        <w:t xml:space="preserve"> University. Career department. </w:t>
      </w:r>
      <w:hyperlink r:id="rId222" w:history="1">
        <w:r w:rsidRPr="0049357A">
          <w:rPr>
            <w:rFonts w:ascii="Times New Roman" w:hAnsi="Times New Roman" w:cs="Times New Roman"/>
            <w:color w:val="000000" w:themeColor="text1"/>
            <w:sz w:val="28"/>
            <w:szCs w:val="28"/>
            <w:lang w:val="en-US"/>
          </w:rPr>
          <w:t>https://buketov.edu.kz/en/page/ckt</w:t>
        </w:r>
      </w:hyperlink>
    </w:p>
    <w:p w14:paraId="6FECB1F6"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Turan</w:t>
      </w:r>
      <w:proofErr w:type="spellEnd"/>
      <w:r w:rsidRPr="0049357A">
        <w:rPr>
          <w:rFonts w:ascii="Times New Roman" w:hAnsi="Times New Roman" w:cs="Times New Roman"/>
          <w:color w:val="000000" w:themeColor="text1"/>
          <w:sz w:val="28"/>
          <w:szCs w:val="28"/>
          <w:lang w:val="en-US"/>
        </w:rPr>
        <w:t xml:space="preserve"> University. Career and Leadership Center. </w:t>
      </w:r>
      <w:hyperlink r:id="rId223" w:history="1">
        <w:r w:rsidRPr="0049357A">
          <w:rPr>
            <w:rFonts w:ascii="Times New Roman" w:hAnsi="Times New Roman" w:cs="Times New Roman"/>
            <w:color w:val="000000" w:themeColor="text1"/>
            <w:sz w:val="28"/>
            <w:szCs w:val="28"/>
            <w:lang w:val="en-US"/>
          </w:rPr>
          <w:t>https://turan.edu.kz/en/career-and-leadership-center/</w:t>
        </w:r>
      </w:hyperlink>
    </w:p>
    <w:p w14:paraId="66742DCA"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University of Waterloo. Center for career development. </w:t>
      </w:r>
      <w:hyperlink r:id="rId224" w:history="1">
        <w:r w:rsidRPr="0049357A">
          <w:rPr>
            <w:rFonts w:ascii="Times New Roman" w:hAnsi="Times New Roman" w:cs="Times New Roman"/>
            <w:color w:val="000000" w:themeColor="text1"/>
            <w:sz w:val="28"/>
            <w:szCs w:val="28"/>
            <w:lang w:val="en-US"/>
          </w:rPr>
          <w:t>https://uwaterloo.ca/career-development/appointments-drop-ins</w:t>
        </w:r>
      </w:hyperlink>
      <w:r w:rsidRPr="0049357A">
        <w:rPr>
          <w:rFonts w:ascii="Times New Roman" w:hAnsi="Times New Roman" w:cs="Times New Roman"/>
          <w:color w:val="000000" w:themeColor="text1"/>
          <w:sz w:val="28"/>
          <w:szCs w:val="28"/>
          <w:lang w:val="en-US"/>
        </w:rPr>
        <w:t xml:space="preserve">  01.10.2024.</w:t>
      </w:r>
    </w:p>
    <w:p w14:paraId="120D8F4E" w14:textId="77777777" w:rsidR="00F14E91" w:rsidRPr="00B4623F" w:rsidRDefault="00F14E91" w:rsidP="00015249">
      <w:pPr>
        <w:pStyle w:val="af"/>
        <w:numPr>
          <w:ilvl w:val="0"/>
          <w:numId w:val="34"/>
        </w:numPr>
        <w:ind w:left="0" w:firstLine="709"/>
        <w:jc w:val="both"/>
        <w:rPr>
          <w:rFonts w:ascii="Times New Roman" w:hAnsi="Times New Roman" w:cs="Times New Roman"/>
          <w:color w:val="000000" w:themeColor="text1"/>
          <w:sz w:val="28"/>
          <w:szCs w:val="28"/>
        </w:rPr>
      </w:pPr>
      <w:r w:rsidRPr="0049357A">
        <w:rPr>
          <w:rFonts w:ascii="Times New Roman" w:hAnsi="Times New Roman" w:cs="Times New Roman"/>
          <w:color w:val="000000" w:themeColor="text1"/>
          <w:sz w:val="28"/>
          <w:szCs w:val="28"/>
          <w:lang w:val="en-US"/>
        </w:rPr>
        <w:t xml:space="preserve">Teaching and Learning in the AI era: How the University of Sydney is empowering staff and students </w:t>
      </w:r>
      <w:proofErr w:type="spellStart"/>
      <w:r w:rsidRPr="0049357A">
        <w:rPr>
          <w:rFonts w:ascii="Times New Roman" w:hAnsi="Times New Roman" w:cs="Times New Roman"/>
          <w:color w:val="000000" w:themeColor="text1"/>
          <w:sz w:val="28"/>
          <w:szCs w:val="28"/>
          <w:lang w:val="en-US"/>
        </w:rPr>
        <w:t>woth</w:t>
      </w:r>
      <w:proofErr w:type="spellEnd"/>
      <w:r w:rsidRPr="0049357A">
        <w:rPr>
          <w:rFonts w:ascii="Times New Roman" w:hAnsi="Times New Roman" w:cs="Times New Roman"/>
          <w:color w:val="000000" w:themeColor="text1"/>
          <w:sz w:val="28"/>
          <w:szCs w:val="28"/>
          <w:lang w:val="en-US"/>
        </w:rPr>
        <w:t xml:space="preserve"> AI across the institution. </w:t>
      </w:r>
      <w:hyperlink r:id="rId225" w:history="1">
        <w:r w:rsidRPr="0049357A">
          <w:rPr>
            <w:rFonts w:ascii="Times New Roman" w:hAnsi="Times New Roman" w:cs="Times New Roman"/>
            <w:color w:val="000000" w:themeColor="text1"/>
            <w:sz w:val="28"/>
            <w:szCs w:val="28"/>
            <w:lang w:val="en-US"/>
          </w:rPr>
          <w:t>https</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news</w:t>
        </w:r>
        <w:r w:rsidRPr="00B4623F">
          <w:rPr>
            <w:rFonts w:ascii="Times New Roman" w:hAnsi="Times New Roman" w:cs="Times New Roman"/>
            <w:color w:val="000000" w:themeColor="text1"/>
            <w:sz w:val="28"/>
            <w:szCs w:val="28"/>
          </w:rPr>
          <w:t>.</w:t>
        </w:r>
        <w:proofErr w:type="spellStart"/>
        <w:r w:rsidRPr="0049357A">
          <w:rPr>
            <w:rFonts w:ascii="Times New Roman" w:hAnsi="Times New Roman" w:cs="Times New Roman"/>
            <w:color w:val="000000" w:themeColor="text1"/>
            <w:sz w:val="28"/>
            <w:szCs w:val="28"/>
            <w:lang w:val="en-US"/>
          </w:rPr>
          <w:t>microsoft</w:t>
        </w:r>
        <w:proofErr w:type="spellEnd"/>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com</w:t>
        </w:r>
        <w:r w:rsidRPr="00B4623F">
          <w:rPr>
            <w:rFonts w:ascii="Times New Roman" w:hAnsi="Times New Roman" w:cs="Times New Roman"/>
            <w:color w:val="000000" w:themeColor="text1"/>
            <w:sz w:val="28"/>
            <w:szCs w:val="28"/>
          </w:rPr>
          <w:t>/</w:t>
        </w:r>
        <w:proofErr w:type="spellStart"/>
        <w:r w:rsidRPr="0049357A">
          <w:rPr>
            <w:rFonts w:ascii="Times New Roman" w:hAnsi="Times New Roman" w:cs="Times New Roman"/>
            <w:color w:val="000000" w:themeColor="text1"/>
            <w:sz w:val="28"/>
            <w:szCs w:val="28"/>
            <w:lang w:val="en-US"/>
          </w:rPr>
          <w:t>en</w:t>
        </w:r>
        <w:proofErr w:type="spellEnd"/>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au</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features</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teaching</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and</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learning</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in</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the</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ai</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era</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how</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the</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university</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of</w:t>
        </w:r>
        <w:r w:rsidRPr="00B4623F">
          <w:rPr>
            <w:rFonts w:ascii="Times New Roman" w:hAnsi="Times New Roman" w:cs="Times New Roman"/>
            <w:color w:val="000000" w:themeColor="text1"/>
            <w:sz w:val="28"/>
            <w:szCs w:val="28"/>
          </w:rPr>
          <w:t>-</w:t>
        </w:r>
        <w:proofErr w:type="spellStart"/>
        <w:r w:rsidRPr="0049357A">
          <w:rPr>
            <w:rFonts w:ascii="Times New Roman" w:hAnsi="Times New Roman" w:cs="Times New Roman"/>
            <w:color w:val="000000" w:themeColor="text1"/>
            <w:sz w:val="28"/>
            <w:szCs w:val="28"/>
            <w:lang w:val="en-US"/>
          </w:rPr>
          <w:t>sydney</w:t>
        </w:r>
        <w:proofErr w:type="spellEnd"/>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is</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empowering</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staff</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and</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students</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with</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ai</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across</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the</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institution</w:t>
        </w:r>
        <w:r w:rsidRPr="00B4623F">
          <w:rPr>
            <w:rFonts w:ascii="Times New Roman" w:hAnsi="Times New Roman" w:cs="Times New Roman"/>
            <w:color w:val="000000" w:themeColor="text1"/>
            <w:sz w:val="28"/>
            <w:szCs w:val="28"/>
          </w:rPr>
          <w:t>/</w:t>
        </w:r>
      </w:hyperlink>
      <w:r w:rsidRPr="00B4623F">
        <w:rPr>
          <w:rFonts w:ascii="Times New Roman" w:hAnsi="Times New Roman" w:cs="Times New Roman"/>
          <w:color w:val="000000" w:themeColor="text1"/>
          <w:sz w:val="28"/>
          <w:szCs w:val="28"/>
        </w:rPr>
        <w:t xml:space="preserve">  01.10.2024.</w:t>
      </w:r>
    </w:p>
    <w:p w14:paraId="2D3F4C8C" w14:textId="77777777" w:rsidR="00F14E91" w:rsidRPr="00B4623F" w:rsidRDefault="00F14E91" w:rsidP="00015249">
      <w:pPr>
        <w:pStyle w:val="af"/>
        <w:numPr>
          <w:ilvl w:val="0"/>
          <w:numId w:val="34"/>
        </w:numPr>
        <w:ind w:left="0" w:firstLine="709"/>
        <w:jc w:val="both"/>
        <w:rPr>
          <w:rFonts w:ascii="Times New Roman" w:hAnsi="Times New Roman" w:cs="Times New Roman"/>
          <w:color w:val="000000" w:themeColor="text1"/>
          <w:sz w:val="28"/>
          <w:szCs w:val="28"/>
        </w:rPr>
      </w:pPr>
      <w:r w:rsidRPr="0049357A">
        <w:rPr>
          <w:rFonts w:ascii="Times New Roman" w:hAnsi="Times New Roman" w:cs="Times New Roman"/>
          <w:color w:val="000000" w:themeColor="text1"/>
          <w:sz w:val="28"/>
          <w:szCs w:val="28"/>
          <w:lang w:val="en-US"/>
        </w:rPr>
        <w:t xml:space="preserve">Microsoft education team. </w:t>
      </w:r>
      <w:proofErr w:type="spellStart"/>
      <w:r w:rsidRPr="0049357A">
        <w:rPr>
          <w:rFonts w:ascii="Times New Roman" w:hAnsi="Times New Roman" w:cs="Times New Roman"/>
          <w:color w:val="000000" w:themeColor="text1"/>
          <w:sz w:val="28"/>
          <w:szCs w:val="28"/>
          <w:lang w:val="en-US"/>
        </w:rPr>
        <w:t>Universtiy</w:t>
      </w:r>
      <w:proofErr w:type="spellEnd"/>
      <w:r w:rsidRPr="0049357A">
        <w:rPr>
          <w:rFonts w:ascii="Times New Roman" w:hAnsi="Times New Roman" w:cs="Times New Roman"/>
          <w:color w:val="000000" w:themeColor="text1"/>
          <w:sz w:val="28"/>
          <w:szCs w:val="28"/>
          <w:lang w:val="en-US"/>
        </w:rPr>
        <w:t xml:space="preserve"> of Sydney: Building custom AI </w:t>
      </w:r>
      <w:proofErr w:type="spellStart"/>
      <w:r w:rsidRPr="0049357A">
        <w:rPr>
          <w:rFonts w:ascii="Times New Roman" w:hAnsi="Times New Roman" w:cs="Times New Roman"/>
          <w:color w:val="000000" w:themeColor="text1"/>
          <w:sz w:val="28"/>
          <w:szCs w:val="28"/>
          <w:lang w:val="en-US"/>
        </w:rPr>
        <w:t>solutionswith</w:t>
      </w:r>
      <w:proofErr w:type="spellEnd"/>
      <w:r w:rsidRPr="0049357A">
        <w:rPr>
          <w:rFonts w:ascii="Times New Roman" w:hAnsi="Times New Roman" w:cs="Times New Roman"/>
          <w:color w:val="000000" w:themeColor="text1"/>
          <w:sz w:val="28"/>
          <w:szCs w:val="28"/>
          <w:lang w:val="en-US"/>
        </w:rPr>
        <w:t xml:space="preserve"> Azure </w:t>
      </w:r>
      <w:proofErr w:type="spellStart"/>
      <w:r w:rsidRPr="0049357A">
        <w:rPr>
          <w:rFonts w:ascii="Times New Roman" w:hAnsi="Times New Roman" w:cs="Times New Roman"/>
          <w:color w:val="000000" w:themeColor="text1"/>
          <w:sz w:val="28"/>
          <w:szCs w:val="28"/>
          <w:lang w:val="en-US"/>
        </w:rPr>
        <w:t>OpenAI</w:t>
      </w:r>
      <w:proofErr w:type="spellEnd"/>
      <w:r w:rsidRPr="0049357A">
        <w:rPr>
          <w:rFonts w:ascii="Times New Roman" w:hAnsi="Times New Roman" w:cs="Times New Roman"/>
          <w:color w:val="000000" w:themeColor="text1"/>
          <w:sz w:val="28"/>
          <w:szCs w:val="28"/>
          <w:lang w:val="en-US"/>
        </w:rPr>
        <w:t xml:space="preserve">. </w:t>
      </w:r>
      <w:hyperlink r:id="rId226" w:history="1">
        <w:r w:rsidRPr="0049357A">
          <w:rPr>
            <w:rFonts w:ascii="Times New Roman" w:hAnsi="Times New Roman" w:cs="Times New Roman"/>
            <w:color w:val="000000" w:themeColor="text1"/>
            <w:sz w:val="28"/>
            <w:szCs w:val="28"/>
            <w:lang w:val="en-US"/>
          </w:rPr>
          <w:t>https</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www</w:t>
        </w:r>
        <w:r w:rsidRPr="00B4623F">
          <w:rPr>
            <w:rFonts w:ascii="Times New Roman" w:hAnsi="Times New Roman" w:cs="Times New Roman"/>
            <w:color w:val="000000" w:themeColor="text1"/>
            <w:sz w:val="28"/>
            <w:szCs w:val="28"/>
          </w:rPr>
          <w:t>.</w:t>
        </w:r>
        <w:proofErr w:type="spellStart"/>
        <w:r w:rsidRPr="0049357A">
          <w:rPr>
            <w:rFonts w:ascii="Times New Roman" w:hAnsi="Times New Roman" w:cs="Times New Roman"/>
            <w:color w:val="000000" w:themeColor="text1"/>
            <w:sz w:val="28"/>
            <w:szCs w:val="28"/>
            <w:lang w:val="en-US"/>
          </w:rPr>
          <w:t>microsoft</w:t>
        </w:r>
        <w:proofErr w:type="spellEnd"/>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com</w:t>
        </w:r>
        <w:r w:rsidRPr="00B4623F">
          <w:rPr>
            <w:rFonts w:ascii="Times New Roman" w:hAnsi="Times New Roman" w:cs="Times New Roman"/>
            <w:color w:val="000000" w:themeColor="text1"/>
            <w:sz w:val="28"/>
            <w:szCs w:val="28"/>
          </w:rPr>
          <w:t>/</w:t>
        </w:r>
        <w:proofErr w:type="spellStart"/>
        <w:r w:rsidRPr="0049357A">
          <w:rPr>
            <w:rFonts w:ascii="Times New Roman" w:hAnsi="Times New Roman" w:cs="Times New Roman"/>
            <w:color w:val="000000" w:themeColor="text1"/>
            <w:sz w:val="28"/>
            <w:szCs w:val="28"/>
            <w:lang w:val="en-US"/>
          </w:rPr>
          <w:t>en</w:t>
        </w:r>
        <w:proofErr w:type="spellEnd"/>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us</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education</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blog</w:t>
        </w:r>
        <w:r w:rsidRPr="00B4623F">
          <w:rPr>
            <w:rFonts w:ascii="Times New Roman" w:hAnsi="Times New Roman" w:cs="Times New Roman"/>
            <w:color w:val="000000" w:themeColor="text1"/>
            <w:sz w:val="28"/>
            <w:szCs w:val="28"/>
          </w:rPr>
          <w:t>/2024/07/</w:t>
        </w:r>
        <w:r w:rsidRPr="0049357A">
          <w:rPr>
            <w:rFonts w:ascii="Times New Roman" w:hAnsi="Times New Roman" w:cs="Times New Roman"/>
            <w:color w:val="000000" w:themeColor="text1"/>
            <w:sz w:val="28"/>
            <w:szCs w:val="28"/>
            <w:lang w:val="en-US"/>
          </w:rPr>
          <w:t>university</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of</w:t>
        </w:r>
        <w:r w:rsidRPr="00B4623F">
          <w:rPr>
            <w:rFonts w:ascii="Times New Roman" w:hAnsi="Times New Roman" w:cs="Times New Roman"/>
            <w:color w:val="000000" w:themeColor="text1"/>
            <w:sz w:val="28"/>
            <w:szCs w:val="28"/>
          </w:rPr>
          <w:t>-</w:t>
        </w:r>
        <w:proofErr w:type="spellStart"/>
        <w:r w:rsidRPr="0049357A">
          <w:rPr>
            <w:rFonts w:ascii="Times New Roman" w:hAnsi="Times New Roman" w:cs="Times New Roman"/>
            <w:color w:val="000000" w:themeColor="text1"/>
            <w:sz w:val="28"/>
            <w:szCs w:val="28"/>
            <w:lang w:val="en-US"/>
          </w:rPr>
          <w:t>sydney</w:t>
        </w:r>
        <w:proofErr w:type="spellEnd"/>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building</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custom</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ai</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solutions</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with</w:t>
        </w:r>
        <w:r w:rsidRPr="00B4623F">
          <w:rPr>
            <w:rFonts w:ascii="Times New Roman" w:hAnsi="Times New Roman" w:cs="Times New Roman"/>
            <w:color w:val="000000" w:themeColor="text1"/>
            <w:sz w:val="28"/>
            <w:szCs w:val="28"/>
          </w:rPr>
          <w:t>-</w:t>
        </w:r>
        <w:r w:rsidRPr="0049357A">
          <w:rPr>
            <w:rFonts w:ascii="Times New Roman" w:hAnsi="Times New Roman" w:cs="Times New Roman"/>
            <w:color w:val="000000" w:themeColor="text1"/>
            <w:sz w:val="28"/>
            <w:szCs w:val="28"/>
            <w:lang w:val="en-US"/>
          </w:rPr>
          <w:t>azure</w:t>
        </w:r>
        <w:r w:rsidRPr="00B4623F">
          <w:rPr>
            <w:rFonts w:ascii="Times New Roman" w:hAnsi="Times New Roman" w:cs="Times New Roman"/>
            <w:color w:val="000000" w:themeColor="text1"/>
            <w:sz w:val="28"/>
            <w:szCs w:val="28"/>
          </w:rPr>
          <w:t>-</w:t>
        </w:r>
        <w:proofErr w:type="spellStart"/>
        <w:r w:rsidRPr="0049357A">
          <w:rPr>
            <w:rFonts w:ascii="Times New Roman" w:hAnsi="Times New Roman" w:cs="Times New Roman"/>
            <w:color w:val="000000" w:themeColor="text1"/>
            <w:sz w:val="28"/>
            <w:szCs w:val="28"/>
            <w:lang w:val="en-US"/>
          </w:rPr>
          <w:t>openai</w:t>
        </w:r>
        <w:proofErr w:type="spellEnd"/>
        <w:r w:rsidRPr="00B4623F">
          <w:rPr>
            <w:rFonts w:ascii="Times New Roman" w:hAnsi="Times New Roman" w:cs="Times New Roman"/>
            <w:color w:val="000000" w:themeColor="text1"/>
            <w:sz w:val="28"/>
            <w:szCs w:val="28"/>
          </w:rPr>
          <w:t>/</w:t>
        </w:r>
      </w:hyperlink>
      <w:r w:rsidRPr="00B4623F">
        <w:rPr>
          <w:rFonts w:ascii="Times New Roman" w:hAnsi="Times New Roman" w:cs="Times New Roman"/>
          <w:color w:val="000000" w:themeColor="text1"/>
          <w:sz w:val="28"/>
          <w:szCs w:val="28"/>
        </w:rPr>
        <w:t xml:space="preserve">   01.10.2024.</w:t>
      </w:r>
    </w:p>
    <w:p w14:paraId="70686CF3"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Pooja D., Harmeet K., Rakesh K., Srinivas A., </w:t>
      </w:r>
      <w:proofErr w:type="spellStart"/>
      <w:r w:rsidRPr="0049357A">
        <w:rPr>
          <w:rFonts w:ascii="Times New Roman" w:hAnsi="Times New Roman" w:cs="Times New Roman"/>
          <w:color w:val="000000" w:themeColor="text1"/>
          <w:sz w:val="28"/>
          <w:szCs w:val="28"/>
          <w:lang w:val="en-US"/>
        </w:rPr>
        <w:t>Shrish</w:t>
      </w:r>
      <w:proofErr w:type="spellEnd"/>
      <w:r w:rsidRPr="0049357A">
        <w:rPr>
          <w:rFonts w:ascii="Times New Roman" w:hAnsi="Times New Roman" w:cs="Times New Roman"/>
          <w:color w:val="000000" w:themeColor="text1"/>
          <w:sz w:val="28"/>
          <w:szCs w:val="28"/>
          <w:lang w:val="en-US"/>
        </w:rPr>
        <w:t xml:space="preserve"> S. Artificial Intelligence is Revolution or Devolution for Employability //   3rd International Conference on Innovative Mechanisms for Industry Applications (ICIMIA). – Bengaluru. - 2023. – P.367-371. </w:t>
      </w:r>
    </w:p>
    <w:p w14:paraId="71289B2A"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Ghuge</w:t>
      </w:r>
      <w:proofErr w:type="spellEnd"/>
      <w:r w:rsidRPr="0049357A">
        <w:rPr>
          <w:rFonts w:ascii="Times New Roman" w:hAnsi="Times New Roman" w:cs="Times New Roman"/>
          <w:color w:val="000000" w:themeColor="text1"/>
          <w:sz w:val="28"/>
          <w:szCs w:val="28"/>
          <w:lang w:val="en-US"/>
        </w:rPr>
        <w:t xml:space="preserve"> M., </w:t>
      </w:r>
      <w:proofErr w:type="spellStart"/>
      <w:r w:rsidRPr="0049357A">
        <w:rPr>
          <w:rFonts w:ascii="Times New Roman" w:hAnsi="Times New Roman" w:cs="Times New Roman"/>
          <w:color w:val="000000" w:themeColor="text1"/>
          <w:sz w:val="28"/>
          <w:szCs w:val="28"/>
          <w:lang w:val="en-US"/>
        </w:rPr>
        <w:t>Kamble</w:t>
      </w:r>
      <w:proofErr w:type="spellEnd"/>
      <w:r w:rsidRPr="0049357A">
        <w:rPr>
          <w:rFonts w:ascii="Times New Roman" w:hAnsi="Times New Roman" w:cs="Times New Roman"/>
          <w:color w:val="000000" w:themeColor="text1"/>
          <w:sz w:val="28"/>
          <w:szCs w:val="28"/>
          <w:lang w:val="en-US"/>
        </w:rPr>
        <w:t xml:space="preserve"> T., </w:t>
      </w:r>
      <w:proofErr w:type="spellStart"/>
      <w:r w:rsidRPr="0049357A">
        <w:rPr>
          <w:rFonts w:ascii="Times New Roman" w:hAnsi="Times New Roman" w:cs="Times New Roman"/>
          <w:color w:val="000000" w:themeColor="text1"/>
          <w:sz w:val="28"/>
          <w:szCs w:val="28"/>
          <w:lang w:val="en-US"/>
        </w:rPr>
        <w:t>Mandrawliya</w:t>
      </w:r>
      <w:proofErr w:type="spellEnd"/>
      <w:r w:rsidRPr="0049357A">
        <w:rPr>
          <w:rFonts w:ascii="Times New Roman" w:hAnsi="Times New Roman" w:cs="Times New Roman"/>
          <w:color w:val="000000" w:themeColor="text1"/>
          <w:sz w:val="28"/>
          <w:szCs w:val="28"/>
          <w:lang w:val="en-US"/>
        </w:rPr>
        <w:t xml:space="preserve"> A., Kumari A., </w:t>
      </w:r>
      <w:proofErr w:type="spellStart"/>
      <w:r w:rsidRPr="0049357A">
        <w:rPr>
          <w:rFonts w:ascii="Times New Roman" w:hAnsi="Times New Roman" w:cs="Times New Roman"/>
          <w:color w:val="000000" w:themeColor="text1"/>
          <w:sz w:val="28"/>
          <w:szCs w:val="28"/>
          <w:lang w:val="en-US"/>
        </w:rPr>
        <w:t>Raikwar</w:t>
      </w:r>
      <w:proofErr w:type="spellEnd"/>
      <w:r w:rsidRPr="0049357A">
        <w:rPr>
          <w:rFonts w:ascii="Times New Roman" w:hAnsi="Times New Roman" w:cs="Times New Roman"/>
          <w:color w:val="000000" w:themeColor="text1"/>
          <w:sz w:val="28"/>
          <w:szCs w:val="28"/>
          <w:lang w:val="en-US"/>
        </w:rPr>
        <w:t xml:space="preserve"> V. Envisioning Tomorrow: AI Powered Career Counseling // 3rd International Conference on Innovative Mechanisms for Industry Applications (ICIMIA). - Bengaluru, 2023. – P.377-383. </w:t>
      </w:r>
    </w:p>
    <w:p w14:paraId="3DD581E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Hude</w:t>
      </w:r>
      <w:proofErr w:type="spellEnd"/>
      <w:r w:rsidRPr="0049357A">
        <w:rPr>
          <w:rFonts w:ascii="Times New Roman" w:hAnsi="Times New Roman" w:cs="Times New Roman"/>
          <w:color w:val="000000" w:themeColor="text1"/>
          <w:sz w:val="28"/>
          <w:szCs w:val="28"/>
          <w:lang w:val="en-US"/>
        </w:rPr>
        <w:t xml:space="preserve"> T., Aditya B., Armaan K., Anand G., </w:t>
      </w:r>
      <w:proofErr w:type="spellStart"/>
      <w:r w:rsidRPr="0049357A">
        <w:rPr>
          <w:rFonts w:ascii="Times New Roman" w:hAnsi="Times New Roman" w:cs="Times New Roman"/>
          <w:color w:val="000000" w:themeColor="text1"/>
          <w:sz w:val="28"/>
          <w:szCs w:val="28"/>
          <w:lang w:val="en-US"/>
        </w:rPr>
        <w:t>Hrushikesh</w:t>
      </w:r>
      <w:proofErr w:type="spellEnd"/>
      <w:r w:rsidRPr="0049357A">
        <w:rPr>
          <w:rFonts w:ascii="Times New Roman" w:hAnsi="Times New Roman" w:cs="Times New Roman"/>
          <w:color w:val="000000" w:themeColor="text1"/>
          <w:sz w:val="28"/>
          <w:szCs w:val="28"/>
          <w:lang w:val="en-US"/>
        </w:rPr>
        <w:t xml:space="preserve"> S.  Review of AI Based Career Counselling // International Journal of Advanced Research in Science, Communication and Technology. – 2024. – Vol.4, №5. – P.385-388.</w:t>
      </w:r>
    </w:p>
    <w:p w14:paraId="42E49D08"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Shilaskar</w:t>
      </w:r>
      <w:proofErr w:type="spellEnd"/>
      <w:r w:rsidRPr="0049357A">
        <w:rPr>
          <w:rFonts w:ascii="Times New Roman" w:hAnsi="Times New Roman" w:cs="Times New Roman"/>
          <w:color w:val="000000" w:themeColor="text1"/>
          <w:sz w:val="28"/>
          <w:szCs w:val="28"/>
          <w:lang w:val="en-US"/>
        </w:rPr>
        <w:t xml:space="preserve"> S., </w:t>
      </w:r>
      <w:proofErr w:type="spellStart"/>
      <w:r w:rsidRPr="0049357A">
        <w:rPr>
          <w:rFonts w:ascii="Times New Roman" w:hAnsi="Times New Roman" w:cs="Times New Roman"/>
          <w:color w:val="000000" w:themeColor="text1"/>
          <w:sz w:val="28"/>
          <w:szCs w:val="28"/>
          <w:lang w:val="en-US"/>
        </w:rPr>
        <w:t>Bhatlawande</w:t>
      </w:r>
      <w:proofErr w:type="spellEnd"/>
      <w:r w:rsidRPr="0049357A">
        <w:rPr>
          <w:rFonts w:ascii="Times New Roman" w:hAnsi="Times New Roman" w:cs="Times New Roman"/>
          <w:color w:val="000000" w:themeColor="text1"/>
          <w:sz w:val="28"/>
          <w:szCs w:val="28"/>
          <w:lang w:val="en-US"/>
        </w:rPr>
        <w:t xml:space="preserve"> S., </w:t>
      </w:r>
      <w:proofErr w:type="spellStart"/>
      <w:r w:rsidRPr="0049357A">
        <w:rPr>
          <w:rFonts w:ascii="Times New Roman" w:hAnsi="Times New Roman" w:cs="Times New Roman"/>
          <w:color w:val="000000" w:themeColor="text1"/>
          <w:sz w:val="28"/>
          <w:szCs w:val="28"/>
          <w:lang w:val="en-US"/>
        </w:rPr>
        <w:t>Sawle</w:t>
      </w:r>
      <w:proofErr w:type="spellEnd"/>
      <w:r w:rsidRPr="0049357A">
        <w:rPr>
          <w:rFonts w:ascii="Times New Roman" w:hAnsi="Times New Roman" w:cs="Times New Roman"/>
          <w:color w:val="000000" w:themeColor="text1"/>
          <w:sz w:val="28"/>
          <w:szCs w:val="28"/>
          <w:lang w:val="en-US"/>
        </w:rPr>
        <w:t xml:space="preserve"> P., Gupta S., </w:t>
      </w:r>
      <w:proofErr w:type="spellStart"/>
      <w:r w:rsidRPr="0049357A">
        <w:rPr>
          <w:rFonts w:ascii="Times New Roman" w:hAnsi="Times New Roman" w:cs="Times New Roman"/>
          <w:color w:val="000000" w:themeColor="text1"/>
          <w:sz w:val="28"/>
          <w:szCs w:val="28"/>
          <w:lang w:val="en-US"/>
        </w:rPr>
        <w:t>Buche</w:t>
      </w:r>
      <w:proofErr w:type="spellEnd"/>
      <w:r w:rsidRPr="0049357A">
        <w:rPr>
          <w:rFonts w:ascii="Times New Roman" w:hAnsi="Times New Roman" w:cs="Times New Roman"/>
          <w:color w:val="000000" w:themeColor="text1"/>
          <w:sz w:val="28"/>
          <w:szCs w:val="28"/>
          <w:lang w:val="en-US"/>
        </w:rPr>
        <w:t xml:space="preserve"> R. Conversational AI for Career Counseling // MIT Art, Design and Technology School of Computing International Conference. – New-York: Curran Associates, Inc., - 2024. – P.496-500.</w:t>
      </w:r>
    </w:p>
    <w:p w14:paraId="57692541" w14:textId="724DE48E"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Dixon, M. J., </w:t>
      </w:r>
      <w:proofErr w:type="spellStart"/>
      <w:r w:rsidRPr="0049357A">
        <w:rPr>
          <w:rFonts w:ascii="Times New Roman" w:hAnsi="Times New Roman" w:cs="Times New Roman"/>
          <w:color w:val="000000" w:themeColor="text1"/>
          <w:sz w:val="28"/>
          <w:szCs w:val="28"/>
          <w:lang w:val="en-US"/>
        </w:rPr>
        <w:t>Gunpat</w:t>
      </w:r>
      <w:proofErr w:type="spellEnd"/>
      <w:r w:rsidRPr="0049357A">
        <w:rPr>
          <w:rFonts w:ascii="Times New Roman" w:hAnsi="Times New Roman" w:cs="Times New Roman"/>
          <w:color w:val="000000" w:themeColor="text1"/>
          <w:sz w:val="28"/>
          <w:szCs w:val="28"/>
          <w:lang w:val="en-US"/>
        </w:rPr>
        <w:t xml:space="preserve">, B. S., Boucher, I. A., Tsang, M., Ahmed, S., </w:t>
      </w:r>
      <w:proofErr w:type="spellStart"/>
      <w:r w:rsidRPr="0049357A">
        <w:rPr>
          <w:rFonts w:ascii="Times New Roman" w:hAnsi="Times New Roman" w:cs="Times New Roman"/>
          <w:color w:val="000000" w:themeColor="text1"/>
          <w:sz w:val="28"/>
          <w:szCs w:val="28"/>
          <w:lang w:val="en-US"/>
        </w:rPr>
        <w:t>Shaikevich</w:t>
      </w:r>
      <w:proofErr w:type="spellEnd"/>
      <w:r w:rsidRPr="0049357A">
        <w:rPr>
          <w:rFonts w:ascii="Times New Roman" w:hAnsi="Times New Roman" w:cs="Times New Roman"/>
          <w:color w:val="000000" w:themeColor="text1"/>
          <w:sz w:val="28"/>
          <w:szCs w:val="28"/>
          <w:lang w:val="en-US"/>
        </w:rPr>
        <w:t xml:space="preserve">, G., </w:t>
      </w:r>
      <w:proofErr w:type="spellStart"/>
      <w:r w:rsidRPr="0049357A">
        <w:rPr>
          <w:rFonts w:ascii="Times New Roman" w:hAnsi="Times New Roman" w:cs="Times New Roman"/>
          <w:color w:val="000000" w:themeColor="text1"/>
          <w:sz w:val="28"/>
          <w:szCs w:val="28"/>
          <w:lang w:val="en-US"/>
        </w:rPr>
        <w:t>Dhode</w:t>
      </w:r>
      <w:proofErr w:type="spellEnd"/>
      <w:r w:rsidRPr="0049357A">
        <w:rPr>
          <w:rFonts w:ascii="Times New Roman" w:hAnsi="Times New Roman" w:cs="Times New Roman"/>
          <w:color w:val="000000" w:themeColor="text1"/>
          <w:sz w:val="28"/>
          <w:szCs w:val="28"/>
          <w:lang w:val="en-US"/>
        </w:rPr>
        <w:t>, I., Leung, J., &amp; Kruger, T. B. (2024)</w:t>
      </w:r>
      <w:r w:rsidR="00FA4396">
        <w:rPr>
          <w:rFonts w:ascii="Times New Roman" w:hAnsi="Times New Roman" w:cs="Times New Roman"/>
          <w:color w:val="000000" w:themeColor="text1"/>
          <w:sz w:val="28"/>
          <w:szCs w:val="28"/>
          <w:lang w:val="en-US"/>
        </w:rPr>
        <w:t xml:space="preserve"> // </w:t>
      </w:r>
      <w:r w:rsidRPr="0049357A">
        <w:rPr>
          <w:rFonts w:ascii="Times New Roman" w:hAnsi="Times New Roman" w:cs="Times New Roman"/>
          <w:color w:val="000000" w:themeColor="text1"/>
          <w:sz w:val="28"/>
          <w:szCs w:val="28"/>
          <w:lang w:val="en-US"/>
        </w:rPr>
        <w:t>Using Wordle to assess the effects of goal gradients and near-misses. Scientific Reports, 14(24336). https://doi.org/10.1038/s41598-024-74450-0</w:t>
      </w:r>
    </w:p>
    <w:p w14:paraId="77C71749" w14:textId="3FEE4266"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lastRenderedPageBreak/>
        <w:t xml:space="preserve">Hu, Y., </w:t>
      </w:r>
      <w:proofErr w:type="spellStart"/>
      <w:r w:rsidRPr="0049357A">
        <w:rPr>
          <w:rFonts w:ascii="Times New Roman" w:hAnsi="Times New Roman" w:cs="Times New Roman"/>
          <w:color w:val="000000" w:themeColor="text1"/>
          <w:sz w:val="28"/>
          <w:szCs w:val="28"/>
          <w:lang w:val="en-US"/>
        </w:rPr>
        <w:t>Wouters</w:t>
      </w:r>
      <w:proofErr w:type="spellEnd"/>
      <w:r w:rsidRPr="0049357A">
        <w:rPr>
          <w:rFonts w:ascii="Times New Roman" w:hAnsi="Times New Roman" w:cs="Times New Roman"/>
          <w:color w:val="000000" w:themeColor="text1"/>
          <w:sz w:val="28"/>
          <w:szCs w:val="28"/>
          <w:lang w:val="en-US"/>
        </w:rPr>
        <w:t>, P., van der Schaaf, M., &amp; Kester, L. (2024). The effects of achievement goal instructions in game-based learning on students’ achievement goals, performance, and achievement emotions. Learning and Instruction, 93, 101943</w:t>
      </w:r>
      <w:r w:rsidR="00FA4396">
        <w:rPr>
          <w:rFonts w:ascii="Times New Roman" w:hAnsi="Times New Roman" w:cs="Times New Roman"/>
          <w:color w:val="000000" w:themeColor="text1"/>
          <w:sz w:val="28"/>
          <w:szCs w:val="28"/>
          <w:lang w:val="en-US"/>
        </w:rPr>
        <w:t xml:space="preserve">. </w:t>
      </w:r>
    </w:p>
    <w:p w14:paraId="2BD54235" w14:textId="66496CB9" w:rsidR="00F14E91" w:rsidRPr="00FA4396" w:rsidRDefault="00F14E91" w:rsidP="00015249">
      <w:pPr>
        <w:pStyle w:val="af"/>
        <w:numPr>
          <w:ilvl w:val="0"/>
          <w:numId w:val="34"/>
        </w:numPr>
        <w:ind w:left="0" w:firstLine="709"/>
        <w:jc w:val="both"/>
        <w:rPr>
          <w:rFonts w:ascii="Times New Roman" w:hAnsi="Times New Roman" w:cs="Times New Roman"/>
          <w:sz w:val="28"/>
          <w:szCs w:val="28"/>
          <w:lang w:val="en-US"/>
        </w:rPr>
      </w:pPr>
      <w:r w:rsidRPr="0049357A">
        <w:rPr>
          <w:rFonts w:ascii="Times New Roman" w:hAnsi="Times New Roman" w:cs="Times New Roman"/>
          <w:color w:val="000000" w:themeColor="text1"/>
          <w:sz w:val="28"/>
          <w:szCs w:val="28"/>
          <w:lang w:val="en-US"/>
        </w:rPr>
        <w:t xml:space="preserve">Martins van Jaarsveld, G., Wong, J., </w:t>
      </w:r>
      <w:proofErr w:type="spellStart"/>
      <w:r w:rsidRPr="0049357A">
        <w:rPr>
          <w:rFonts w:ascii="Times New Roman" w:hAnsi="Times New Roman" w:cs="Times New Roman"/>
          <w:color w:val="000000" w:themeColor="text1"/>
          <w:sz w:val="28"/>
          <w:szCs w:val="28"/>
          <w:lang w:val="en-US"/>
        </w:rPr>
        <w:t>Baars</w:t>
      </w:r>
      <w:proofErr w:type="spellEnd"/>
      <w:r w:rsidRPr="0049357A">
        <w:rPr>
          <w:rFonts w:ascii="Times New Roman" w:hAnsi="Times New Roman" w:cs="Times New Roman"/>
          <w:color w:val="000000" w:themeColor="text1"/>
          <w:sz w:val="28"/>
          <w:szCs w:val="28"/>
          <w:lang w:val="en-US"/>
        </w:rPr>
        <w:t xml:space="preserve">, M., Specht, M., &amp; </w:t>
      </w:r>
      <w:proofErr w:type="spellStart"/>
      <w:r w:rsidRPr="0049357A">
        <w:rPr>
          <w:rFonts w:ascii="Times New Roman" w:hAnsi="Times New Roman" w:cs="Times New Roman"/>
          <w:color w:val="000000" w:themeColor="text1"/>
          <w:sz w:val="28"/>
          <w:szCs w:val="28"/>
          <w:lang w:val="en-US"/>
        </w:rPr>
        <w:t>Paas</w:t>
      </w:r>
      <w:proofErr w:type="spellEnd"/>
      <w:r w:rsidRPr="0049357A">
        <w:rPr>
          <w:rFonts w:ascii="Times New Roman" w:hAnsi="Times New Roman" w:cs="Times New Roman"/>
          <w:color w:val="000000" w:themeColor="text1"/>
          <w:sz w:val="28"/>
          <w:szCs w:val="28"/>
          <w:lang w:val="en-US"/>
        </w:rPr>
        <w:t xml:space="preserve">, F. (2025). Goal setting in higher education: How, why, and when are students prompted to set goals? A systematic review. Frontiers in Education, 9, 1511605. </w:t>
      </w:r>
      <w:r w:rsidR="00FA4396">
        <w:rPr>
          <w:rFonts w:ascii="Times New Roman" w:hAnsi="Times New Roman" w:cs="Times New Roman"/>
          <w:color w:val="000000" w:themeColor="text1"/>
          <w:sz w:val="28"/>
          <w:szCs w:val="28"/>
          <w:lang w:val="en-US"/>
        </w:rPr>
        <w:t xml:space="preserve">Accessed: </w:t>
      </w:r>
      <w:hyperlink r:id="rId227" w:history="1">
        <w:r w:rsidR="00FA4396" w:rsidRPr="00FA4396">
          <w:rPr>
            <w:rStyle w:val="a7"/>
            <w:rFonts w:ascii="Times New Roman" w:hAnsi="Times New Roman" w:cs="Times New Roman"/>
            <w:color w:val="auto"/>
            <w:sz w:val="28"/>
            <w:szCs w:val="28"/>
            <w:u w:val="none"/>
            <w:lang w:val="en-US"/>
          </w:rPr>
          <w:t>https://doi.org/10.3389/feduc.2024.1511605</w:t>
        </w:r>
      </w:hyperlink>
    </w:p>
    <w:p w14:paraId="2F59BA4E" w14:textId="2023B949" w:rsidR="00F14E91" w:rsidRPr="00FA4396" w:rsidRDefault="00F14E91" w:rsidP="00015249">
      <w:pPr>
        <w:pStyle w:val="af"/>
        <w:numPr>
          <w:ilvl w:val="0"/>
          <w:numId w:val="34"/>
        </w:numPr>
        <w:ind w:left="0" w:firstLine="709"/>
        <w:jc w:val="both"/>
        <w:rPr>
          <w:rFonts w:ascii="Times New Roman" w:hAnsi="Times New Roman" w:cs="Times New Roman"/>
          <w:sz w:val="28"/>
          <w:szCs w:val="28"/>
          <w:lang w:val="en-US"/>
        </w:rPr>
      </w:pPr>
      <w:r w:rsidRPr="00FA4396">
        <w:rPr>
          <w:rFonts w:ascii="Times New Roman" w:hAnsi="Times New Roman" w:cs="Times New Roman"/>
          <w:sz w:val="28"/>
          <w:szCs w:val="28"/>
          <w:lang w:val="en-US"/>
        </w:rPr>
        <w:t>Zimmerman, B. J. (2008). Investigating self-regulation and motivation: Historical background, methodological developments, and future prospects. American Educational Research Journal, 45(1),</w:t>
      </w:r>
      <w:r w:rsidR="00FA4396" w:rsidRPr="00FA4396">
        <w:rPr>
          <w:rFonts w:ascii="Times New Roman" w:hAnsi="Times New Roman" w:cs="Times New Roman"/>
          <w:sz w:val="28"/>
          <w:szCs w:val="28"/>
          <w:lang w:val="en-US"/>
        </w:rPr>
        <w:t xml:space="preserve"> pp. </w:t>
      </w:r>
      <w:r w:rsidRPr="00FA4396">
        <w:rPr>
          <w:rFonts w:ascii="Times New Roman" w:hAnsi="Times New Roman" w:cs="Times New Roman"/>
          <w:sz w:val="28"/>
          <w:szCs w:val="28"/>
          <w:lang w:val="en-US"/>
        </w:rPr>
        <w:t xml:space="preserve">166–183. </w:t>
      </w:r>
      <w:r w:rsidR="00FA4396" w:rsidRPr="00FA4396">
        <w:rPr>
          <w:rFonts w:ascii="Times New Roman" w:hAnsi="Times New Roman" w:cs="Times New Roman"/>
          <w:sz w:val="28"/>
          <w:szCs w:val="28"/>
          <w:lang w:val="en-US"/>
        </w:rPr>
        <w:t>Access</w:t>
      </w:r>
      <w:r w:rsidR="00FA4396">
        <w:rPr>
          <w:rFonts w:ascii="Times New Roman" w:hAnsi="Times New Roman" w:cs="Times New Roman"/>
          <w:sz w:val="28"/>
          <w:szCs w:val="28"/>
          <w:lang w:val="en-US"/>
        </w:rPr>
        <w:t>ed</w:t>
      </w:r>
      <w:r w:rsidR="00FA4396" w:rsidRPr="00FA4396">
        <w:rPr>
          <w:rFonts w:ascii="Times New Roman" w:hAnsi="Times New Roman" w:cs="Times New Roman"/>
          <w:sz w:val="28"/>
          <w:szCs w:val="28"/>
          <w:lang w:val="en-US"/>
        </w:rPr>
        <w:t xml:space="preserve">: </w:t>
      </w:r>
      <w:hyperlink r:id="rId228" w:history="1">
        <w:r w:rsidR="00FA4396" w:rsidRPr="00FA4396">
          <w:rPr>
            <w:rStyle w:val="a7"/>
            <w:rFonts w:ascii="Times New Roman" w:hAnsi="Times New Roman" w:cs="Times New Roman"/>
            <w:color w:val="auto"/>
            <w:sz w:val="28"/>
            <w:szCs w:val="28"/>
            <w:u w:val="none"/>
            <w:lang w:val="en-US"/>
          </w:rPr>
          <w:t>https://doi.org/10.3102/0002831207312909</w:t>
        </w:r>
      </w:hyperlink>
      <w:r w:rsidR="00FA4396">
        <w:rPr>
          <w:rFonts w:ascii="Times New Roman" w:hAnsi="Times New Roman" w:cs="Times New Roman"/>
          <w:sz w:val="28"/>
          <w:szCs w:val="28"/>
          <w:lang w:val="en-US"/>
        </w:rPr>
        <w:t xml:space="preserve"> </w:t>
      </w:r>
    </w:p>
    <w:p w14:paraId="204D0E04"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Gazi, Md. A. I., Rahman, Md. K. H., Yusof, M. F., </w:t>
      </w:r>
      <w:proofErr w:type="spellStart"/>
      <w:r w:rsidRPr="0049357A">
        <w:rPr>
          <w:rFonts w:ascii="Times New Roman" w:hAnsi="Times New Roman" w:cs="Times New Roman"/>
          <w:color w:val="000000" w:themeColor="text1"/>
          <w:sz w:val="28"/>
          <w:szCs w:val="28"/>
          <w:lang w:val="en-US"/>
        </w:rPr>
        <w:t>Masud</w:t>
      </w:r>
      <w:proofErr w:type="spellEnd"/>
      <w:r w:rsidRPr="0049357A">
        <w:rPr>
          <w:rFonts w:ascii="Times New Roman" w:hAnsi="Times New Roman" w:cs="Times New Roman"/>
          <w:color w:val="000000" w:themeColor="text1"/>
          <w:sz w:val="28"/>
          <w:szCs w:val="28"/>
          <w:lang w:val="en-US"/>
        </w:rPr>
        <w:t xml:space="preserve">, A. A., Islam, Md. A., </w:t>
      </w:r>
      <w:proofErr w:type="spellStart"/>
      <w:r w:rsidRPr="0049357A">
        <w:rPr>
          <w:rFonts w:ascii="Times New Roman" w:hAnsi="Times New Roman" w:cs="Times New Roman"/>
          <w:color w:val="000000" w:themeColor="text1"/>
          <w:sz w:val="28"/>
          <w:szCs w:val="28"/>
          <w:lang w:val="en-US"/>
        </w:rPr>
        <w:t>Senathirajah</w:t>
      </w:r>
      <w:proofErr w:type="spellEnd"/>
      <w:r w:rsidRPr="0049357A">
        <w:rPr>
          <w:rFonts w:ascii="Times New Roman" w:hAnsi="Times New Roman" w:cs="Times New Roman"/>
          <w:color w:val="000000" w:themeColor="text1"/>
          <w:sz w:val="28"/>
          <w:szCs w:val="28"/>
          <w:lang w:val="en-US"/>
        </w:rPr>
        <w:t xml:space="preserve">, A. R. bin S., &amp; Hossain, Md. A. (2024). Mediating role of entrepreneurial intention on the relationship between entrepreneurship education and employability: a study on university students from a developing country. Cogent Business &amp; Management, 11(1). </w:t>
      </w:r>
      <w:hyperlink r:id="rId229" w:history="1">
        <w:r w:rsidRPr="0049357A">
          <w:rPr>
            <w:rFonts w:ascii="Times New Roman" w:hAnsi="Times New Roman" w:cs="Times New Roman"/>
            <w:color w:val="000000" w:themeColor="text1"/>
            <w:sz w:val="28"/>
            <w:szCs w:val="28"/>
            <w:lang w:val="en-US"/>
          </w:rPr>
          <w:t>https://doi.org/10.1080/23311975.2023.2294514</w:t>
        </w:r>
      </w:hyperlink>
    </w:p>
    <w:p w14:paraId="1CC3B7DF"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Gielnik</w:t>
      </w:r>
      <w:proofErr w:type="spellEnd"/>
      <w:r w:rsidRPr="0049357A">
        <w:rPr>
          <w:rFonts w:ascii="Times New Roman" w:hAnsi="Times New Roman" w:cs="Times New Roman"/>
          <w:color w:val="000000" w:themeColor="text1"/>
          <w:sz w:val="28"/>
          <w:szCs w:val="28"/>
          <w:lang w:val="en-US"/>
        </w:rPr>
        <w:t xml:space="preserve"> F.M., Michael M. The Psychology of Entrepreneurship // Annual Review of Organizational Psychology and Organizational Behavior. – 2014. – Vol.1. – P.413-438. </w:t>
      </w:r>
    </w:p>
    <w:p w14:paraId="1B71BA29"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Karim M. S. Entrepreneurial intention and entrepreneurial </w:t>
      </w:r>
      <w:proofErr w:type="spellStart"/>
      <w:proofErr w:type="gramStart"/>
      <w:r w:rsidRPr="0049357A">
        <w:rPr>
          <w:rFonts w:ascii="Times New Roman" w:hAnsi="Times New Roman" w:cs="Times New Roman"/>
          <w:color w:val="000000" w:themeColor="text1"/>
          <w:sz w:val="28"/>
          <w:szCs w:val="28"/>
          <w:lang w:val="en-US"/>
        </w:rPr>
        <w:t>behaviour</w:t>
      </w:r>
      <w:proofErr w:type="spellEnd"/>
      <w:r w:rsidRPr="0049357A">
        <w:rPr>
          <w:rFonts w:ascii="Times New Roman" w:hAnsi="Times New Roman" w:cs="Times New Roman"/>
          <w:color w:val="000000" w:themeColor="text1"/>
          <w:sz w:val="28"/>
          <w:szCs w:val="28"/>
          <w:lang w:val="en-US"/>
        </w:rPr>
        <w:t xml:space="preserve"> :</w:t>
      </w:r>
      <w:proofErr w:type="gramEnd"/>
      <w:r w:rsidRPr="0049357A">
        <w:rPr>
          <w:rFonts w:ascii="Times New Roman" w:hAnsi="Times New Roman" w:cs="Times New Roman"/>
          <w:color w:val="000000" w:themeColor="text1"/>
          <w:sz w:val="28"/>
          <w:szCs w:val="28"/>
          <w:lang w:val="en-US"/>
        </w:rPr>
        <w:t xml:space="preserve"> a social psychological perspective….doctor of philosophy dissertation: 06.10. 2014. Aston University. – </w:t>
      </w:r>
      <w:proofErr w:type="spellStart"/>
      <w:r w:rsidRPr="0049357A">
        <w:rPr>
          <w:rFonts w:ascii="Times New Roman" w:hAnsi="Times New Roman" w:cs="Times New Roman"/>
          <w:color w:val="000000" w:themeColor="text1"/>
          <w:sz w:val="28"/>
          <w:szCs w:val="28"/>
          <w:lang w:val="en-US"/>
        </w:rPr>
        <w:t>Birgmingham</w:t>
      </w:r>
      <w:proofErr w:type="spellEnd"/>
      <w:r w:rsidRPr="0049357A">
        <w:rPr>
          <w:rFonts w:ascii="Times New Roman" w:hAnsi="Times New Roman" w:cs="Times New Roman"/>
          <w:color w:val="000000" w:themeColor="text1"/>
          <w:sz w:val="28"/>
          <w:szCs w:val="28"/>
          <w:lang w:val="en-US"/>
        </w:rPr>
        <w:t>, 2013. –218 р.</w:t>
      </w:r>
    </w:p>
    <w:p w14:paraId="74FF69B1"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gramStart"/>
      <w:r w:rsidRPr="0049357A">
        <w:rPr>
          <w:rFonts w:ascii="Times New Roman" w:hAnsi="Times New Roman" w:cs="Times New Roman"/>
          <w:color w:val="000000" w:themeColor="text1"/>
          <w:sz w:val="28"/>
          <w:szCs w:val="28"/>
          <w:lang w:val="en-US"/>
        </w:rPr>
        <w:t>Cox  K.C.</w:t>
      </w:r>
      <w:proofErr w:type="gram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Lortie</w:t>
      </w:r>
      <w:proofErr w:type="spellEnd"/>
      <w:r w:rsidRPr="0049357A">
        <w:rPr>
          <w:rFonts w:ascii="Times New Roman" w:hAnsi="Times New Roman" w:cs="Times New Roman"/>
          <w:color w:val="000000" w:themeColor="text1"/>
          <w:sz w:val="28"/>
          <w:szCs w:val="28"/>
          <w:lang w:val="en-US"/>
        </w:rPr>
        <w:t xml:space="preserve"> J., </w:t>
      </w:r>
      <w:proofErr w:type="spellStart"/>
      <w:r w:rsidRPr="0049357A">
        <w:rPr>
          <w:rFonts w:ascii="Times New Roman" w:hAnsi="Times New Roman" w:cs="Times New Roman"/>
          <w:color w:val="000000" w:themeColor="text1"/>
          <w:sz w:val="28"/>
          <w:szCs w:val="28"/>
          <w:lang w:val="en-US"/>
        </w:rPr>
        <w:t>Castrogiovanni</w:t>
      </w:r>
      <w:proofErr w:type="spellEnd"/>
      <w:r w:rsidRPr="0049357A">
        <w:rPr>
          <w:rFonts w:ascii="Times New Roman" w:hAnsi="Times New Roman" w:cs="Times New Roman"/>
          <w:color w:val="000000" w:themeColor="text1"/>
          <w:sz w:val="28"/>
          <w:szCs w:val="28"/>
          <w:lang w:val="en-US"/>
        </w:rPr>
        <w:t xml:space="preserve"> G. An Integrated Model of Intentional Entrepreneurial Action // Inside the Mind of the Entrepreneur. Contributions to Management Science. – Cham: Springer. - 2018. – P.3-15.</w:t>
      </w:r>
    </w:p>
    <w:p w14:paraId="0586B15A"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Soran</w:t>
      </w:r>
      <w:proofErr w:type="spellEnd"/>
      <w:r w:rsidRPr="0049357A">
        <w:rPr>
          <w:rFonts w:ascii="Times New Roman" w:hAnsi="Times New Roman" w:cs="Times New Roman"/>
          <w:color w:val="000000" w:themeColor="text1"/>
          <w:sz w:val="28"/>
          <w:szCs w:val="28"/>
          <w:lang w:val="en-US"/>
        </w:rPr>
        <w:t xml:space="preserve"> S., </w:t>
      </w:r>
      <w:proofErr w:type="spellStart"/>
      <w:r w:rsidRPr="0049357A">
        <w:rPr>
          <w:rFonts w:ascii="Times New Roman" w:hAnsi="Times New Roman" w:cs="Times New Roman"/>
          <w:color w:val="000000" w:themeColor="text1"/>
          <w:sz w:val="28"/>
          <w:szCs w:val="28"/>
          <w:lang w:val="en-US"/>
        </w:rPr>
        <w:t>Şeşen</w:t>
      </w:r>
      <w:proofErr w:type="spellEnd"/>
      <w:r w:rsidRPr="0049357A">
        <w:rPr>
          <w:rFonts w:ascii="Times New Roman" w:hAnsi="Times New Roman" w:cs="Times New Roman"/>
          <w:color w:val="000000" w:themeColor="text1"/>
          <w:sz w:val="28"/>
          <w:szCs w:val="28"/>
          <w:lang w:val="en-US"/>
        </w:rPr>
        <w:t xml:space="preserve"> H., </w:t>
      </w:r>
      <w:proofErr w:type="spellStart"/>
      <w:r w:rsidRPr="0049357A">
        <w:rPr>
          <w:rFonts w:ascii="Times New Roman" w:hAnsi="Times New Roman" w:cs="Times New Roman"/>
          <w:color w:val="000000" w:themeColor="text1"/>
          <w:sz w:val="28"/>
          <w:szCs w:val="28"/>
          <w:lang w:val="en-US"/>
        </w:rPr>
        <w:t>Gökalp</w:t>
      </w:r>
      <w:proofErr w:type="spellEnd"/>
      <w:r w:rsidRPr="0049357A">
        <w:rPr>
          <w:rFonts w:ascii="Times New Roman" w:hAnsi="Times New Roman" w:cs="Times New Roman"/>
          <w:color w:val="000000" w:themeColor="text1"/>
          <w:sz w:val="28"/>
          <w:szCs w:val="28"/>
          <w:lang w:val="en-US"/>
        </w:rPr>
        <w:t xml:space="preserve"> P.H. Determinants of The Entrepreneurial Intentions: Testing the Ajzen’s Model in Turkish Sample // New Challenges in Leadership and Technology Management: European Proceedings of Social and </w:t>
      </w:r>
      <w:proofErr w:type="spellStart"/>
      <w:r w:rsidRPr="0049357A">
        <w:rPr>
          <w:rFonts w:ascii="Times New Roman" w:hAnsi="Times New Roman" w:cs="Times New Roman"/>
          <w:color w:val="000000" w:themeColor="text1"/>
          <w:sz w:val="28"/>
          <w:szCs w:val="28"/>
          <w:lang w:val="en-US"/>
        </w:rPr>
        <w:t>Behavioural</w:t>
      </w:r>
      <w:proofErr w:type="spellEnd"/>
      <w:r w:rsidRPr="0049357A">
        <w:rPr>
          <w:rFonts w:ascii="Times New Roman" w:hAnsi="Times New Roman" w:cs="Times New Roman"/>
          <w:color w:val="000000" w:themeColor="text1"/>
          <w:sz w:val="28"/>
          <w:szCs w:val="28"/>
          <w:lang w:val="en-US"/>
        </w:rPr>
        <w:t xml:space="preserve"> Sciences. – 2019. – P.195-203.</w:t>
      </w:r>
    </w:p>
    <w:p w14:paraId="1B4E7B86"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Heydari</w:t>
      </w:r>
      <w:proofErr w:type="spellEnd"/>
      <w:r w:rsidRPr="0049357A">
        <w:rPr>
          <w:rFonts w:ascii="Times New Roman" w:hAnsi="Times New Roman" w:cs="Times New Roman"/>
          <w:color w:val="000000" w:themeColor="text1"/>
          <w:sz w:val="28"/>
          <w:szCs w:val="28"/>
          <w:lang w:val="en-US"/>
        </w:rPr>
        <w:t xml:space="preserve"> M., </w:t>
      </w:r>
      <w:proofErr w:type="spellStart"/>
      <w:r w:rsidRPr="0049357A">
        <w:rPr>
          <w:rFonts w:ascii="Times New Roman" w:hAnsi="Times New Roman" w:cs="Times New Roman"/>
          <w:color w:val="000000" w:themeColor="text1"/>
          <w:sz w:val="28"/>
          <w:szCs w:val="28"/>
          <w:lang w:val="en-US"/>
        </w:rPr>
        <w:t>Xiaohu</w:t>
      </w:r>
      <w:proofErr w:type="spellEnd"/>
      <w:r w:rsidRPr="0049357A">
        <w:rPr>
          <w:rFonts w:ascii="Times New Roman" w:hAnsi="Times New Roman" w:cs="Times New Roman"/>
          <w:color w:val="000000" w:themeColor="text1"/>
          <w:sz w:val="28"/>
          <w:szCs w:val="28"/>
          <w:lang w:val="en-US"/>
        </w:rPr>
        <w:t xml:space="preserve"> Z., Kin Keung L., Shang Y. Entrepreneurial Intentions and </w:t>
      </w:r>
      <w:proofErr w:type="spellStart"/>
      <w:r w:rsidRPr="0049357A">
        <w:rPr>
          <w:rFonts w:ascii="Times New Roman" w:hAnsi="Times New Roman" w:cs="Times New Roman"/>
          <w:color w:val="000000" w:themeColor="text1"/>
          <w:sz w:val="28"/>
          <w:szCs w:val="28"/>
          <w:lang w:val="en-US"/>
        </w:rPr>
        <w:t>Behaviour</w:t>
      </w:r>
      <w:proofErr w:type="spellEnd"/>
      <w:r w:rsidRPr="0049357A">
        <w:rPr>
          <w:rFonts w:ascii="Times New Roman" w:hAnsi="Times New Roman" w:cs="Times New Roman"/>
          <w:color w:val="000000" w:themeColor="text1"/>
          <w:sz w:val="28"/>
          <w:szCs w:val="28"/>
          <w:lang w:val="en-US"/>
        </w:rPr>
        <w:t xml:space="preserve"> as the Creation of Business: Based on the Theory of Planned </w:t>
      </w:r>
      <w:proofErr w:type="spellStart"/>
      <w:r w:rsidRPr="0049357A">
        <w:rPr>
          <w:rFonts w:ascii="Times New Roman" w:hAnsi="Times New Roman" w:cs="Times New Roman"/>
          <w:color w:val="000000" w:themeColor="text1"/>
          <w:sz w:val="28"/>
          <w:szCs w:val="28"/>
          <w:lang w:val="en-US"/>
        </w:rPr>
        <w:t>Behaviour</w:t>
      </w:r>
      <w:proofErr w:type="spellEnd"/>
      <w:r w:rsidRPr="0049357A">
        <w:rPr>
          <w:rFonts w:ascii="Times New Roman" w:hAnsi="Times New Roman" w:cs="Times New Roman"/>
          <w:color w:val="000000" w:themeColor="text1"/>
          <w:sz w:val="28"/>
          <w:szCs w:val="28"/>
          <w:lang w:val="en-US"/>
        </w:rPr>
        <w:t xml:space="preserve"> Extension Evidence from Polish Universities and Entrepreneurs // </w:t>
      </w:r>
      <w:proofErr w:type="spellStart"/>
      <w:r w:rsidRPr="0049357A">
        <w:rPr>
          <w:rFonts w:ascii="Times New Roman" w:hAnsi="Times New Roman" w:cs="Times New Roman"/>
          <w:color w:val="000000" w:themeColor="text1"/>
          <w:sz w:val="28"/>
          <w:szCs w:val="28"/>
          <w:lang w:val="en-US"/>
        </w:rPr>
        <w:t>Propósitos</w:t>
      </w:r>
      <w:proofErr w:type="spellEnd"/>
      <w:r w:rsidRPr="0049357A">
        <w:rPr>
          <w:rFonts w:ascii="Times New Roman" w:hAnsi="Times New Roman" w:cs="Times New Roman"/>
          <w:color w:val="000000" w:themeColor="text1"/>
          <w:sz w:val="28"/>
          <w:szCs w:val="28"/>
          <w:lang w:val="en-US"/>
        </w:rPr>
        <w:t xml:space="preserve"> Y </w:t>
      </w:r>
      <w:proofErr w:type="spellStart"/>
      <w:r w:rsidRPr="0049357A">
        <w:rPr>
          <w:rFonts w:ascii="Times New Roman" w:hAnsi="Times New Roman" w:cs="Times New Roman"/>
          <w:color w:val="000000" w:themeColor="text1"/>
          <w:sz w:val="28"/>
          <w:szCs w:val="28"/>
          <w:lang w:val="en-US"/>
        </w:rPr>
        <w:t>epresentaciones</w:t>
      </w:r>
      <w:proofErr w:type="spellEnd"/>
      <w:r w:rsidRPr="0049357A">
        <w:rPr>
          <w:rFonts w:ascii="Times New Roman" w:hAnsi="Times New Roman" w:cs="Times New Roman"/>
          <w:color w:val="000000" w:themeColor="text1"/>
          <w:sz w:val="28"/>
          <w:szCs w:val="28"/>
          <w:lang w:val="en-US"/>
        </w:rPr>
        <w:t>. – 2020. – Vol. 8. – P. (SPE2), e674.</w:t>
      </w:r>
    </w:p>
    <w:p w14:paraId="2CE59581"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Yin Y., Yang L., Liu B. Analysis on Entrepreneurship Psychology of Preschool Education Students with Entrepreneurial Intention // Frontiers in Psychology. – 2020. – Vol.11. – P.1-9. </w:t>
      </w:r>
    </w:p>
    <w:p w14:paraId="7EA536D3"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van </w:t>
      </w:r>
      <w:proofErr w:type="spellStart"/>
      <w:r w:rsidRPr="0049357A">
        <w:rPr>
          <w:rFonts w:ascii="Times New Roman" w:hAnsi="Times New Roman" w:cs="Times New Roman"/>
          <w:color w:val="000000" w:themeColor="text1"/>
          <w:sz w:val="28"/>
          <w:szCs w:val="28"/>
          <w:lang w:val="en-US"/>
        </w:rPr>
        <w:t>Raaij</w:t>
      </w:r>
      <w:proofErr w:type="spellEnd"/>
      <w:r w:rsidRPr="0049357A">
        <w:rPr>
          <w:rFonts w:ascii="Times New Roman" w:hAnsi="Times New Roman" w:cs="Times New Roman"/>
          <w:color w:val="000000" w:themeColor="text1"/>
          <w:sz w:val="28"/>
          <w:szCs w:val="28"/>
          <w:lang w:val="en-US"/>
        </w:rPr>
        <w:t xml:space="preserve"> W.F. Economic Psychology Between Psychology and Economics: An Introduction // Applied Psychology. – 1999. – Vol.48. – P.263-272. </w:t>
      </w:r>
    </w:p>
    <w:p w14:paraId="23352900"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Wärneryd</w:t>
      </w:r>
      <w:proofErr w:type="spellEnd"/>
      <w:r w:rsidRPr="0049357A">
        <w:rPr>
          <w:rFonts w:ascii="Times New Roman" w:hAnsi="Times New Roman" w:cs="Times New Roman"/>
          <w:color w:val="000000" w:themeColor="text1"/>
          <w:sz w:val="28"/>
          <w:szCs w:val="28"/>
          <w:lang w:val="en-US"/>
        </w:rPr>
        <w:t xml:space="preserve"> K-E. Economics and psychology: Economic psychology according to James Mill and John Stuart Mill // Journal of Economic Psychology. – 2008. – Vol.29, № 6. – P.777-791.</w:t>
      </w:r>
    </w:p>
    <w:p w14:paraId="4972B1A7"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Yucong</w:t>
      </w:r>
      <w:proofErr w:type="spellEnd"/>
      <w:r w:rsidRPr="0049357A">
        <w:rPr>
          <w:rFonts w:ascii="Times New Roman" w:hAnsi="Times New Roman" w:cs="Times New Roman"/>
          <w:color w:val="000000" w:themeColor="text1"/>
          <w:sz w:val="28"/>
          <w:szCs w:val="28"/>
          <w:lang w:val="en-US"/>
        </w:rPr>
        <w:t xml:space="preserve"> Y. New orientation of study on economic psychology and </w:t>
      </w:r>
      <w:proofErr w:type="spellStart"/>
      <w:r w:rsidRPr="0049357A">
        <w:rPr>
          <w:rFonts w:ascii="Times New Roman" w:hAnsi="Times New Roman" w:cs="Times New Roman"/>
          <w:color w:val="000000" w:themeColor="text1"/>
          <w:sz w:val="28"/>
          <w:szCs w:val="28"/>
          <w:lang w:val="en-US"/>
        </w:rPr>
        <w:t>behaviour</w:t>
      </w:r>
      <w:proofErr w:type="spellEnd"/>
      <w:r w:rsidRPr="0049357A">
        <w:rPr>
          <w:rFonts w:ascii="Times New Roman" w:hAnsi="Times New Roman" w:cs="Times New Roman"/>
          <w:color w:val="000000" w:themeColor="text1"/>
          <w:sz w:val="28"/>
          <w:szCs w:val="28"/>
          <w:lang w:val="en-US"/>
        </w:rPr>
        <w:t xml:space="preserve"> // Translational Neuroscience. – 2019. – Vol.10, №1. – P.87-92.</w:t>
      </w:r>
    </w:p>
    <w:p w14:paraId="5016268A"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lastRenderedPageBreak/>
        <w:t>Pulfrey</w:t>
      </w:r>
      <w:proofErr w:type="spellEnd"/>
      <w:r w:rsidRPr="0049357A">
        <w:rPr>
          <w:rFonts w:ascii="Times New Roman" w:hAnsi="Times New Roman" w:cs="Times New Roman"/>
          <w:color w:val="000000" w:themeColor="text1"/>
          <w:sz w:val="28"/>
          <w:szCs w:val="28"/>
          <w:lang w:val="en-US"/>
        </w:rPr>
        <w:t xml:space="preserve"> C., </w:t>
      </w:r>
      <w:proofErr w:type="spellStart"/>
      <w:r w:rsidRPr="0049357A">
        <w:rPr>
          <w:rFonts w:ascii="Times New Roman" w:hAnsi="Times New Roman" w:cs="Times New Roman"/>
          <w:color w:val="000000" w:themeColor="text1"/>
          <w:sz w:val="28"/>
          <w:szCs w:val="28"/>
          <w:lang w:val="en-US"/>
        </w:rPr>
        <w:t>Darnon</w:t>
      </w:r>
      <w:proofErr w:type="spellEnd"/>
      <w:r w:rsidRPr="0049357A">
        <w:rPr>
          <w:rFonts w:ascii="Times New Roman" w:hAnsi="Times New Roman" w:cs="Times New Roman"/>
          <w:color w:val="000000" w:themeColor="text1"/>
          <w:sz w:val="28"/>
          <w:szCs w:val="28"/>
          <w:lang w:val="en-US"/>
        </w:rPr>
        <w:t xml:space="preserve"> C., Butera F. Autonomy and task performance: Explaining the impact of grades on intrinsic motivation // </w:t>
      </w:r>
      <w:r w:rsidRPr="00B4623F">
        <w:rPr>
          <w:rFonts w:ascii="Times New Roman" w:hAnsi="Times New Roman" w:cs="Times New Roman"/>
          <w:sz w:val="28"/>
          <w:szCs w:val="28"/>
          <w:lang w:val="en-US"/>
        </w:rPr>
        <w:t>Journal of Educational Psychology. – 2013. – Vol.105, №</w:t>
      </w:r>
      <w:r w:rsidRPr="0049357A">
        <w:rPr>
          <w:rFonts w:ascii="Times New Roman" w:hAnsi="Times New Roman" w:cs="Times New Roman"/>
          <w:color w:val="000000" w:themeColor="text1"/>
          <w:sz w:val="28"/>
          <w:szCs w:val="28"/>
          <w:lang w:val="en-US"/>
        </w:rPr>
        <w:t xml:space="preserve">1. – P.39–57. </w:t>
      </w:r>
    </w:p>
    <w:p w14:paraId="7CD151EC"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Yıldırım</w:t>
      </w:r>
      <w:proofErr w:type="spellEnd"/>
      <w:r w:rsidRPr="0049357A">
        <w:rPr>
          <w:rFonts w:ascii="Times New Roman" w:hAnsi="Times New Roman" w:cs="Times New Roman"/>
          <w:color w:val="000000" w:themeColor="text1"/>
          <w:sz w:val="28"/>
          <w:szCs w:val="28"/>
          <w:lang w:val="en-US"/>
        </w:rPr>
        <w:t xml:space="preserve"> N., </w:t>
      </w:r>
      <w:proofErr w:type="spellStart"/>
      <w:r w:rsidRPr="0049357A">
        <w:rPr>
          <w:rFonts w:ascii="Times New Roman" w:hAnsi="Times New Roman" w:cs="Times New Roman"/>
          <w:color w:val="000000" w:themeColor="text1"/>
          <w:sz w:val="28"/>
          <w:szCs w:val="28"/>
          <w:lang w:val="en-US"/>
        </w:rPr>
        <w:t>Çakır</w:t>
      </w:r>
      <w:proofErr w:type="spellEnd"/>
      <w:r w:rsidRPr="0049357A">
        <w:rPr>
          <w:rFonts w:ascii="Times New Roman" w:hAnsi="Times New Roman" w:cs="Times New Roman"/>
          <w:color w:val="000000" w:themeColor="text1"/>
          <w:sz w:val="28"/>
          <w:szCs w:val="28"/>
          <w:lang w:val="en-US"/>
        </w:rPr>
        <w:t xml:space="preserve"> Ö., </w:t>
      </w:r>
      <w:proofErr w:type="spellStart"/>
      <w:r w:rsidRPr="0049357A">
        <w:rPr>
          <w:rFonts w:ascii="Times New Roman" w:hAnsi="Times New Roman" w:cs="Times New Roman"/>
          <w:color w:val="000000" w:themeColor="text1"/>
          <w:sz w:val="28"/>
          <w:szCs w:val="28"/>
          <w:lang w:val="en-US"/>
        </w:rPr>
        <w:t>Aşkun</w:t>
      </w:r>
      <w:proofErr w:type="spellEnd"/>
      <w:r w:rsidRPr="0049357A">
        <w:rPr>
          <w:rFonts w:ascii="Times New Roman" w:hAnsi="Times New Roman" w:cs="Times New Roman"/>
          <w:color w:val="000000" w:themeColor="text1"/>
          <w:sz w:val="28"/>
          <w:szCs w:val="28"/>
          <w:lang w:val="en-US"/>
        </w:rPr>
        <w:t xml:space="preserve"> O.B. Ready to Dare? A Case Study on the Entrepreneurial Intentions of Business and Engineering Students in Turkey // Procedia - Social and Behavioral Sciences. – 2016. – Vol.229. – P.277-288.</w:t>
      </w:r>
    </w:p>
    <w:p w14:paraId="0540CA1E"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Yokoyama K., </w:t>
      </w:r>
      <w:proofErr w:type="spellStart"/>
      <w:r w:rsidRPr="0049357A">
        <w:rPr>
          <w:rFonts w:ascii="Times New Roman" w:hAnsi="Times New Roman" w:cs="Times New Roman"/>
          <w:color w:val="000000" w:themeColor="text1"/>
          <w:sz w:val="28"/>
          <w:szCs w:val="28"/>
          <w:lang w:val="en-US"/>
        </w:rPr>
        <w:t>Birchley</w:t>
      </w:r>
      <w:proofErr w:type="spellEnd"/>
      <w:r w:rsidRPr="0049357A">
        <w:rPr>
          <w:rFonts w:ascii="Times New Roman" w:hAnsi="Times New Roman" w:cs="Times New Roman"/>
          <w:color w:val="000000" w:themeColor="text1"/>
          <w:sz w:val="28"/>
          <w:szCs w:val="28"/>
          <w:lang w:val="en-US"/>
        </w:rPr>
        <w:t xml:space="preserve"> S. Perspectives on Transnational Entrepreneurship. In: Transnational Entrepreneurship in South East Asia. Emerging-Economy State and International Policy Studies. -Singapore: Springer. - 2020. - 219 р.</w:t>
      </w:r>
    </w:p>
    <w:p w14:paraId="21968C49" w14:textId="77777777" w:rsidR="00F14E91" w:rsidRPr="0049357A" w:rsidRDefault="002C6007" w:rsidP="00015249">
      <w:pPr>
        <w:pStyle w:val="af"/>
        <w:numPr>
          <w:ilvl w:val="0"/>
          <w:numId w:val="34"/>
        </w:numPr>
        <w:ind w:left="0" w:firstLine="709"/>
        <w:jc w:val="both"/>
        <w:rPr>
          <w:rFonts w:ascii="Times New Roman" w:hAnsi="Times New Roman" w:cs="Times New Roman"/>
          <w:color w:val="000000" w:themeColor="text1"/>
          <w:sz w:val="28"/>
          <w:szCs w:val="28"/>
          <w:lang w:val="en-US"/>
        </w:rPr>
      </w:pPr>
      <w:hyperlink r:id="rId230" w:tooltip="Muhammad Murad" w:history="1">
        <w:r w:rsidR="00F14E91" w:rsidRPr="00B4623F">
          <w:rPr>
            <w:rFonts w:ascii="Times New Roman" w:hAnsi="Times New Roman" w:cs="Times New Roman"/>
            <w:sz w:val="28"/>
            <w:szCs w:val="28"/>
            <w:lang w:val="en-US"/>
          </w:rPr>
          <w:t>Murad M.</w:t>
        </w:r>
      </w:hyperlink>
      <w:r w:rsidR="00F14E91" w:rsidRPr="0049357A">
        <w:rPr>
          <w:rFonts w:ascii="Times New Roman" w:hAnsi="Times New Roman" w:cs="Times New Roman"/>
          <w:color w:val="000000" w:themeColor="text1"/>
          <w:sz w:val="28"/>
          <w:szCs w:val="28"/>
          <w:lang w:val="en-US"/>
        </w:rPr>
        <w:t>, </w:t>
      </w:r>
      <w:hyperlink r:id="rId231" w:tooltip="Shahrina Binti Othman" w:history="1">
        <w:r w:rsidR="00F14E91" w:rsidRPr="00B4623F">
          <w:rPr>
            <w:rFonts w:ascii="Times New Roman" w:hAnsi="Times New Roman" w:cs="Times New Roman"/>
            <w:sz w:val="28"/>
            <w:szCs w:val="28"/>
            <w:lang w:val="en-US"/>
          </w:rPr>
          <w:t>Othman S.B.</w:t>
        </w:r>
      </w:hyperlink>
      <w:r w:rsidR="00F14E91" w:rsidRPr="0049357A">
        <w:rPr>
          <w:rFonts w:ascii="Times New Roman" w:hAnsi="Times New Roman" w:cs="Times New Roman"/>
          <w:color w:val="000000" w:themeColor="text1"/>
          <w:sz w:val="28"/>
          <w:szCs w:val="28"/>
          <w:lang w:val="en-US"/>
        </w:rPr>
        <w:t xml:space="preserve">, </w:t>
      </w:r>
      <w:hyperlink r:id="rId232" w:tooltip="Muhamad Ali Imran Bin Kamarudin" w:history="1">
        <w:proofErr w:type="spellStart"/>
        <w:r w:rsidR="00F14E91" w:rsidRPr="00B4623F">
          <w:rPr>
            <w:rFonts w:ascii="Times New Roman" w:hAnsi="Times New Roman" w:cs="Times New Roman"/>
            <w:sz w:val="28"/>
            <w:szCs w:val="28"/>
            <w:lang w:val="en-US"/>
          </w:rPr>
          <w:t>Kamarudin</w:t>
        </w:r>
        <w:proofErr w:type="spellEnd"/>
        <w:r w:rsidR="00F14E91" w:rsidRPr="00B4623F">
          <w:rPr>
            <w:rFonts w:ascii="Times New Roman" w:hAnsi="Times New Roman" w:cs="Times New Roman"/>
            <w:sz w:val="28"/>
            <w:szCs w:val="28"/>
            <w:lang w:val="en-US"/>
          </w:rPr>
          <w:t xml:space="preserve"> M.A.I.B.</w:t>
        </w:r>
      </w:hyperlink>
      <w:r w:rsidR="00F14E91" w:rsidRPr="0049357A">
        <w:rPr>
          <w:rFonts w:ascii="Times New Roman" w:hAnsi="Times New Roman" w:cs="Times New Roman"/>
          <w:color w:val="000000" w:themeColor="text1"/>
          <w:sz w:val="28"/>
          <w:szCs w:val="28"/>
          <w:lang w:val="en-US"/>
        </w:rPr>
        <w:t> Entrepreneurial university support and entrepreneurial career: the directions for university policy to influence students’ entrepreneurial intention and behavior // </w:t>
      </w:r>
      <w:hyperlink r:id="rId233" w:history="1">
        <w:r w:rsidR="00F14E91" w:rsidRPr="00B4623F">
          <w:rPr>
            <w:rFonts w:ascii="Times New Roman" w:hAnsi="Times New Roman" w:cs="Times New Roman"/>
            <w:sz w:val="28"/>
            <w:szCs w:val="28"/>
            <w:lang w:val="en-US"/>
          </w:rPr>
          <w:t>Journal of Entrepreneurship and Public Policy</w:t>
        </w:r>
      </w:hyperlink>
      <w:r w:rsidR="00F14E91" w:rsidRPr="0049357A">
        <w:rPr>
          <w:rFonts w:ascii="Times New Roman" w:hAnsi="Times New Roman" w:cs="Times New Roman"/>
          <w:color w:val="000000" w:themeColor="text1"/>
          <w:sz w:val="28"/>
          <w:szCs w:val="28"/>
          <w:lang w:val="en-US"/>
        </w:rPr>
        <w:t xml:space="preserve">. – 2024. – Vol.13, №3. – P.441-467.  </w:t>
      </w:r>
    </w:p>
    <w:p w14:paraId="27908684"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Van </w:t>
      </w:r>
      <w:proofErr w:type="spellStart"/>
      <w:r w:rsidRPr="0049357A">
        <w:rPr>
          <w:rFonts w:ascii="Times New Roman" w:hAnsi="Times New Roman" w:cs="Times New Roman"/>
          <w:color w:val="000000" w:themeColor="text1"/>
          <w:sz w:val="28"/>
          <w:szCs w:val="28"/>
          <w:lang w:val="en-US"/>
        </w:rPr>
        <w:t>Looy</w:t>
      </w:r>
      <w:proofErr w:type="spellEnd"/>
      <w:r w:rsidRPr="0049357A">
        <w:rPr>
          <w:rFonts w:ascii="Times New Roman" w:hAnsi="Times New Roman" w:cs="Times New Roman"/>
          <w:color w:val="000000" w:themeColor="text1"/>
          <w:sz w:val="28"/>
          <w:szCs w:val="28"/>
          <w:lang w:val="en-US"/>
        </w:rPr>
        <w:t xml:space="preserve"> B., </w:t>
      </w:r>
      <w:proofErr w:type="spellStart"/>
      <w:r w:rsidRPr="0049357A">
        <w:rPr>
          <w:rFonts w:ascii="Times New Roman" w:hAnsi="Times New Roman" w:cs="Times New Roman"/>
          <w:color w:val="000000" w:themeColor="text1"/>
          <w:sz w:val="28"/>
          <w:szCs w:val="28"/>
          <w:lang w:val="en-US"/>
        </w:rPr>
        <w:t>Landoni</w:t>
      </w:r>
      <w:proofErr w:type="spellEnd"/>
      <w:r w:rsidRPr="0049357A">
        <w:rPr>
          <w:rFonts w:ascii="Times New Roman" w:hAnsi="Times New Roman" w:cs="Times New Roman"/>
          <w:color w:val="000000" w:themeColor="text1"/>
          <w:sz w:val="28"/>
          <w:szCs w:val="28"/>
          <w:lang w:val="en-US"/>
        </w:rPr>
        <w:t xml:space="preserve"> P., </w:t>
      </w:r>
      <w:proofErr w:type="spellStart"/>
      <w:r w:rsidRPr="0049357A">
        <w:rPr>
          <w:rFonts w:ascii="Times New Roman" w:hAnsi="Times New Roman" w:cs="Times New Roman"/>
          <w:color w:val="000000" w:themeColor="text1"/>
          <w:sz w:val="28"/>
          <w:szCs w:val="28"/>
          <w:lang w:val="en-US"/>
        </w:rPr>
        <w:t>Callaert</w:t>
      </w:r>
      <w:proofErr w:type="spellEnd"/>
      <w:r w:rsidRPr="0049357A">
        <w:rPr>
          <w:rFonts w:ascii="Times New Roman" w:hAnsi="Times New Roman" w:cs="Times New Roman"/>
          <w:color w:val="000000" w:themeColor="text1"/>
          <w:sz w:val="28"/>
          <w:szCs w:val="28"/>
          <w:lang w:val="en-US"/>
        </w:rPr>
        <w:t xml:space="preserve"> J., van </w:t>
      </w:r>
      <w:proofErr w:type="spellStart"/>
      <w:r w:rsidRPr="0049357A">
        <w:rPr>
          <w:rFonts w:ascii="Times New Roman" w:hAnsi="Times New Roman" w:cs="Times New Roman"/>
          <w:color w:val="000000" w:themeColor="text1"/>
          <w:sz w:val="28"/>
          <w:szCs w:val="28"/>
          <w:lang w:val="en-US"/>
        </w:rPr>
        <w:t>Pottelsberghe</w:t>
      </w:r>
      <w:proofErr w:type="spellEnd"/>
      <w:r w:rsidRPr="0049357A">
        <w:rPr>
          <w:rFonts w:ascii="Times New Roman" w:hAnsi="Times New Roman" w:cs="Times New Roman"/>
          <w:color w:val="000000" w:themeColor="text1"/>
          <w:sz w:val="28"/>
          <w:szCs w:val="28"/>
          <w:lang w:val="en-US"/>
        </w:rPr>
        <w:t xml:space="preserve"> B., </w:t>
      </w:r>
      <w:proofErr w:type="spellStart"/>
      <w:r w:rsidRPr="0049357A">
        <w:rPr>
          <w:rFonts w:ascii="Times New Roman" w:hAnsi="Times New Roman" w:cs="Times New Roman"/>
          <w:color w:val="000000" w:themeColor="text1"/>
          <w:sz w:val="28"/>
          <w:szCs w:val="28"/>
          <w:lang w:val="en-US"/>
        </w:rPr>
        <w:t>Sapsalis</w:t>
      </w:r>
      <w:proofErr w:type="spellEnd"/>
      <w:r w:rsidRPr="0049357A">
        <w:rPr>
          <w:rFonts w:ascii="Times New Roman" w:hAnsi="Times New Roman" w:cs="Times New Roman"/>
          <w:color w:val="000000" w:themeColor="text1"/>
          <w:sz w:val="28"/>
          <w:szCs w:val="28"/>
          <w:lang w:val="en-US"/>
        </w:rPr>
        <w:t xml:space="preserve"> E., </w:t>
      </w:r>
      <w:proofErr w:type="spellStart"/>
      <w:r w:rsidRPr="0049357A">
        <w:rPr>
          <w:rFonts w:ascii="Times New Roman" w:hAnsi="Times New Roman" w:cs="Times New Roman"/>
          <w:color w:val="000000" w:themeColor="text1"/>
          <w:sz w:val="28"/>
          <w:szCs w:val="28"/>
          <w:lang w:val="en-US"/>
        </w:rPr>
        <w:t>Debackere</w:t>
      </w:r>
      <w:proofErr w:type="spellEnd"/>
      <w:r w:rsidRPr="0049357A">
        <w:rPr>
          <w:rFonts w:ascii="Times New Roman" w:hAnsi="Times New Roman" w:cs="Times New Roman"/>
          <w:color w:val="000000" w:themeColor="text1"/>
          <w:sz w:val="28"/>
          <w:szCs w:val="28"/>
          <w:lang w:val="en-US"/>
        </w:rPr>
        <w:t xml:space="preserve"> K. Entrepreneurial effectiveness of European universities: An empirical assessment of antecedents and trade-offs // Research Policy. – 2011. – Vol.40, №4. – P.553-564.</w:t>
      </w:r>
    </w:p>
    <w:p w14:paraId="6E85400E"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B4623F">
        <w:rPr>
          <w:rFonts w:ascii="Times New Roman" w:hAnsi="Times New Roman" w:cs="Times New Roman"/>
          <w:sz w:val="28"/>
          <w:szCs w:val="28"/>
          <w:lang w:val="en-US"/>
        </w:rPr>
        <w:t xml:space="preserve">Huang J., Hang L. A Comprehensive Approach for Improving Chinese Computing Undergraduates’ Entrepreneurial Spirits // </w:t>
      </w:r>
      <w:r w:rsidRPr="0049357A">
        <w:rPr>
          <w:rFonts w:ascii="Times New Roman" w:hAnsi="Times New Roman" w:cs="Times New Roman"/>
          <w:color w:val="000000" w:themeColor="text1"/>
          <w:sz w:val="28"/>
          <w:szCs w:val="28"/>
          <w:lang w:val="en-US"/>
        </w:rPr>
        <w:t xml:space="preserve">Conference: International Conference on Information and Management Engineering. – Berlin: Springer, 2011. – P.268-274. </w:t>
      </w:r>
    </w:p>
    <w:p w14:paraId="08F74B94"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Lin X. A Study on Internet Entrepreneurship Intention of Chinese University Students under Demography’s View // Proceedings of the 2015 International Conference on Social Science, Education Management and Sports Education. – China: Atlantis Press. - 2015. – P.864-867.</w:t>
      </w:r>
    </w:p>
    <w:p w14:paraId="121B3539" w14:textId="77777777" w:rsidR="00F14E91" w:rsidRPr="00B4623F" w:rsidRDefault="00F14E91" w:rsidP="00015249">
      <w:pPr>
        <w:pStyle w:val="af"/>
        <w:numPr>
          <w:ilvl w:val="0"/>
          <w:numId w:val="34"/>
        </w:numPr>
        <w:ind w:left="0" w:firstLine="709"/>
        <w:jc w:val="both"/>
        <w:rPr>
          <w:rFonts w:ascii="Times New Roman" w:hAnsi="Times New Roman" w:cs="Times New Roman"/>
          <w:sz w:val="28"/>
          <w:szCs w:val="28"/>
          <w:lang w:val="en-US"/>
        </w:rPr>
      </w:pPr>
      <w:proofErr w:type="spellStart"/>
      <w:r w:rsidRPr="00B4623F">
        <w:rPr>
          <w:rFonts w:ascii="Times New Roman" w:hAnsi="Times New Roman" w:cs="Times New Roman"/>
          <w:sz w:val="28"/>
          <w:szCs w:val="28"/>
          <w:lang w:val="en-US"/>
        </w:rPr>
        <w:t>Hamouda</w:t>
      </w:r>
      <w:proofErr w:type="spellEnd"/>
      <w:r w:rsidRPr="00B4623F">
        <w:rPr>
          <w:rFonts w:ascii="Times New Roman" w:hAnsi="Times New Roman" w:cs="Times New Roman"/>
          <w:sz w:val="28"/>
          <w:szCs w:val="28"/>
          <w:lang w:val="en-US"/>
        </w:rPr>
        <w:t xml:space="preserve"> A., </w:t>
      </w:r>
      <w:proofErr w:type="spellStart"/>
      <w:r w:rsidRPr="0049357A">
        <w:rPr>
          <w:rFonts w:ascii="Times New Roman" w:hAnsi="Times New Roman" w:cs="Times New Roman"/>
          <w:color w:val="000000" w:themeColor="text1"/>
          <w:sz w:val="28"/>
          <w:szCs w:val="28"/>
          <w:lang w:val="en-US"/>
        </w:rPr>
        <w:t>Ledwith</w:t>
      </w:r>
      <w:proofErr w:type="spellEnd"/>
      <w:r w:rsidRPr="0049357A">
        <w:rPr>
          <w:rFonts w:ascii="Times New Roman" w:hAnsi="Times New Roman" w:cs="Times New Roman"/>
          <w:color w:val="000000" w:themeColor="text1"/>
          <w:sz w:val="28"/>
          <w:szCs w:val="28"/>
          <w:lang w:val="en-US"/>
        </w:rPr>
        <w:t xml:space="preserve"> C.</w:t>
      </w:r>
      <w:r w:rsidRPr="00B4623F">
        <w:rPr>
          <w:rFonts w:ascii="Times New Roman" w:hAnsi="Times New Roman" w:cs="Times New Roman"/>
          <w:sz w:val="28"/>
          <w:szCs w:val="28"/>
          <w:lang w:val="en-US"/>
        </w:rPr>
        <w:t xml:space="preserve"> Investing in Entrepreneurial Skills-Creating an Entrepreneurial Mind-set amongst Engineering Graduates //</w:t>
      </w:r>
      <w:r w:rsidRPr="0049357A">
        <w:rPr>
          <w:rFonts w:ascii="Times New Roman" w:hAnsi="Times New Roman" w:cs="Times New Roman"/>
          <w:color w:val="000000" w:themeColor="text1"/>
          <w:sz w:val="28"/>
          <w:szCs w:val="28"/>
          <w:lang w:val="en-US"/>
        </w:rPr>
        <w:t xml:space="preserve"> Third International Conference of the Portuguese Society for Engineering Education. – Aveiro: IEEE, 2018. – P. 1 – 11.</w:t>
      </w:r>
    </w:p>
    <w:p w14:paraId="38D597FC"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Lavelle B.A. Entrepreneurship Education’s Impact on Entrepreneurial Intention: A Predictive Regression Model of Chinese University Students… </w:t>
      </w:r>
      <w:r w:rsidRPr="00B4623F">
        <w:rPr>
          <w:rFonts w:ascii="Times New Roman" w:hAnsi="Times New Roman" w:cs="Times New Roman"/>
          <w:sz w:val="28"/>
          <w:szCs w:val="28"/>
          <w:lang w:val="en-US"/>
        </w:rPr>
        <w:t>Doctor of Business Administration (DBA)</w:t>
      </w:r>
      <w:r w:rsidRPr="0049357A">
        <w:rPr>
          <w:rFonts w:ascii="Times New Roman" w:hAnsi="Times New Roman" w:cs="Times New Roman"/>
          <w:color w:val="000000" w:themeColor="text1"/>
          <w:sz w:val="28"/>
          <w:szCs w:val="28"/>
          <w:lang w:val="en-US"/>
        </w:rPr>
        <w:t xml:space="preserve"> // George Fox University. – Oregon, 2018. –127 р. </w:t>
      </w:r>
    </w:p>
    <w:p w14:paraId="753474F0"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Tamenova</w:t>
      </w:r>
      <w:proofErr w:type="spellEnd"/>
      <w:r w:rsidRPr="0049357A">
        <w:rPr>
          <w:rFonts w:ascii="Times New Roman" w:hAnsi="Times New Roman" w:cs="Times New Roman"/>
          <w:color w:val="000000" w:themeColor="text1"/>
          <w:sz w:val="28"/>
          <w:szCs w:val="28"/>
          <w:lang w:val="en-US"/>
        </w:rPr>
        <w:t xml:space="preserve"> S.S., </w:t>
      </w:r>
      <w:proofErr w:type="spellStart"/>
      <w:r w:rsidRPr="0049357A">
        <w:rPr>
          <w:rFonts w:ascii="Times New Roman" w:hAnsi="Times New Roman" w:cs="Times New Roman"/>
          <w:color w:val="000000" w:themeColor="text1"/>
          <w:sz w:val="28"/>
          <w:szCs w:val="28"/>
          <w:lang w:val="en-US"/>
        </w:rPr>
        <w:t>Sekerbayeva</w:t>
      </w:r>
      <w:proofErr w:type="spellEnd"/>
      <w:r w:rsidRPr="0049357A">
        <w:rPr>
          <w:rFonts w:ascii="Times New Roman" w:hAnsi="Times New Roman" w:cs="Times New Roman"/>
          <w:color w:val="000000" w:themeColor="text1"/>
          <w:sz w:val="28"/>
          <w:szCs w:val="28"/>
          <w:lang w:val="en-US"/>
        </w:rPr>
        <w:t xml:space="preserve"> A.M. Study of Kazakhstani students’ entrepreneurial intentions // Bulletin of "</w:t>
      </w:r>
      <w:proofErr w:type="spellStart"/>
      <w:r w:rsidRPr="0049357A">
        <w:rPr>
          <w:rFonts w:ascii="Times New Roman" w:hAnsi="Times New Roman" w:cs="Times New Roman"/>
          <w:color w:val="000000" w:themeColor="text1"/>
          <w:sz w:val="28"/>
          <w:szCs w:val="28"/>
          <w:lang w:val="en-US"/>
        </w:rPr>
        <w:t>Turan</w:t>
      </w:r>
      <w:proofErr w:type="spellEnd"/>
      <w:r w:rsidRPr="0049357A">
        <w:rPr>
          <w:rFonts w:ascii="Times New Roman" w:hAnsi="Times New Roman" w:cs="Times New Roman"/>
          <w:color w:val="000000" w:themeColor="text1"/>
          <w:sz w:val="28"/>
          <w:szCs w:val="28"/>
          <w:lang w:val="en-US"/>
        </w:rPr>
        <w:t>" University. – 2022. – Vol.1. – P.331-336.</w:t>
      </w:r>
    </w:p>
    <w:p w14:paraId="78770595"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Lv</w:t>
      </w:r>
      <w:proofErr w:type="spellEnd"/>
      <w:r w:rsidRPr="0049357A">
        <w:rPr>
          <w:rFonts w:ascii="Times New Roman" w:hAnsi="Times New Roman" w:cs="Times New Roman"/>
          <w:color w:val="000000" w:themeColor="text1"/>
          <w:sz w:val="28"/>
          <w:szCs w:val="28"/>
          <w:lang w:val="en-US"/>
        </w:rPr>
        <w:t xml:space="preserve"> Y., Chen Y., Sha Y., Wang J., An L., Chen T., Huang X., Huang Y., Huang L. How Entrepreneurship Education at Universities Influences Entrepreneurial Intention: Mediating Effect Based on Entrepreneurial Competence // Frontiers in Psychology. – 2021. – Vol.12. – P.1-12. </w:t>
      </w:r>
    </w:p>
    <w:p w14:paraId="091E22A3" w14:textId="77777777" w:rsidR="00F14E91" w:rsidRPr="00B4623F" w:rsidRDefault="00F14E91" w:rsidP="00015249">
      <w:pPr>
        <w:pStyle w:val="af"/>
        <w:numPr>
          <w:ilvl w:val="0"/>
          <w:numId w:val="34"/>
        </w:numPr>
        <w:ind w:left="0" w:firstLine="709"/>
        <w:jc w:val="both"/>
        <w:rPr>
          <w:rFonts w:ascii="Times New Roman" w:hAnsi="Times New Roman" w:cs="Times New Roman"/>
          <w:sz w:val="28"/>
          <w:szCs w:val="28"/>
          <w:lang w:val="en-US"/>
        </w:rPr>
      </w:pPr>
      <w:r w:rsidRPr="00B4623F">
        <w:rPr>
          <w:rFonts w:ascii="Times New Roman" w:hAnsi="Times New Roman" w:cs="Times New Roman"/>
          <w:sz w:val="28"/>
          <w:szCs w:val="28"/>
          <w:lang w:val="en-US"/>
        </w:rPr>
        <w:t xml:space="preserve">Costin Y., O’Brien M. P., Hynes B. Entrepreneurial education: Maker or breaker in developing students’ entrepreneurial confidence, aptitude and self-efficacy? // Industry and Higher Education. – 2022. – Vol.36, №3. – P.267-278. </w:t>
      </w:r>
    </w:p>
    <w:p w14:paraId="64238448"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lastRenderedPageBreak/>
        <w:t xml:space="preserve">Jeet V. Entrepreneurial intention of Saudi students: role of Saudi Arabian universities in achieving The Goal of Vision 2030 // Entrepreneurship and Sustainability. – 2023. – Vol.10, №4. – P.171-183. </w:t>
      </w:r>
    </w:p>
    <w:p w14:paraId="4196996B" w14:textId="77777777" w:rsidR="00F14E91" w:rsidRPr="00B4623F" w:rsidRDefault="00F14E91" w:rsidP="00015249">
      <w:pPr>
        <w:pStyle w:val="af"/>
        <w:numPr>
          <w:ilvl w:val="0"/>
          <w:numId w:val="34"/>
        </w:numPr>
        <w:ind w:left="0" w:firstLine="709"/>
        <w:jc w:val="both"/>
        <w:rPr>
          <w:rFonts w:ascii="Times New Roman" w:hAnsi="Times New Roman" w:cs="Times New Roman"/>
          <w:sz w:val="28"/>
          <w:szCs w:val="28"/>
          <w:lang w:val="en-US"/>
        </w:rPr>
      </w:pPr>
      <w:proofErr w:type="spellStart"/>
      <w:r w:rsidRPr="00B4623F">
        <w:rPr>
          <w:rFonts w:ascii="Times New Roman" w:hAnsi="Times New Roman" w:cs="Times New Roman"/>
          <w:sz w:val="28"/>
          <w:szCs w:val="28"/>
          <w:lang w:val="en-US"/>
        </w:rPr>
        <w:t>Pais</w:t>
      </w:r>
      <w:proofErr w:type="spellEnd"/>
      <w:r w:rsidRPr="00B4623F">
        <w:rPr>
          <w:rFonts w:ascii="Times New Roman" w:hAnsi="Times New Roman" w:cs="Times New Roman"/>
          <w:sz w:val="28"/>
          <w:szCs w:val="28"/>
          <w:lang w:val="en-US"/>
        </w:rPr>
        <w:t xml:space="preserve"> </w:t>
      </w:r>
      <w:proofErr w:type="spellStart"/>
      <w:r w:rsidRPr="00B4623F">
        <w:rPr>
          <w:rFonts w:ascii="Times New Roman" w:hAnsi="Times New Roman" w:cs="Times New Roman"/>
          <w:sz w:val="28"/>
          <w:szCs w:val="28"/>
          <w:lang w:val="en-US"/>
        </w:rPr>
        <w:t>Zozimo</w:t>
      </w:r>
      <w:proofErr w:type="spellEnd"/>
      <w:r w:rsidRPr="00B4623F">
        <w:rPr>
          <w:rFonts w:ascii="Times New Roman" w:hAnsi="Times New Roman" w:cs="Times New Roman"/>
          <w:sz w:val="28"/>
          <w:szCs w:val="28"/>
          <w:lang w:val="en-US"/>
        </w:rPr>
        <w:t xml:space="preserve"> J., N-</w:t>
      </w:r>
      <w:proofErr w:type="spellStart"/>
      <w:r w:rsidRPr="00B4623F">
        <w:rPr>
          <w:rFonts w:ascii="Times New Roman" w:hAnsi="Times New Roman" w:cs="Times New Roman"/>
          <w:sz w:val="28"/>
          <w:szCs w:val="28"/>
          <w:lang w:val="en-US"/>
        </w:rPr>
        <w:t>Yelkabong</w:t>
      </w:r>
      <w:proofErr w:type="spellEnd"/>
      <w:r w:rsidRPr="00B4623F">
        <w:rPr>
          <w:rFonts w:ascii="Times New Roman" w:hAnsi="Times New Roman" w:cs="Times New Roman"/>
          <w:sz w:val="28"/>
          <w:szCs w:val="28"/>
          <w:lang w:val="en-US"/>
        </w:rPr>
        <w:t xml:space="preserve"> A., Lockett N., Dada L., Jack S. L. Beyond the entrepreneur: A study of entrepreneurial learning from a social practice perspective working with scientists in West Africa // Management Learning. – 2023. – Vol.54, №5. – P.802-824. </w:t>
      </w:r>
    </w:p>
    <w:p w14:paraId="498880DA" w14:textId="77777777" w:rsidR="00F14E91" w:rsidRPr="00B4623F" w:rsidRDefault="00F14E91" w:rsidP="00015249">
      <w:pPr>
        <w:pStyle w:val="af"/>
        <w:numPr>
          <w:ilvl w:val="0"/>
          <w:numId w:val="34"/>
        </w:numPr>
        <w:ind w:left="0" w:firstLine="709"/>
        <w:jc w:val="both"/>
        <w:rPr>
          <w:rFonts w:ascii="Times New Roman" w:hAnsi="Times New Roman" w:cs="Times New Roman"/>
          <w:sz w:val="28"/>
          <w:szCs w:val="28"/>
          <w:lang w:val="en-US"/>
        </w:rPr>
      </w:pPr>
      <w:r w:rsidRPr="00B4623F">
        <w:rPr>
          <w:rFonts w:ascii="Times New Roman" w:hAnsi="Times New Roman" w:cs="Times New Roman"/>
          <w:sz w:val="28"/>
          <w:szCs w:val="28"/>
          <w:lang w:val="en-US"/>
        </w:rPr>
        <w:t xml:space="preserve">Hahn D., </w:t>
      </w:r>
      <w:proofErr w:type="spellStart"/>
      <w:r w:rsidRPr="00B4623F">
        <w:rPr>
          <w:rFonts w:ascii="Times New Roman" w:hAnsi="Times New Roman" w:cs="Times New Roman"/>
          <w:sz w:val="28"/>
          <w:szCs w:val="28"/>
          <w:lang w:val="en-US"/>
        </w:rPr>
        <w:t>Minola</w:t>
      </w:r>
      <w:proofErr w:type="spellEnd"/>
      <w:r w:rsidRPr="00B4623F">
        <w:rPr>
          <w:rFonts w:ascii="Times New Roman" w:hAnsi="Times New Roman" w:cs="Times New Roman"/>
          <w:sz w:val="28"/>
          <w:szCs w:val="28"/>
          <w:lang w:val="en-US"/>
        </w:rPr>
        <w:t xml:space="preserve"> T., Van Gils A., Huybrechts J. Entrepreneurial education and learning at universities: exploring multilevel contingencies // Entrepreneurship &amp; Regional Development. – 2017. – Vol.29. – P.945-974. </w:t>
      </w:r>
    </w:p>
    <w:p w14:paraId="14C40304" w14:textId="77777777" w:rsidR="00F14E91" w:rsidRPr="00B4623F" w:rsidRDefault="00F14E91" w:rsidP="00015249">
      <w:pPr>
        <w:pStyle w:val="af"/>
        <w:numPr>
          <w:ilvl w:val="0"/>
          <w:numId w:val="34"/>
        </w:numPr>
        <w:ind w:left="0" w:firstLine="709"/>
        <w:jc w:val="both"/>
        <w:rPr>
          <w:rFonts w:ascii="Times New Roman" w:hAnsi="Times New Roman" w:cs="Times New Roman"/>
          <w:sz w:val="28"/>
          <w:szCs w:val="28"/>
          <w:lang w:val="en-US"/>
        </w:rPr>
      </w:pPr>
      <w:r w:rsidRPr="00B4623F">
        <w:rPr>
          <w:rFonts w:ascii="Times New Roman" w:hAnsi="Times New Roman" w:cs="Times New Roman"/>
          <w:sz w:val="28"/>
          <w:szCs w:val="28"/>
          <w:lang w:val="en-US"/>
        </w:rPr>
        <w:t xml:space="preserve">Penaluna K., Penaluna A., </w:t>
      </w:r>
      <w:proofErr w:type="spellStart"/>
      <w:r w:rsidRPr="00B4623F">
        <w:rPr>
          <w:rFonts w:ascii="Times New Roman" w:hAnsi="Times New Roman" w:cs="Times New Roman"/>
          <w:sz w:val="28"/>
          <w:szCs w:val="28"/>
          <w:lang w:val="en-US"/>
        </w:rPr>
        <w:t>Usei</w:t>
      </w:r>
      <w:proofErr w:type="spellEnd"/>
      <w:r w:rsidRPr="00B4623F">
        <w:rPr>
          <w:rFonts w:ascii="Times New Roman" w:hAnsi="Times New Roman" w:cs="Times New Roman"/>
          <w:sz w:val="28"/>
          <w:szCs w:val="28"/>
          <w:lang w:val="en-US"/>
        </w:rPr>
        <w:t xml:space="preserve"> C., Griffiths D. Enterprise education needs enterprising educators// Education + Training. – 2015. – Vol.57. – P.948-963. </w:t>
      </w:r>
    </w:p>
    <w:p w14:paraId="3EB45F6F" w14:textId="1AF4D2F9" w:rsidR="00F14E91" w:rsidRPr="0049357A" w:rsidRDefault="00F14E91" w:rsidP="00015249">
      <w:pPr>
        <w:pStyle w:val="af"/>
        <w:numPr>
          <w:ilvl w:val="0"/>
          <w:numId w:val="34"/>
        </w:numPr>
        <w:ind w:left="0" w:firstLine="709"/>
        <w:jc w:val="both"/>
        <w:rPr>
          <w:rFonts w:ascii="Times New Roman" w:hAnsi="Times New Roman" w:cs="Times New Roman"/>
          <w:sz w:val="28"/>
          <w:szCs w:val="28"/>
          <w:lang w:val="en-US"/>
        </w:rPr>
      </w:pPr>
      <w:r w:rsidRPr="0049357A">
        <w:rPr>
          <w:rFonts w:ascii="Times New Roman" w:hAnsi="Times New Roman" w:cs="Times New Roman"/>
          <w:color w:val="000000" w:themeColor="text1"/>
          <w:sz w:val="28"/>
          <w:szCs w:val="28"/>
          <w:lang w:val="en-US"/>
        </w:rPr>
        <w:t xml:space="preserve">European Commission's Entrepreneurship 2020 Action Plan. </w:t>
      </w:r>
      <w:r w:rsidR="00FA4396">
        <w:rPr>
          <w:rFonts w:ascii="Times New Roman" w:hAnsi="Times New Roman" w:cs="Times New Roman"/>
          <w:color w:val="000000" w:themeColor="text1"/>
          <w:sz w:val="28"/>
          <w:szCs w:val="28"/>
          <w:lang w:val="en-US"/>
        </w:rPr>
        <w:t xml:space="preserve">Accessed: </w:t>
      </w:r>
      <w:hyperlink r:id="rId234" w:history="1">
        <w:r w:rsidRPr="0049357A">
          <w:rPr>
            <w:rFonts w:ascii="Times New Roman" w:hAnsi="Times New Roman" w:cs="Times New Roman"/>
            <w:sz w:val="28"/>
            <w:szCs w:val="28"/>
            <w:lang w:val="en-US"/>
          </w:rPr>
          <w:t>https://commission.europa.eu/</w:t>
        </w:r>
      </w:hyperlink>
      <w:r w:rsidRPr="00FA4396">
        <w:rPr>
          <w:rFonts w:ascii="Times New Roman" w:hAnsi="Times New Roman" w:cs="Times New Roman"/>
          <w:sz w:val="28"/>
          <w:szCs w:val="28"/>
          <w:lang w:val="en-US"/>
        </w:rPr>
        <w:t xml:space="preserve">  05.12.2023.</w:t>
      </w:r>
      <w:r w:rsidR="00FA4396">
        <w:rPr>
          <w:rFonts w:ascii="Times New Roman" w:hAnsi="Times New Roman" w:cs="Times New Roman"/>
          <w:sz w:val="28"/>
          <w:szCs w:val="28"/>
          <w:lang w:val="en-US"/>
        </w:rPr>
        <w:t xml:space="preserve"> </w:t>
      </w:r>
    </w:p>
    <w:p w14:paraId="28BDFAE5"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Sudharson</w:t>
      </w:r>
      <w:proofErr w:type="spellEnd"/>
      <w:r w:rsidRPr="0049357A">
        <w:rPr>
          <w:rFonts w:ascii="Times New Roman" w:hAnsi="Times New Roman" w:cs="Times New Roman"/>
          <w:color w:val="000000" w:themeColor="text1"/>
          <w:sz w:val="28"/>
          <w:szCs w:val="28"/>
          <w:lang w:val="en-US"/>
        </w:rPr>
        <w:t xml:space="preserve"> K., Ali A.M., </w:t>
      </w:r>
      <w:proofErr w:type="spellStart"/>
      <w:r w:rsidRPr="0049357A">
        <w:rPr>
          <w:rFonts w:ascii="Times New Roman" w:hAnsi="Times New Roman" w:cs="Times New Roman"/>
          <w:color w:val="000000" w:themeColor="text1"/>
          <w:sz w:val="28"/>
          <w:szCs w:val="28"/>
          <w:lang w:val="en-US"/>
        </w:rPr>
        <w:t>Sermakani</w:t>
      </w:r>
      <w:proofErr w:type="spellEnd"/>
      <w:r w:rsidRPr="0049357A">
        <w:rPr>
          <w:rFonts w:ascii="Times New Roman" w:hAnsi="Times New Roman" w:cs="Times New Roman"/>
          <w:color w:val="000000" w:themeColor="text1"/>
          <w:sz w:val="28"/>
          <w:szCs w:val="28"/>
          <w:lang w:val="en-US"/>
        </w:rPr>
        <w:t xml:space="preserve"> A.M. An Organizational Perspective of Knowledge Communication in Developing Entrepreneurship Education for Engineering Students // Procedia - Social and Behavioral Sciences. – 2013. – Vol.73. – P. 590-597.</w:t>
      </w:r>
    </w:p>
    <w:p w14:paraId="1B4EE74E"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Mutiaraningrum</w:t>
      </w:r>
      <w:proofErr w:type="spellEnd"/>
      <w:r w:rsidRPr="0049357A">
        <w:rPr>
          <w:rFonts w:ascii="Times New Roman" w:hAnsi="Times New Roman" w:cs="Times New Roman"/>
          <w:color w:val="000000" w:themeColor="text1"/>
          <w:sz w:val="28"/>
          <w:szCs w:val="28"/>
          <w:lang w:val="en-US"/>
        </w:rPr>
        <w:t xml:space="preserve"> I., </w:t>
      </w:r>
      <w:proofErr w:type="spellStart"/>
      <w:r w:rsidRPr="0049357A">
        <w:rPr>
          <w:rFonts w:ascii="Times New Roman" w:hAnsi="Times New Roman" w:cs="Times New Roman"/>
          <w:color w:val="000000" w:themeColor="text1"/>
          <w:sz w:val="28"/>
          <w:szCs w:val="28"/>
          <w:lang w:val="en-US"/>
        </w:rPr>
        <w:t>Fitriati</w:t>
      </w:r>
      <w:proofErr w:type="spellEnd"/>
      <w:r w:rsidRPr="0049357A">
        <w:rPr>
          <w:rFonts w:ascii="Times New Roman" w:hAnsi="Times New Roman" w:cs="Times New Roman"/>
          <w:color w:val="000000" w:themeColor="text1"/>
          <w:sz w:val="28"/>
          <w:szCs w:val="28"/>
          <w:lang w:val="en-US"/>
        </w:rPr>
        <w:t xml:space="preserve"> S. W., </w:t>
      </w:r>
      <w:proofErr w:type="spellStart"/>
      <w:r w:rsidRPr="0049357A">
        <w:rPr>
          <w:rFonts w:ascii="Times New Roman" w:hAnsi="Times New Roman" w:cs="Times New Roman"/>
          <w:color w:val="000000" w:themeColor="text1"/>
          <w:sz w:val="28"/>
          <w:szCs w:val="28"/>
          <w:lang w:val="en-US"/>
        </w:rPr>
        <w:t>Yuliasri</w:t>
      </w:r>
      <w:proofErr w:type="spellEnd"/>
      <w:r w:rsidRPr="0049357A">
        <w:rPr>
          <w:rFonts w:ascii="Times New Roman" w:hAnsi="Times New Roman" w:cs="Times New Roman"/>
          <w:color w:val="000000" w:themeColor="text1"/>
          <w:sz w:val="28"/>
          <w:szCs w:val="28"/>
          <w:lang w:val="en-US"/>
        </w:rPr>
        <w:t xml:space="preserve"> I.</w:t>
      </w:r>
      <w:proofErr w:type="gramStart"/>
      <w:r w:rsidRPr="0049357A">
        <w:rPr>
          <w:rFonts w:ascii="Times New Roman" w:hAnsi="Times New Roman" w:cs="Times New Roman"/>
          <w:color w:val="000000" w:themeColor="text1"/>
          <w:sz w:val="28"/>
          <w:szCs w:val="28"/>
          <w:lang w:val="en-US"/>
        </w:rPr>
        <w:t>,  Saleh</w:t>
      </w:r>
      <w:proofErr w:type="gramEnd"/>
      <w:r w:rsidRPr="0049357A">
        <w:rPr>
          <w:rFonts w:ascii="Times New Roman" w:hAnsi="Times New Roman" w:cs="Times New Roman"/>
          <w:color w:val="000000" w:themeColor="text1"/>
          <w:sz w:val="28"/>
          <w:szCs w:val="28"/>
          <w:lang w:val="en-US"/>
        </w:rPr>
        <w:t>, M. From classroom projects to business ideas: Indonesian vocational college students' entrepreneurial skills // Issues in Educational Research. – 2024. Vol.34, №2. – P. 608-628.</w:t>
      </w:r>
    </w:p>
    <w:p w14:paraId="3D0C5315"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Jaume</w:t>
      </w:r>
      <w:proofErr w:type="spellEnd"/>
      <w:r w:rsidRPr="0049357A">
        <w:rPr>
          <w:rFonts w:ascii="Times New Roman" w:hAnsi="Times New Roman" w:cs="Times New Roman"/>
          <w:color w:val="000000" w:themeColor="text1"/>
          <w:sz w:val="28"/>
          <w:szCs w:val="28"/>
          <w:lang w:val="en-US"/>
        </w:rPr>
        <w:t xml:space="preserve"> T., </w:t>
      </w:r>
      <w:proofErr w:type="spellStart"/>
      <w:r w:rsidRPr="0049357A">
        <w:rPr>
          <w:rFonts w:ascii="Times New Roman" w:hAnsi="Times New Roman" w:cs="Times New Roman"/>
          <w:color w:val="000000" w:themeColor="text1"/>
          <w:sz w:val="28"/>
          <w:szCs w:val="28"/>
          <w:lang w:val="en-US"/>
        </w:rPr>
        <w:t>Bernadó</w:t>
      </w:r>
      <w:proofErr w:type="spellEnd"/>
      <w:r w:rsidRPr="0049357A">
        <w:rPr>
          <w:rFonts w:ascii="Times New Roman" w:hAnsi="Times New Roman" w:cs="Times New Roman"/>
          <w:color w:val="000000" w:themeColor="text1"/>
          <w:sz w:val="28"/>
          <w:szCs w:val="28"/>
          <w:lang w:val="en-US"/>
        </w:rPr>
        <w:t xml:space="preserve"> E., </w:t>
      </w:r>
      <w:proofErr w:type="spellStart"/>
      <w:r w:rsidRPr="0049357A">
        <w:rPr>
          <w:rFonts w:ascii="Times New Roman" w:hAnsi="Times New Roman" w:cs="Times New Roman"/>
          <w:color w:val="000000" w:themeColor="text1"/>
          <w:sz w:val="28"/>
          <w:szCs w:val="28"/>
          <w:lang w:val="en-US"/>
        </w:rPr>
        <w:t>Bratzke</w:t>
      </w:r>
      <w:proofErr w:type="spellEnd"/>
      <w:r w:rsidRPr="0049357A">
        <w:rPr>
          <w:rFonts w:ascii="Times New Roman" w:hAnsi="Times New Roman" w:cs="Times New Roman"/>
          <w:color w:val="000000" w:themeColor="text1"/>
          <w:sz w:val="28"/>
          <w:szCs w:val="28"/>
          <w:lang w:val="en-US"/>
        </w:rPr>
        <w:t xml:space="preserve"> F., </w:t>
      </w:r>
      <w:proofErr w:type="spellStart"/>
      <w:r w:rsidRPr="0049357A">
        <w:rPr>
          <w:rFonts w:ascii="Times New Roman" w:hAnsi="Times New Roman" w:cs="Times New Roman"/>
          <w:color w:val="000000" w:themeColor="text1"/>
          <w:sz w:val="28"/>
          <w:szCs w:val="28"/>
          <w:lang w:val="en-US"/>
        </w:rPr>
        <w:t>Zehrer</w:t>
      </w:r>
      <w:proofErr w:type="spellEnd"/>
      <w:r w:rsidRPr="0049357A">
        <w:rPr>
          <w:rFonts w:ascii="Times New Roman" w:hAnsi="Times New Roman" w:cs="Times New Roman"/>
          <w:color w:val="000000" w:themeColor="text1"/>
          <w:sz w:val="28"/>
          <w:szCs w:val="28"/>
          <w:lang w:val="en-US"/>
        </w:rPr>
        <w:t xml:space="preserve"> A., Van </w:t>
      </w:r>
      <w:proofErr w:type="spellStart"/>
      <w:r w:rsidRPr="0049357A">
        <w:rPr>
          <w:rFonts w:ascii="Times New Roman" w:hAnsi="Times New Roman" w:cs="Times New Roman"/>
          <w:color w:val="000000" w:themeColor="text1"/>
          <w:sz w:val="28"/>
          <w:szCs w:val="28"/>
          <w:lang w:val="en-US"/>
        </w:rPr>
        <w:t>Bockhaven</w:t>
      </w:r>
      <w:proofErr w:type="spellEnd"/>
      <w:r w:rsidRPr="0049357A">
        <w:rPr>
          <w:rFonts w:ascii="Times New Roman" w:hAnsi="Times New Roman" w:cs="Times New Roman"/>
          <w:color w:val="000000" w:themeColor="text1"/>
          <w:sz w:val="28"/>
          <w:szCs w:val="28"/>
          <w:lang w:val="en-US"/>
        </w:rPr>
        <w:t xml:space="preserve"> W. Online Support for Education in Entrepreneurial and Intrapreneurial Competences: A Proposal for an Assessment Tool and Support for Tailor-Made Training // Education Sciences. – 2022. – Vol.12, №11. – P.805. </w:t>
      </w:r>
    </w:p>
    <w:p w14:paraId="1CDC2BDE"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Wu H-T., Chen M-Y. Course Design for College Entrepreneurship Education – From Personal Trait Analysis to Operation in Practice // Front. Psychol. – 2019. – Vol.10. –8 р.</w:t>
      </w:r>
    </w:p>
    <w:p w14:paraId="458B91F4"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Wang S-M., Yueh H-P., Wen P-C. How the New Type of Entrepreneurship Education Complements the Traditional One in Developing Entrepreneurial Competencies and Intention // Front. Psychol. – 2019. – Vol.10. – 12 р.</w:t>
      </w:r>
    </w:p>
    <w:p w14:paraId="166B2139"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Mercader V., </w:t>
      </w:r>
      <w:proofErr w:type="spellStart"/>
      <w:r w:rsidRPr="0049357A">
        <w:rPr>
          <w:rFonts w:ascii="Times New Roman" w:hAnsi="Times New Roman" w:cs="Times New Roman"/>
          <w:color w:val="000000" w:themeColor="text1"/>
          <w:sz w:val="28"/>
          <w:szCs w:val="28"/>
          <w:lang w:val="en-US"/>
        </w:rPr>
        <w:t>Galván</w:t>
      </w:r>
      <w:proofErr w:type="spellEnd"/>
      <w:r w:rsidRPr="0049357A">
        <w:rPr>
          <w:rFonts w:ascii="Times New Roman" w:hAnsi="Times New Roman" w:cs="Times New Roman"/>
          <w:color w:val="000000" w:themeColor="text1"/>
          <w:sz w:val="28"/>
          <w:szCs w:val="28"/>
          <w:lang w:val="en-US"/>
        </w:rPr>
        <w:t xml:space="preserve">-Vela E, </w:t>
      </w:r>
      <w:proofErr w:type="spellStart"/>
      <w:r w:rsidRPr="0049357A">
        <w:rPr>
          <w:rFonts w:ascii="Times New Roman" w:hAnsi="Times New Roman" w:cs="Times New Roman"/>
          <w:color w:val="000000" w:themeColor="text1"/>
          <w:sz w:val="28"/>
          <w:szCs w:val="28"/>
          <w:lang w:val="en-US"/>
        </w:rPr>
        <w:t>Ravina</w:t>
      </w:r>
      <w:proofErr w:type="spellEnd"/>
      <w:r w:rsidRPr="0049357A">
        <w:rPr>
          <w:rFonts w:ascii="Times New Roman" w:hAnsi="Times New Roman" w:cs="Times New Roman"/>
          <w:color w:val="000000" w:themeColor="text1"/>
          <w:sz w:val="28"/>
          <w:szCs w:val="28"/>
          <w:lang w:val="en-US"/>
        </w:rPr>
        <w:t xml:space="preserve">-Ripoll R., Popescu </w:t>
      </w:r>
      <w:proofErr w:type="spellStart"/>
      <w:r w:rsidRPr="0049357A">
        <w:rPr>
          <w:rFonts w:ascii="Times New Roman" w:hAnsi="Times New Roman" w:cs="Times New Roman"/>
          <w:color w:val="000000" w:themeColor="text1"/>
          <w:sz w:val="28"/>
          <w:szCs w:val="28"/>
          <w:lang w:val="en-US"/>
        </w:rPr>
        <w:t>S.R.Gh</w:t>
      </w:r>
      <w:proofErr w:type="spellEnd"/>
      <w:r w:rsidRPr="0049357A">
        <w:rPr>
          <w:rFonts w:ascii="Times New Roman" w:hAnsi="Times New Roman" w:cs="Times New Roman"/>
          <w:color w:val="000000" w:themeColor="text1"/>
          <w:sz w:val="28"/>
          <w:szCs w:val="28"/>
          <w:lang w:val="en-US"/>
        </w:rPr>
        <w:t xml:space="preserve">. A Focus on Ethical Value under the Vision of Leadership, Teamwork, Effective Communication and Productivity // Journal of Risk and Financial Management. – 2021. - Vol.14, №11. –32 р. </w:t>
      </w:r>
    </w:p>
    <w:p w14:paraId="26E64A8C"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Ganske P., Carbon C-C.  Successful clusters through successful communication: why clusters should be managed by Place Leaders // Front. </w:t>
      </w:r>
      <w:proofErr w:type="spellStart"/>
      <w:r w:rsidRPr="0049357A">
        <w:rPr>
          <w:rFonts w:ascii="Times New Roman" w:hAnsi="Times New Roman" w:cs="Times New Roman"/>
          <w:color w:val="000000" w:themeColor="text1"/>
          <w:sz w:val="28"/>
          <w:szCs w:val="28"/>
          <w:lang w:val="en-US"/>
        </w:rPr>
        <w:t>Commun</w:t>
      </w:r>
      <w:proofErr w:type="spellEnd"/>
      <w:r w:rsidRPr="0049357A">
        <w:rPr>
          <w:rFonts w:ascii="Times New Roman" w:hAnsi="Times New Roman" w:cs="Times New Roman"/>
          <w:color w:val="000000" w:themeColor="text1"/>
          <w:sz w:val="28"/>
          <w:szCs w:val="28"/>
          <w:lang w:val="en-US"/>
        </w:rPr>
        <w:t xml:space="preserve">. – 2023. – Vol.8. –12 р. </w:t>
      </w:r>
    </w:p>
    <w:p w14:paraId="6BC6913B"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Zhai</w:t>
      </w:r>
      <w:proofErr w:type="spellEnd"/>
      <w:r w:rsidRPr="0049357A">
        <w:rPr>
          <w:rFonts w:ascii="Times New Roman" w:hAnsi="Times New Roman" w:cs="Times New Roman"/>
          <w:color w:val="000000" w:themeColor="text1"/>
          <w:sz w:val="28"/>
          <w:szCs w:val="28"/>
          <w:lang w:val="en-US"/>
        </w:rPr>
        <w:t xml:space="preserve"> X., Ma H., Zhang Y. Can high-performance funds be built and managed by improving their network locations? –- evidence from entrepreneurship in Chinese fund managers // Int </w:t>
      </w:r>
      <w:proofErr w:type="spellStart"/>
      <w:r w:rsidRPr="0049357A">
        <w:rPr>
          <w:rFonts w:ascii="Times New Roman" w:hAnsi="Times New Roman" w:cs="Times New Roman"/>
          <w:color w:val="000000" w:themeColor="text1"/>
          <w:sz w:val="28"/>
          <w:szCs w:val="28"/>
          <w:lang w:val="en-US"/>
        </w:rPr>
        <w:t>Entrep</w:t>
      </w:r>
      <w:proofErr w:type="spellEnd"/>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Manag</w:t>
      </w:r>
      <w:proofErr w:type="spellEnd"/>
      <w:r w:rsidRPr="0049357A">
        <w:rPr>
          <w:rFonts w:ascii="Times New Roman" w:hAnsi="Times New Roman" w:cs="Times New Roman"/>
          <w:color w:val="000000" w:themeColor="text1"/>
          <w:sz w:val="28"/>
          <w:szCs w:val="28"/>
          <w:lang w:val="en-US"/>
        </w:rPr>
        <w:t xml:space="preserve"> J. – 2022. – Vol.18. – P.383–407. </w:t>
      </w:r>
    </w:p>
    <w:p w14:paraId="3BBE835D"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B4623F">
        <w:rPr>
          <w:rFonts w:ascii="Times New Roman" w:hAnsi="Times New Roman" w:cs="Times New Roman"/>
          <w:sz w:val="28"/>
          <w:szCs w:val="28"/>
          <w:lang w:val="en-US"/>
        </w:rPr>
        <w:t xml:space="preserve">Gerhart A., Carpenter D., Fletcher R., Meyer E. Combining Discipline-specific Introduction to Engineering Courses into a Single Multidiscipline Course to Foster the Entrepreneurial Mindset with Entrepreneurially Minded Learning // </w:t>
      </w:r>
      <w:hyperlink r:id="rId235" w:history="1">
        <w:r w:rsidRPr="00B4623F">
          <w:rPr>
            <w:rFonts w:ascii="Times New Roman" w:hAnsi="Times New Roman" w:cs="Times New Roman"/>
            <w:sz w:val="28"/>
            <w:szCs w:val="28"/>
            <w:lang w:val="en-US"/>
          </w:rPr>
          <w:t xml:space="preserve">2014 </w:t>
        </w:r>
        <w:r w:rsidRPr="00B4623F">
          <w:rPr>
            <w:rFonts w:ascii="Times New Roman" w:hAnsi="Times New Roman" w:cs="Times New Roman"/>
            <w:sz w:val="28"/>
            <w:szCs w:val="28"/>
            <w:lang w:val="en-US"/>
          </w:rPr>
          <w:lastRenderedPageBreak/>
          <w:t>ASEE Annual Conference &amp; Exposition</w:t>
        </w:r>
      </w:hyperlink>
      <w:r w:rsidRPr="0049357A">
        <w:rPr>
          <w:rFonts w:ascii="Times New Roman" w:hAnsi="Times New Roman" w:cs="Times New Roman"/>
          <w:color w:val="000000" w:themeColor="text1"/>
          <w:sz w:val="28"/>
          <w:szCs w:val="28"/>
          <w:lang w:val="en-US"/>
        </w:rPr>
        <w:t xml:space="preserve">. – Indianapolis. - 2014. – P. 24.288.1 - 24.288.30. </w:t>
      </w:r>
    </w:p>
    <w:p w14:paraId="16C2553D"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Hennecke</w:t>
      </w:r>
      <w:proofErr w:type="spellEnd"/>
      <w:r w:rsidRPr="0049357A">
        <w:rPr>
          <w:rFonts w:ascii="Times New Roman" w:hAnsi="Times New Roman" w:cs="Times New Roman"/>
          <w:color w:val="000000" w:themeColor="text1"/>
          <w:sz w:val="28"/>
          <w:szCs w:val="28"/>
          <w:lang w:val="en-US"/>
        </w:rPr>
        <w:t xml:space="preserve"> M., </w:t>
      </w:r>
      <w:proofErr w:type="spellStart"/>
      <w:r w:rsidRPr="0049357A">
        <w:rPr>
          <w:rFonts w:ascii="Times New Roman" w:hAnsi="Times New Roman" w:cs="Times New Roman"/>
          <w:color w:val="000000" w:themeColor="text1"/>
          <w:sz w:val="28"/>
          <w:szCs w:val="28"/>
          <w:lang w:val="en-US"/>
        </w:rPr>
        <w:t>Czikmantori</w:t>
      </w:r>
      <w:proofErr w:type="spellEnd"/>
      <w:r w:rsidRPr="0049357A">
        <w:rPr>
          <w:rFonts w:ascii="Times New Roman" w:hAnsi="Times New Roman" w:cs="Times New Roman"/>
          <w:color w:val="000000" w:themeColor="text1"/>
          <w:sz w:val="28"/>
          <w:szCs w:val="28"/>
          <w:lang w:val="en-US"/>
        </w:rPr>
        <w:t xml:space="preserve"> T., </w:t>
      </w:r>
      <w:proofErr w:type="spellStart"/>
      <w:r w:rsidRPr="0049357A">
        <w:rPr>
          <w:rFonts w:ascii="Times New Roman" w:hAnsi="Times New Roman" w:cs="Times New Roman"/>
          <w:color w:val="000000" w:themeColor="text1"/>
          <w:sz w:val="28"/>
          <w:szCs w:val="28"/>
          <w:lang w:val="en-US"/>
        </w:rPr>
        <w:t>Brandstätter</w:t>
      </w:r>
      <w:proofErr w:type="spellEnd"/>
      <w:r w:rsidRPr="0049357A">
        <w:rPr>
          <w:rFonts w:ascii="Times New Roman" w:hAnsi="Times New Roman" w:cs="Times New Roman"/>
          <w:color w:val="000000" w:themeColor="text1"/>
          <w:sz w:val="28"/>
          <w:szCs w:val="28"/>
          <w:lang w:val="en-US"/>
        </w:rPr>
        <w:t xml:space="preserve"> V. Doing despite Disliking: Self–Regulatory Strategies in Everyday Aversive Activities // European Journal of Personality. – 2019. – Vol.33, №1. – P.104-128. </w:t>
      </w:r>
    </w:p>
    <w:p w14:paraId="384CBF75"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Hammoda</w:t>
      </w:r>
      <w:proofErr w:type="spellEnd"/>
      <w:r w:rsidRPr="0049357A">
        <w:rPr>
          <w:rFonts w:ascii="Times New Roman" w:hAnsi="Times New Roman" w:cs="Times New Roman"/>
          <w:color w:val="000000" w:themeColor="text1"/>
          <w:sz w:val="28"/>
          <w:szCs w:val="28"/>
          <w:lang w:val="en-US"/>
        </w:rPr>
        <w:t xml:space="preserve"> B., Winkler C. Active methods in Entrepreneurship Education: a case study with </w:t>
      </w:r>
      <w:proofErr w:type="gramStart"/>
      <w:r w:rsidRPr="0049357A">
        <w:rPr>
          <w:rFonts w:ascii="Times New Roman" w:hAnsi="Times New Roman" w:cs="Times New Roman"/>
          <w:color w:val="000000" w:themeColor="text1"/>
          <w:sz w:val="28"/>
          <w:szCs w:val="28"/>
          <w:lang w:val="en-US"/>
        </w:rPr>
        <w:t>engineering  students</w:t>
      </w:r>
      <w:proofErr w:type="gramEnd"/>
      <w:r w:rsidRPr="0049357A">
        <w:rPr>
          <w:rFonts w:ascii="Times New Roman" w:hAnsi="Times New Roman" w:cs="Times New Roman"/>
          <w:color w:val="000000" w:themeColor="text1"/>
          <w:sz w:val="28"/>
          <w:szCs w:val="28"/>
          <w:lang w:val="en-US"/>
        </w:rPr>
        <w:t xml:space="preserve"> // European journal of Engineering Education. – 2024. – P. 1-24. </w:t>
      </w:r>
    </w:p>
    <w:p w14:paraId="7359AB1D" w14:textId="77777777" w:rsidR="00F14E91" w:rsidRPr="00B4623F" w:rsidRDefault="00F14E91" w:rsidP="00015249">
      <w:pPr>
        <w:pStyle w:val="af"/>
        <w:numPr>
          <w:ilvl w:val="0"/>
          <w:numId w:val="34"/>
        </w:numPr>
        <w:ind w:left="0" w:firstLine="709"/>
        <w:jc w:val="both"/>
        <w:rPr>
          <w:rFonts w:ascii="Times New Roman" w:hAnsi="Times New Roman" w:cs="Times New Roman"/>
          <w:sz w:val="28"/>
          <w:szCs w:val="28"/>
          <w:lang w:val="en-US"/>
        </w:rPr>
      </w:pPr>
      <w:proofErr w:type="spellStart"/>
      <w:r w:rsidRPr="00B4623F">
        <w:rPr>
          <w:rFonts w:ascii="Times New Roman" w:hAnsi="Times New Roman" w:cs="Times New Roman"/>
          <w:sz w:val="28"/>
          <w:szCs w:val="28"/>
          <w:lang w:val="en-US"/>
        </w:rPr>
        <w:t>Alkhawaldeh</w:t>
      </w:r>
      <w:proofErr w:type="spellEnd"/>
      <w:r w:rsidRPr="00B4623F">
        <w:rPr>
          <w:rFonts w:ascii="Times New Roman" w:hAnsi="Times New Roman" w:cs="Times New Roman"/>
          <w:sz w:val="28"/>
          <w:szCs w:val="28"/>
          <w:lang w:val="en-US"/>
        </w:rPr>
        <w:t xml:space="preserve"> K.A., </w:t>
      </w:r>
      <w:proofErr w:type="spellStart"/>
      <w:r w:rsidRPr="00B4623F">
        <w:rPr>
          <w:rFonts w:ascii="Times New Roman" w:hAnsi="Times New Roman" w:cs="Times New Roman"/>
          <w:sz w:val="28"/>
          <w:szCs w:val="28"/>
          <w:lang w:val="en-US"/>
        </w:rPr>
        <w:t>Dabaghie</w:t>
      </w:r>
      <w:proofErr w:type="spellEnd"/>
      <w:r w:rsidRPr="00B4623F">
        <w:rPr>
          <w:rFonts w:ascii="Times New Roman" w:hAnsi="Times New Roman" w:cs="Times New Roman"/>
          <w:sz w:val="28"/>
          <w:szCs w:val="28"/>
          <w:lang w:val="en-US"/>
        </w:rPr>
        <w:t xml:space="preserve"> Y.M. Developing an “entrepreneurial engineer mindset” to expand future career opportunities for engineering graduates in Jordanian universities // Industry and Higher Education. – 2024. – Vol.38, №5. – P. 445-456.</w:t>
      </w:r>
    </w:p>
    <w:p w14:paraId="52067FE7" w14:textId="77777777" w:rsidR="00F14E91" w:rsidRPr="0049357A" w:rsidRDefault="00F14E91" w:rsidP="00015249">
      <w:pPr>
        <w:pStyle w:val="af"/>
        <w:numPr>
          <w:ilvl w:val="0"/>
          <w:numId w:val="34"/>
        </w:numPr>
        <w:ind w:left="0" w:firstLine="709"/>
        <w:jc w:val="both"/>
        <w:rPr>
          <w:rFonts w:ascii="Times New Roman" w:hAnsi="Times New Roman" w:cs="Times New Roman"/>
          <w:sz w:val="28"/>
          <w:szCs w:val="28"/>
          <w:lang w:val="en-US"/>
        </w:rPr>
      </w:pPr>
      <w:proofErr w:type="spellStart"/>
      <w:r w:rsidRPr="00B4623F">
        <w:rPr>
          <w:rFonts w:ascii="Times New Roman" w:hAnsi="Times New Roman" w:cs="Times New Roman"/>
          <w:sz w:val="28"/>
          <w:szCs w:val="28"/>
          <w:lang w:val="en-US"/>
        </w:rPr>
        <w:t>Berbegal-Mirabent</w:t>
      </w:r>
      <w:proofErr w:type="spellEnd"/>
      <w:r w:rsidRPr="00B4623F">
        <w:rPr>
          <w:rFonts w:ascii="Times New Roman" w:hAnsi="Times New Roman" w:cs="Times New Roman"/>
          <w:sz w:val="28"/>
          <w:szCs w:val="28"/>
          <w:lang w:val="en-US"/>
        </w:rPr>
        <w:t xml:space="preserve"> J., Gil-</w:t>
      </w:r>
      <w:proofErr w:type="spellStart"/>
      <w:r w:rsidRPr="00B4623F">
        <w:rPr>
          <w:rFonts w:ascii="Times New Roman" w:hAnsi="Times New Roman" w:cs="Times New Roman"/>
          <w:sz w:val="28"/>
          <w:szCs w:val="28"/>
          <w:lang w:val="en-US"/>
        </w:rPr>
        <w:t>Doménech</w:t>
      </w:r>
      <w:proofErr w:type="spellEnd"/>
      <w:r w:rsidRPr="00B4623F">
        <w:rPr>
          <w:rFonts w:ascii="Times New Roman" w:hAnsi="Times New Roman" w:cs="Times New Roman"/>
          <w:sz w:val="28"/>
          <w:szCs w:val="28"/>
          <w:lang w:val="en-US"/>
        </w:rPr>
        <w:t xml:space="preserve"> D., Manresa A. Enhancing entrepreneurial competencies beyond business and management disciplines. </w:t>
      </w:r>
      <w:r w:rsidRPr="0049357A">
        <w:rPr>
          <w:rFonts w:ascii="Times New Roman" w:hAnsi="Times New Roman" w:cs="Times New Roman"/>
          <w:sz w:val="28"/>
          <w:szCs w:val="28"/>
          <w:lang w:val="en-US"/>
        </w:rPr>
        <w:t xml:space="preserve">The case of engineering programs </w:t>
      </w:r>
      <w:r w:rsidRPr="0049357A">
        <w:rPr>
          <w:rFonts w:ascii="Times New Roman" w:hAnsi="Times New Roman" w:cs="Times New Roman"/>
          <w:sz w:val="28"/>
          <w:szCs w:val="28"/>
        </w:rPr>
        <w:t>//</w:t>
      </w:r>
      <w:r w:rsidRPr="0049357A">
        <w:rPr>
          <w:rFonts w:ascii="Times New Roman" w:hAnsi="Times New Roman" w:cs="Times New Roman"/>
          <w:sz w:val="28"/>
          <w:szCs w:val="28"/>
          <w:lang w:val="en-US"/>
        </w:rPr>
        <w:t xml:space="preserve"> Education + Training</w:t>
      </w:r>
      <w:r w:rsidRPr="0049357A">
        <w:rPr>
          <w:rFonts w:ascii="Times New Roman" w:hAnsi="Times New Roman" w:cs="Times New Roman"/>
          <w:sz w:val="28"/>
          <w:szCs w:val="28"/>
        </w:rPr>
        <w:t xml:space="preserve">. – 2024. – </w:t>
      </w:r>
      <w:proofErr w:type="spellStart"/>
      <w:r w:rsidRPr="0049357A">
        <w:rPr>
          <w:rFonts w:ascii="Times New Roman" w:hAnsi="Times New Roman" w:cs="Times New Roman"/>
          <w:sz w:val="28"/>
          <w:szCs w:val="28"/>
        </w:rPr>
        <w:t>Vol</w:t>
      </w:r>
      <w:proofErr w:type="spellEnd"/>
      <w:r w:rsidRPr="0049357A">
        <w:rPr>
          <w:rFonts w:ascii="Times New Roman" w:hAnsi="Times New Roman" w:cs="Times New Roman"/>
          <w:sz w:val="28"/>
          <w:szCs w:val="28"/>
        </w:rPr>
        <w:t>.</w:t>
      </w:r>
      <w:r w:rsidRPr="0049357A">
        <w:rPr>
          <w:rFonts w:ascii="Times New Roman" w:hAnsi="Times New Roman" w:cs="Times New Roman"/>
          <w:sz w:val="28"/>
          <w:szCs w:val="28"/>
          <w:lang w:val="en-US"/>
        </w:rPr>
        <w:t>66,</w:t>
      </w:r>
      <w:r w:rsidRPr="0049357A">
        <w:rPr>
          <w:rFonts w:ascii="Times New Roman" w:hAnsi="Times New Roman" w:cs="Times New Roman"/>
          <w:sz w:val="28"/>
          <w:szCs w:val="28"/>
        </w:rPr>
        <w:t xml:space="preserve"> №1. – P.</w:t>
      </w:r>
      <w:r w:rsidRPr="0049357A">
        <w:rPr>
          <w:rFonts w:ascii="Times New Roman" w:hAnsi="Times New Roman" w:cs="Times New Roman"/>
          <w:sz w:val="28"/>
          <w:szCs w:val="28"/>
          <w:lang w:val="en-US"/>
        </w:rPr>
        <w:t xml:space="preserve">107–126. </w:t>
      </w:r>
    </w:p>
    <w:p w14:paraId="5E65B13C" w14:textId="77777777" w:rsidR="00F14E91" w:rsidRPr="00B4623F" w:rsidRDefault="00F14E91" w:rsidP="00015249">
      <w:pPr>
        <w:pStyle w:val="af"/>
        <w:numPr>
          <w:ilvl w:val="0"/>
          <w:numId w:val="34"/>
        </w:numPr>
        <w:ind w:left="0" w:firstLine="709"/>
        <w:jc w:val="both"/>
        <w:rPr>
          <w:rFonts w:ascii="Times New Roman" w:hAnsi="Times New Roman" w:cs="Times New Roman"/>
          <w:sz w:val="28"/>
          <w:szCs w:val="28"/>
          <w:lang w:val="en-US"/>
        </w:rPr>
      </w:pPr>
      <w:proofErr w:type="spellStart"/>
      <w:r w:rsidRPr="00B4623F">
        <w:rPr>
          <w:rFonts w:ascii="Times New Roman" w:hAnsi="Times New Roman" w:cs="Times New Roman"/>
          <w:sz w:val="28"/>
          <w:szCs w:val="28"/>
          <w:lang w:val="en-US"/>
        </w:rPr>
        <w:t>Farny</w:t>
      </w:r>
      <w:proofErr w:type="spellEnd"/>
      <w:r w:rsidRPr="00B4623F">
        <w:rPr>
          <w:rFonts w:ascii="Times New Roman" w:hAnsi="Times New Roman" w:cs="Times New Roman"/>
          <w:sz w:val="28"/>
          <w:szCs w:val="28"/>
          <w:lang w:val="en-US"/>
        </w:rPr>
        <w:t xml:space="preserve"> S., Hannibal M., Frederiksen S., Jones S. A Culture of Entrepreneurship Education //Entrepreneurship and Regional Development. – 2016. – Vol.28. – P.514-535. </w:t>
      </w:r>
    </w:p>
    <w:p w14:paraId="7E4D2F59" w14:textId="77777777" w:rsidR="00F14E91" w:rsidRPr="00B4623F" w:rsidRDefault="002C6007" w:rsidP="00015249">
      <w:pPr>
        <w:pStyle w:val="af"/>
        <w:numPr>
          <w:ilvl w:val="0"/>
          <w:numId w:val="34"/>
        </w:numPr>
        <w:ind w:left="0" w:firstLine="709"/>
        <w:jc w:val="both"/>
        <w:rPr>
          <w:rFonts w:ascii="Times New Roman" w:hAnsi="Times New Roman" w:cs="Times New Roman"/>
          <w:sz w:val="28"/>
          <w:szCs w:val="28"/>
          <w:lang w:val="en-US"/>
        </w:rPr>
      </w:pPr>
      <w:hyperlink r:id="rId236" w:tooltip="José Osvaldo De Sordi" w:history="1">
        <w:r w:rsidR="00F14E91" w:rsidRPr="00B4623F">
          <w:rPr>
            <w:rFonts w:ascii="Times New Roman" w:hAnsi="Times New Roman" w:cs="Times New Roman"/>
            <w:sz w:val="28"/>
            <w:szCs w:val="28"/>
            <w:lang w:val="en-US"/>
          </w:rPr>
          <w:t xml:space="preserve">De </w:t>
        </w:r>
        <w:proofErr w:type="spellStart"/>
        <w:r w:rsidR="00F14E91" w:rsidRPr="00B4623F">
          <w:rPr>
            <w:rFonts w:ascii="Times New Roman" w:hAnsi="Times New Roman" w:cs="Times New Roman"/>
            <w:sz w:val="28"/>
            <w:szCs w:val="28"/>
            <w:lang w:val="en-US"/>
          </w:rPr>
          <w:t>Sordi</w:t>
        </w:r>
        <w:proofErr w:type="spellEnd"/>
        <w:r w:rsidR="00F14E91" w:rsidRPr="00B4623F">
          <w:rPr>
            <w:rFonts w:ascii="Times New Roman" w:hAnsi="Times New Roman" w:cs="Times New Roman"/>
            <w:sz w:val="28"/>
            <w:szCs w:val="28"/>
            <w:lang w:val="en-US"/>
          </w:rPr>
          <w:t xml:space="preserve"> J.O.</w:t>
        </w:r>
      </w:hyperlink>
      <w:r w:rsidR="00F14E91" w:rsidRPr="0049357A">
        <w:rPr>
          <w:rFonts w:ascii="Times New Roman" w:hAnsi="Times New Roman" w:cs="Times New Roman"/>
          <w:color w:val="000000" w:themeColor="text1"/>
          <w:sz w:val="28"/>
          <w:szCs w:val="28"/>
          <w:lang w:val="en-US"/>
        </w:rPr>
        <w:t>, </w:t>
      </w:r>
      <w:hyperlink r:id="rId237" w:tooltip="Wanderlei Lima Paulo" w:history="1">
        <w:r w:rsidR="00F14E91" w:rsidRPr="00B4623F">
          <w:rPr>
            <w:rFonts w:ascii="Times New Roman" w:hAnsi="Times New Roman" w:cs="Times New Roman"/>
            <w:sz w:val="28"/>
            <w:szCs w:val="28"/>
            <w:lang w:val="en-US"/>
          </w:rPr>
          <w:t>Paulo W.L.</w:t>
        </w:r>
      </w:hyperlink>
      <w:r w:rsidR="00F14E91" w:rsidRPr="0049357A">
        <w:rPr>
          <w:rFonts w:ascii="Times New Roman" w:hAnsi="Times New Roman" w:cs="Times New Roman"/>
          <w:color w:val="000000" w:themeColor="text1"/>
          <w:sz w:val="28"/>
          <w:szCs w:val="28"/>
          <w:lang w:val="en-US"/>
        </w:rPr>
        <w:t>, </w:t>
      </w:r>
      <w:hyperlink r:id="rId238" w:tooltip="Mirian Siqueira Gonçalves" w:history="1">
        <w:r w:rsidR="00F14E91" w:rsidRPr="00B4623F">
          <w:rPr>
            <w:rFonts w:ascii="Times New Roman" w:hAnsi="Times New Roman" w:cs="Times New Roman"/>
            <w:sz w:val="28"/>
            <w:szCs w:val="28"/>
            <w:lang w:val="en-US"/>
          </w:rPr>
          <w:t>Gonçalves M.S.</w:t>
        </w:r>
      </w:hyperlink>
      <w:r w:rsidR="00F14E91" w:rsidRPr="0049357A">
        <w:rPr>
          <w:rFonts w:ascii="Times New Roman" w:hAnsi="Times New Roman" w:cs="Times New Roman"/>
          <w:color w:val="000000" w:themeColor="text1"/>
          <w:sz w:val="28"/>
          <w:szCs w:val="28"/>
          <w:lang w:val="en-US"/>
        </w:rPr>
        <w:t>, </w:t>
      </w:r>
      <w:hyperlink r:id="rId239" w:tooltip="Marcia Carvalho de Azevedo" w:history="1">
        <w:r w:rsidR="00F14E91" w:rsidRPr="00B4623F">
          <w:rPr>
            <w:rFonts w:ascii="Times New Roman" w:hAnsi="Times New Roman" w:cs="Times New Roman"/>
            <w:sz w:val="28"/>
            <w:szCs w:val="28"/>
            <w:lang w:val="en-US"/>
          </w:rPr>
          <w:t xml:space="preserve">Azevedo </w:t>
        </w:r>
        <w:proofErr w:type="spellStart"/>
        <w:r w:rsidR="00F14E91" w:rsidRPr="00B4623F">
          <w:rPr>
            <w:rFonts w:ascii="Times New Roman" w:hAnsi="Times New Roman" w:cs="Times New Roman"/>
            <w:sz w:val="28"/>
            <w:szCs w:val="28"/>
            <w:lang w:val="en-US"/>
          </w:rPr>
          <w:t>M.C.d</w:t>
        </w:r>
        <w:proofErr w:type="spellEnd"/>
        <w:r w:rsidR="00F14E91" w:rsidRPr="00B4623F">
          <w:rPr>
            <w:rFonts w:ascii="Times New Roman" w:hAnsi="Times New Roman" w:cs="Times New Roman"/>
            <w:sz w:val="28"/>
            <w:szCs w:val="28"/>
            <w:lang w:val="en-US"/>
          </w:rPr>
          <w:t>.</w:t>
        </w:r>
      </w:hyperlink>
      <w:r w:rsidR="00F14E91" w:rsidRPr="0049357A">
        <w:rPr>
          <w:rFonts w:ascii="Times New Roman" w:hAnsi="Times New Roman" w:cs="Times New Roman"/>
          <w:color w:val="000000" w:themeColor="text1"/>
          <w:sz w:val="28"/>
          <w:szCs w:val="28"/>
          <w:lang w:val="en-US"/>
        </w:rPr>
        <w:t xml:space="preserve">, </w:t>
      </w:r>
      <w:hyperlink r:id="rId240" w:tooltip="Roberto Coda" w:history="1">
        <w:r w:rsidR="00F14E91" w:rsidRPr="00B4623F">
          <w:rPr>
            <w:rFonts w:ascii="Times New Roman" w:hAnsi="Times New Roman" w:cs="Times New Roman"/>
            <w:sz w:val="28"/>
            <w:szCs w:val="28"/>
            <w:lang w:val="en-US"/>
          </w:rPr>
          <w:t>Coda R.</w:t>
        </w:r>
      </w:hyperlink>
      <w:r w:rsidR="00F14E91" w:rsidRPr="0049357A">
        <w:rPr>
          <w:rFonts w:ascii="Times New Roman" w:hAnsi="Times New Roman" w:cs="Times New Roman"/>
          <w:color w:val="000000" w:themeColor="text1"/>
          <w:sz w:val="28"/>
          <w:szCs w:val="28"/>
          <w:lang w:val="en-US"/>
        </w:rPr>
        <w:t> Socially responsible teaching of entrepreneurship: exploring the unfavorable aspects of entrepreneurial action //</w:t>
      </w:r>
      <w:hyperlink r:id="rId241" w:history="1">
        <w:r w:rsidR="00F14E91" w:rsidRPr="00B4623F">
          <w:rPr>
            <w:rFonts w:ascii="Times New Roman" w:hAnsi="Times New Roman" w:cs="Times New Roman"/>
            <w:sz w:val="28"/>
            <w:szCs w:val="28"/>
            <w:lang w:val="en-US"/>
          </w:rPr>
          <w:t>International Journal of Entrepreneurial Behavior &amp; Research</w:t>
        </w:r>
      </w:hyperlink>
      <w:r w:rsidR="00F14E91" w:rsidRPr="0049357A">
        <w:rPr>
          <w:rFonts w:ascii="Times New Roman" w:hAnsi="Times New Roman" w:cs="Times New Roman"/>
          <w:color w:val="000000" w:themeColor="text1"/>
          <w:sz w:val="28"/>
          <w:szCs w:val="28"/>
          <w:lang w:val="en-US"/>
        </w:rPr>
        <w:t xml:space="preserve"> . – 2024. – Vol.27, №8. – P.1958-1982. </w:t>
      </w:r>
      <w:r w:rsidR="00F14E91" w:rsidRPr="00B4623F">
        <w:rPr>
          <w:rFonts w:ascii="Times New Roman" w:hAnsi="Times New Roman" w:cs="Times New Roman"/>
          <w:sz w:val="28"/>
          <w:szCs w:val="28"/>
          <w:lang w:val="en-US"/>
        </w:rPr>
        <w:t xml:space="preserve"> </w:t>
      </w:r>
    </w:p>
    <w:p w14:paraId="721E6064" w14:textId="77777777" w:rsidR="00F14E91" w:rsidRPr="00B4623F" w:rsidRDefault="00F14E91" w:rsidP="00015249">
      <w:pPr>
        <w:pStyle w:val="af"/>
        <w:numPr>
          <w:ilvl w:val="0"/>
          <w:numId w:val="34"/>
        </w:numPr>
        <w:ind w:left="0" w:firstLine="709"/>
        <w:jc w:val="both"/>
        <w:rPr>
          <w:rFonts w:ascii="Times New Roman" w:hAnsi="Times New Roman" w:cs="Times New Roman"/>
          <w:sz w:val="28"/>
          <w:szCs w:val="28"/>
          <w:lang w:val="en-US"/>
        </w:rPr>
      </w:pPr>
      <w:proofErr w:type="spellStart"/>
      <w:r w:rsidRPr="00B4623F">
        <w:rPr>
          <w:rFonts w:ascii="Times New Roman" w:hAnsi="Times New Roman" w:cs="Times New Roman"/>
          <w:sz w:val="28"/>
          <w:szCs w:val="28"/>
          <w:lang w:val="en-US"/>
        </w:rPr>
        <w:t>Ziemiański</w:t>
      </w:r>
      <w:proofErr w:type="spellEnd"/>
      <w:r w:rsidRPr="00B4623F">
        <w:rPr>
          <w:rFonts w:ascii="Times New Roman" w:hAnsi="Times New Roman" w:cs="Times New Roman"/>
          <w:sz w:val="28"/>
          <w:szCs w:val="28"/>
          <w:lang w:val="en-US"/>
        </w:rPr>
        <w:t xml:space="preserve"> P., </w:t>
      </w:r>
      <w:proofErr w:type="spellStart"/>
      <w:r w:rsidRPr="00B4623F">
        <w:rPr>
          <w:rFonts w:ascii="Times New Roman" w:hAnsi="Times New Roman" w:cs="Times New Roman"/>
          <w:sz w:val="28"/>
          <w:szCs w:val="28"/>
          <w:lang w:val="en-US"/>
        </w:rPr>
        <w:t>Golik</w:t>
      </w:r>
      <w:proofErr w:type="spellEnd"/>
      <w:r w:rsidRPr="00B4623F">
        <w:rPr>
          <w:rFonts w:ascii="Times New Roman" w:hAnsi="Times New Roman" w:cs="Times New Roman"/>
          <w:sz w:val="28"/>
          <w:szCs w:val="28"/>
          <w:lang w:val="en-US"/>
        </w:rPr>
        <w:t xml:space="preserve"> J. Including the Dark Side of Entrepreneurship in the Entrepreneurship Education // Education Sciences. – 2020. – Vol.10, №8. –26 </w:t>
      </w:r>
      <w:r w:rsidRPr="0049357A">
        <w:rPr>
          <w:rFonts w:ascii="Times New Roman" w:hAnsi="Times New Roman" w:cs="Times New Roman"/>
          <w:sz w:val="28"/>
          <w:szCs w:val="28"/>
          <w:lang w:val="en-US"/>
        </w:rPr>
        <w:t>р</w:t>
      </w:r>
      <w:r w:rsidRPr="00B4623F">
        <w:rPr>
          <w:rFonts w:ascii="Times New Roman" w:hAnsi="Times New Roman" w:cs="Times New Roman"/>
          <w:sz w:val="28"/>
          <w:szCs w:val="28"/>
          <w:lang w:val="en-US"/>
        </w:rPr>
        <w:t xml:space="preserve">. </w:t>
      </w:r>
    </w:p>
    <w:p w14:paraId="1264CE4C" w14:textId="77777777" w:rsidR="00F14E91" w:rsidRPr="00B4623F" w:rsidRDefault="00F14E91" w:rsidP="00015249">
      <w:pPr>
        <w:pStyle w:val="af"/>
        <w:numPr>
          <w:ilvl w:val="0"/>
          <w:numId w:val="34"/>
        </w:numPr>
        <w:ind w:left="0" w:firstLine="709"/>
        <w:jc w:val="both"/>
        <w:rPr>
          <w:rFonts w:ascii="Times New Roman" w:hAnsi="Times New Roman" w:cs="Times New Roman"/>
          <w:sz w:val="28"/>
          <w:szCs w:val="28"/>
          <w:lang w:val="en-US"/>
        </w:rPr>
      </w:pPr>
      <w:proofErr w:type="spellStart"/>
      <w:r w:rsidRPr="00B4623F">
        <w:rPr>
          <w:rFonts w:ascii="Times New Roman" w:hAnsi="Times New Roman" w:cs="Times New Roman"/>
          <w:sz w:val="28"/>
          <w:szCs w:val="28"/>
          <w:lang w:val="en-US"/>
        </w:rPr>
        <w:t>Crosina</w:t>
      </w:r>
      <w:proofErr w:type="spellEnd"/>
      <w:r w:rsidRPr="00B4623F">
        <w:rPr>
          <w:rFonts w:ascii="Times New Roman" w:hAnsi="Times New Roman" w:cs="Times New Roman"/>
          <w:sz w:val="28"/>
          <w:szCs w:val="28"/>
          <w:lang w:val="en-US"/>
        </w:rPr>
        <w:t xml:space="preserve"> E., Frey E., Corbett A., Greenberg D. From Negative Emotions to Entrepreneurial Mindset: A Model of Learning through Experiential Entrepreneurship Education //</w:t>
      </w:r>
      <w:r w:rsidRPr="0049357A">
        <w:rPr>
          <w:rFonts w:ascii="Times New Roman" w:hAnsi="Times New Roman" w:cs="Times New Roman"/>
          <w:color w:val="000000" w:themeColor="text1"/>
          <w:sz w:val="28"/>
          <w:szCs w:val="28"/>
          <w:lang w:val="en-US"/>
        </w:rPr>
        <w:t xml:space="preserve"> Academy of Management Learning and Education</w:t>
      </w:r>
      <w:r w:rsidRPr="00B4623F">
        <w:rPr>
          <w:rFonts w:ascii="Times New Roman" w:hAnsi="Times New Roman" w:cs="Times New Roman"/>
          <w:sz w:val="28"/>
          <w:szCs w:val="28"/>
          <w:lang w:val="en-US"/>
        </w:rPr>
        <w:t>. – 2023. – Vol.23, №1. – P.88-127.</w:t>
      </w:r>
    </w:p>
    <w:p w14:paraId="404AF7BA"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Voldsund</w:t>
      </w:r>
      <w:proofErr w:type="spellEnd"/>
      <w:r w:rsidRPr="0049357A">
        <w:rPr>
          <w:rFonts w:ascii="Times New Roman" w:hAnsi="Times New Roman" w:cs="Times New Roman"/>
          <w:color w:val="000000" w:themeColor="text1"/>
          <w:sz w:val="28"/>
          <w:szCs w:val="28"/>
          <w:lang w:val="en-US"/>
        </w:rPr>
        <w:t xml:space="preserve"> K., </w:t>
      </w:r>
      <w:proofErr w:type="spellStart"/>
      <w:r w:rsidRPr="0049357A">
        <w:rPr>
          <w:rFonts w:ascii="Times New Roman" w:hAnsi="Times New Roman" w:cs="Times New Roman"/>
          <w:color w:val="000000" w:themeColor="text1"/>
          <w:sz w:val="28"/>
          <w:szCs w:val="28"/>
          <w:lang w:val="en-US"/>
        </w:rPr>
        <w:t>Bragelien</w:t>
      </w:r>
      <w:proofErr w:type="spellEnd"/>
      <w:r w:rsidRPr="0049357A">
        <w:rPr>
          <w:rFonts w:ascii="Times New Roman" w:hAnsi="Times New Roman" w:cs="Times New Roman"/>
          <w:color w:val="000000" w:themeColor="text1"/>
          <w:sz w:val="28"/>
          <w:szCs w:val="28"/>
          <w:lang w:val="en-US"/>
        </w:rPr>
        <w:t xml:space="preserve"> J. How do students respond to use of student mentoring in an entrepreneurship course? // </w:t>
      </w:r>
      <w:hyperlink r:id="rId242" w:history="1">
        <w:r w:rsidRPr="00B4623F">
          <w:rPr>
            <w:rFonts w:ascii="Times New Roman" w:hAnsi="Times New Roman" w:cs="Times New Roman"/>
            <w:sz w:val="28"/>
            <w:szCs w:val="28"/>
            <w:lang w:val="en-US"/>
          </w:rPr>
          <w:t>INTED2017 Proceedings</w:t>
        </w:r>
      </w:hyperlink>
      <w:r w:rsidRPr="0049357A">
        <w:rPr>
          <w:rFonts w:ascii="Times New Roman" w:hAnsi="Times New Roman" w:cs="Times New Roman"/>
          <w:color w:val="000000" w:themeColor="text1"/>
          <w:sz w:val="28"/>
          <w:szCs w:val="28"/>
          <w:lang w:val="en-US"/>
        </w:rPr>
        <w:t xml:space="preserve">. – Valencia: IATED, 2017. – P. 5972-5980. </w:t>
      </w:r>
    </w:p>
    <w:p w14:paraId="170E644D"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Hull C. L. The goal-gradient hypothesis and maze learning // Psychological Review. – 1932. – Vol.39, №1. – P.25–43.  </w:t>
      </w:r>
    </w:p>
    <w:p w14:paraId="1E2AADA0"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Heilizer</w:t>
      </w:r>
      <w:proofErr w:type="spellEnd"/>
      <w:r w:rsidRPr="0049357A">
        <w:rPr>
          <w:rFonts w:ascii="Times New Roman" w:hAnsi="Times New Roman" w:cs="Times New Roman"/>
          <w:color w:val="000000" w:themeColor="text1"/>
          <w:sz w:val="28"/>
          <w:szCs w:val="28"/>
          <w:lang w:val="en-US"/>
        </w:rPr>
        <w:t xml:space="preserve"> F. A review of theory and research on Miller's response competition (conflict) models // Journal of General Psychology. – 1977. – Vol.97, №2. – P.227–280.  </w:t>
      </w:r>
    </w:p>
    <w:p w14:paraId="665389D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Emanuel A., </w:t>
      </w:r>
      <w:proofErr w:type="spellStart"/>
      <w:r w:rsidRPr="0049357A">
        <w:rPr>
          <w:rFonts w:ascii="Times New Roman" w:hAnsi="Times New Roman" w:cs="Times New Roman"/>
          <w:color w:val="000000" w:themeColor="text1"/>
          <w:sz w:val="28"/>
          <w:szCs w:val="28"/>
          <w:lang w:val="en-US"/>
        </w:rPr>
        <w:t>Katzir</w:t>
      </w:r>
      <w:proofErr w:type="spellEnd"/>
      <w:r w:rsidRPr="0049357A">
        <w:rPr>
          <w:rFonts w:ascii="Times New Roman" w:hAnsi="Times New Roman" w:cs="Times New Roman"/>
          <w:color w:val="000000" w:themeColor="text1"/>
          <w:sz w:val="28"/>
          <w:szCs w:val="28"/>
          <w:lang w:val="en-US"/>
        </w:rPr>
        <w:t xml:space="preserve"> M., Liberman N. Why do people increase effort near a deadline? An opportunity-cost model of goal gradients // Journal of Experimental Psychology: General. – 2022. – Vol.151, №11. – P.2910–2926.</w:t>
      </w:r>
    </w:p>
    <w:p w14:paraId="2DDB2E0F"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Bonezzi</w:t>
      </w:r>
      <w:proofErr w:type="spellEnd"/>
      <w:r w:rsidRPr="0049357A">
        <w:rPr>
          <w:rFonts w:ascii="Times New Roman" w:hAnsi="Times New Roman" w:cs="Times New Roman"/>
          <w:color w:val="000000" w:themeColor="text1"/>
          <w:sz w:val="28"/>
          <w:szCs w:val="28"/>
          <w:lang w:val="en-US"/>
        </w:rPr>
        <w:t xml:space="preserve"> A.</w:t>
      </w:r>
      <w:proofErr w:type="gramStart"/>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Brendl</w:t>
      </w:r>
      <w:proofErr w:type="spellEnd"/>
      <w:proofErr w:type="gramEnd"/>
      <w:r w:rsidRPr="0049357A">
        <w:rPr>
          <w:rFonts w:ascii="Times New Roman" w:hAnsi="Times New Roman" w:cs="Times New Roman"/>
          <w:color w:val="000000" w:themeColor="text1"/>
          <w:sz w:val="28"/>
          <w:szCs w:val="28"/>
          <w:lang w:val="en-US"/>
        </w:rPr>
        <w:t xml:space="preserve"> C., </w:t>
      </w:r>
      <w:proofErr w:type="spellStart"/>
      <w:r w:rsidRPr="0049357A">
        <w:rPr>
          <w:rFonts w:ascii="Times New Roman" w:hAnsi="Times New Roman" w:cs="Times New Roman"/>
          <w:color w:val="000000" w:themeColor="text1"/>
          <w:sz w:val="28"/>
          <w:szCs w:val="28"/>
          <w:lang w:val="en-US"/>
        </w:rPr>
        <w:t>Deangelis</w:t>
      </w:r>
      <w:proofErr w:type="spellEnd"/>
      <w:r w:rsidRPr="0049357A">
        <w:rPr>
          <w:rFonts w:ascii="Times New Roman" w:hAnsi="Times New Roman" w:cs="Times New Roman"/>
          <w:color w:val="000000" w:themeColor="text1"/>
          <w:sz w:val="28"/>
          <w:szCs w:val="28"/>
          <w:lang w:val="en-US"/>
        </w:rPr>
        <w:t xml:space="preserve"> M. Stuck in the Middle: The Psychophysics of Goal Pursuit // Psychological science. – 2011. – Vol.22. – P.607-12. </w:t>
      </w:r>
    </w:p>
    <w:p w14:paraId="4C82B716"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lastRenderedPageBreak/>
        <w:t>Cryder</w:t>
      </w:r>
      <w:proofErr w:type="spellEnd"/>
      <w:r w:rsidRPr="0049357A">
        <w:rPr>
          <w:rFonts w:ascii="Times New Roman" w:hAnsi="Times New Roman" w:cs="Times New Roman"/>
          <w:color w:val="000000" w:themeColor="text1"/>
          <w:sz w:val="28"/>
          <w:szCs w:val="28"/>
          <w:lang w:val="en-US"/>
        </w:rPr>
        <w:t xml:space="preserve"> C.A., Loewenstein G., </w:t>
      </w:r>
      <w:proofErr w:type="spellStart"/>
      <w:r w:rsidRPr="0049357A">
        <w:rPr>
          <w:rFonts w:ascii="Times New Roman" w:hAnsi="Times New Roman" w:cs="Times New Roman"/>
          <w:color w:val="000000" w:themeColor="text1"/>
          <w:sz w:val="28"/>
          <w:szCs w:val="28"/>
          <w:lang w:val="en-US"/>
        </w:rPr>
        <w:t>Seltman</w:t>
      </w:r>
      <w:proofErr w:type="spellEnd"/>
      <w:r w:rsidRPr="0049357A">
        <w:rPr>
          <w:rFonts w:ascii="Times New Roman" w:hAnsi="Times New Roman" w:cs="Times New Roman"/>
          <w:color w:val="000000" w:themeColor="text1"/>
          <w:sz w:val="28"/>
          <w:szCs w:val="28"/>
          <w:lang w:val="en-US"/>
        </w:rPr>
        <w:t xml:space="preserve"> H. Goal gradient in helping behavior // Journal of Experimental Social Psychology. – 2013. – Vol.49, №6. – P.1078-1083.</w:t>
      </w:r>
    </w:p>
    <w:p w14:paraId="4DB6A554"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Förster</w:t>
      </w:r>
      <w:proofErr w:type="spellEnd"/>
      <w:r w:rsidRPr="0049357A">
        <w:rPr>
          <w:rFonts w:ascii="Times New Roman" w:hAnsi="Times New Roman" w:cs="Times New Roman"/>
          <w:color w:val="000000" w:themeColor="text1"/>
          <w:sz w:val="28"/>
          <w:szCs w:val="28"/>
          <w:lang w:val="en-US"/>
        </w:rPr>
        <w:t xml:space="preserve"> J., Higgins E. T., </w:t>
      </w:r>
      <w:proofErr w:type="spellStart"/>
      <w:r w:rsidRPr="0049357A">
        <w:rPr>
          <w:rFonts w:ascii="Times New Roman" w:hAnsi="Times New Roman" w:cs="Times New Roman"/>
          <w:color w:val="000000" w:themeColor="text1"/>
          <w:sz w:val="28"/>
          <w:szCs w:val="28"/>
          <w:lang w:val="en-US"/>
        </w:rPr>
        <w:t>Idson</w:t>
      </w:r>
      <w:proofErr w:type="spellEnd"/>
      <w:r w:rsidRPr="0049357A">
        <w:rPr>
          <w:rFonts w:ascii="Times New Roman" w:hAnsi="Times New Roman" w:cs="Times New Roman"/>
          <w:color w:val="000000" w:themeColor="text1"/>
          <w:sz w:val="28"/>
          <w:szCs w:val="28"/>
          <w:lang w:val="en-US"/>
        </w:rPr>
        <w:t xml:space="preserve"> L. C. Approach and avoidance strength during goal attainment: Regulatory focus and the "goal looms larger" effect // Journal of Personality and Social Psychology. – 1998. – Vol.75,</w:t>
      </w:r>
      <w:r w:rsidRPr="00B4623F">
        <w:rPr>
          <w:rFonts w:ascii="Times New Roman" w:hAnsi="Times New Roman" w:cs="Times New Roman"/>
          <w:sz w:val="28"/>
          <w:szCs w:val="28"/>
          <w:lang w:val="en-US"/>
        </w:rPr>
        <w:t xml:space="preserve"> №</w:t>
      </w:r>
      <w:r w:rsidRPr="0049357A">
        <w:rPr>
          <w:rFonts w:ascii="Times New Roman" w:hAnsi="Times New Roman" w:cs="Times New Roman"/>
          <w:color w:val="000000" w:themeColor="text1"/>
          <w:sz w:val="28"/>
          <w:szCs w:val="28"/>
          <w:lang w:val="en-US"/>
        </w:rPr>
        <w:t xml:space="preserve">5. – P.1115–1131. </w:t>
      </w:r>
    </w:p>
    <w:p w14:paraId="72F1554A"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Frost J.P., Mahoney T.A. Goal setting and the task process: I. An interactive influence on individual performance // Organizational Behavior and Human Performance. – 1976. – Vol.17, №2. – P.328-350.</w:t>
      </w:r>
    </w:p>
    <w:p w14:paraId="2F61E68E"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Losco</w:t>
      </w:r>
      <w:proofErr w:type="spellEnd"/>
      <w:r w:rsidRPr="0049357A">
        <w:rPr>
          <w:rFonts w:ascii="Times New Roman" w:hAnsi="Times New Roman" w:cs="Times New Roman"/>
          <w:color w:val="000000" w:themeColor="text1"/>
          <w:sz w:val="28"/>
          <w:szCs w:val="28"/>
          <w:lang w:val="en-US"/>
        </w:rPr>
        <w:t xml:space="preserve"> J.</w:t>
      </w:r>
      <w:proofErr w:type="gramStart"/>
      <w:r w:rsidRPr="0049357A">
        <w:rPr>
          <w:rFonts w:ascii="Times New Roman" w:hAnsi="Times New Roman" w:cs="Times New Roman"/>
          <w:color w:val="000000" w:themeColor="text1"/>
          <w:sz w:val="28"/>
          <w:szCs w:val="28"/>
          <w:lang w:val="en-US"/>
        </w:rPr>
        <w:t>,  Epstein</w:t>
      </w:r>
      <w:proofErr w:type="gramEnd"/>
      <w:r w:rsidRPr="0049357A">
        <w:rPr>
          <w:rFonts w:ascii="Times New Roman" w:hAnsi="Times New Roman" w:cs="Times New Roman"/>
          <w:color w:val="000000" w:themeColor="text1"/>
          <w:sz w:val="28"/>
          <w:szCs w:val="28"/>
          <w:lang w:val="en-US"/>
        </w:rPr>
        <w:t xml:space="preserve"> S. Relative steepness of approach and avoidance gradients as a function of magnitude and valence of incentive // Journal of Abnormal Psychology. – 1977. – Vol.86, №4. – P.360–368. </w:t>
      </w:r>
    </w:p>
    <w:p w14:paraId="59D69400"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Miller N. E. Experimental studies of conflict behavior / In J. </w:t>
      </w:r>
      <w:proofErr w:type="spellStart"/>
      <w:r w:rsidRPr="0049357A">
        <w:rPr>
          <w:rFonts w:ascii="Times New Roman" w:hAnsi="Times New Roman" w:cs="Times New Roman"/>
          <w:color w:val="000000" w:themeColor="text1"/>
          <w:sz w:val="28"/>
          <w:szCs w:val="28"/>
          <w:lang w:val="en-US"/>
        </w:rPr>
        <w:t>McV</w:t>
      </w:r>
      <w:proofErr w:type="spellEnd"/>
      <w:r w:rsidRPr="0049357A">
        <w:rPr>
          <w:rFonts w:ascii="Times New Roman" w:hAnsi="Times New Roman" w:cs="Times New Roman"/>
          <w:color w:val="000000" w:themeColor="text1"/>
          <w:sz w:val="28"/>
          <w:szCs w:val="28"/>
          <w:lang w:val="en-US"/>
        </w:rPr>
        <w:t xml:space="preserve">. Hunt (Ed.), Personality and behavior disorders. - New York: Ronald Press., 1944. – P.431-465.  </w:t>
      </w:r>
    </w:p>
    <w:p w14:paraId="17F8A99B"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Miller N. E. Liberalization of basic S-R concepts: Extensions to conflict behavior, motivation and social learning / In S. Koch (Ed.), Psychology: A study of a science, Study 1. - New York: McGraw-Hill., 1959. – P. 196-292.</w:t>
      </w:r>
    </w:p>
    <w:p w14:paraId="398F5E79"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Song T. H., Kim S. Y., Ko W. L. Developing an Effective Loyalty Program Using Goal-Gradient Behavior in Tourism Industry // Journal of Travel &amp; Tourism Marketing. – 2016. – Vol.34, №1. – P.70–81.</w:t>
      </w:r>
    </w:p>
    <w:p w14:paraId="4C282684"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Cheema A.</w:t>
      </w:r>
      <w:proofErr w:type="gramStart"/>
      <w:r w:rsidRPr="0049357A">
        <w:rPr>
          <w:rFonts w:ascii="Times New Roman" w:hAnsi="Times New Roman" w:cs="Times New Roman"/>
          <w:color w:val="000000" w:themeColor="text1"/>
          <w:sz w:val="28"/>
          <w:szCs w:val="28"/>
          <w:lang w:val="en-US"/>
        </w:rPr>
        <w:t xml:space="preserve">,  </w:t>
      </w:r>
      <w:proofErr w:type="spellStart"/>
      <w:r w:rsidRPr="0049357A">
        <w:rPr>
          <w:rFonts w:ascii="Times New Roman" w:hAnsi="Times New Roman" w:cs="Times New Roman"/>
          <w:color w:val="000000" w:themeColor="text1"/>
          <w:sz w:val="28"/>
          <w:szCs w:val="28"/>
          <w:lang w:val="en-US"/>
        </w:rPr>
        <w:t>Bagchi</w:t>
      </w:r>
      <w:proofErr w:type="spellEnd"/>
      <w:proofErr w:type="gramEnd"/>
      <w:r w:rsidRPr="0049357A">
        <w:rPr>
          <w:rFonts w:ascii="Times New Roman" w:hAnsi="Times New Roman" w:cs="Times New Roman"/>
          <w:color w:val="000000" w:themeColor="text1"/>
          <w:sz w:val="28"/>
          <w:szCs w:val="28"/>
          <w:lang w:val="en-US"/>
        </w:rPr>
        <w:t xml:space="preserve"> R. The Effect of Goal Visualization on Goal Pursuit: Implications for Consumers and Managers // Journal of Marketing. – 2011. – Vol.75, №2. – P.109-123. </w:t>
      </w:r>
    </w:p>
    <w:p w14:paraId="3B5A78A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Lim S. F. W. T., Wang Q., Webster S. Do it right the first time: Vehicle routing with home delivery attempt predictors // Production and Operations Management. – 2023. – Vol.32, №4. – P.1262-1284. </w:t>
      </w:r>
    </w:p>
    <w:p w14:paraId="18D2C129" w14:textId="77777777" w:rsidR="00F14E91" w:rsidRPr="00B4623F" w:rsidRDefault="00F14E91" w:rsidP="00015249">
      <w:pPr>
        <w:pStyle w:val="af"/>
        <w:numPr>
          <w:ilvl w:val="0"/>
          <w:numId w:val="34"/>
        </w:numPr>
        <w:ind w:left="0" w:firstLine="709"/>
        <w:jc w:val="both"/>
        <w:rPr>
          <w:rFonts w:ascii="Times New Roman" w:hAnsi="Times New Roman" w:cs="Times New Roman"/>
          <w:color w:val="000000" w:themeColor="text1"/>
          <w:sz w:val="28"/>
          <w:szCs w:val="28"/>
        </w:rPr>
      </w:pPr>
      <w:r w:rsidRPr="0049357A">
        <w:rPr>
          <w:rFonts w:ascii="Times New Roman" w:hAnsi="Times New Roman" w:cs="Times New Roman"/>
          <w:color w:val="000000" w:themeColor="text1"/>
          <w:sz w:val="28"/>
          <w:szCs w:val="28"/>
          <w:lang w:val="en-US"/>
        </w:rPr>
        <w:t xml:space="preserve">Hogan C. How Uber Leverages Applied </w:t>
      </w:r>
      <w:proofErr w:type="spellStart"/>
      <w:r w:rsidRPr="0049357A">
        <w:rPr>
          <w:rFonts w:ascii="Times New Roman" w:hAnsi="Times New Roman" w:cs="Times New Roman"/>
          <w:color w:val="000000" w:themeColor="text1"/>
          <w:sz w:val="28"/>
          <w:szCs w:val="28"/>
          <w:lang w:val="en-US"/>
        </w:rPr>
        <w:t>Behaviroal</w:t>
      </w:r>
      <w:proofErr w:type="spellEnd"/>
      <w:r w:rsidRPr="0049357A">
        <w:rPr>
          <w:rFonts w:ascii="Times New Roman" w:hAnsi="Times New Roman" w:cs="Times New Roman"/>
          <w:color w:val="000000" w:themeColor="text1"/>
          <w:sz w:val="28"/>
          <w:szCs w:val="28"/>
          <w:lang w:val="en-US"/>
        </w:rPr>
        <w:t xml:space="preserve"> Science at Scale” Uber blog. </w:t>
      </w:r>
      <w:hyperlink r:id="rId243" w:history="1">
        <w:r w:rsidRPr="0049357A">
          <w:rPr>
            <w:rFonts w:ascii="Times New Roman" w:hAnsi="Times New Roman" w:cs="Times New Roman"/>
            <w:sz w:val="28"/>
            <w:szCs w:val="28"/>
            <w:lang w:val="en-US"/>
          </w:rPr>
          <w:t>https</w:t>
        </w:r>
        <w:r w:rsidRPr="00B4623F">
          <w:rPr>
            <w:rFonts w:ascii="Times New Roman" w:hAnsi="Times New Roman" w:cs="Times New Roman"/>
            <w:sz w:val="28"/>
            <w:szCs w:val="28"/>
          </w:rPr>
          <w:t>://</w:t>
        </w:r>
        <w:r w:rsidRPr="0049357A">
          <w:rPr>
            <w:rFonts w:ascii="Times New Roman" w:hAnsi="Times New Roman" w:cs="Times New Roman"/>
            <w:sz w:val="28"/>
            <w:szCs w:val="28"/>
            <w:lang w:val="en-US"/>
          </w:rPr>
          <w:t>www</w:t>
        </w:r>
        <w:r w:rsidRPr="00B4623F">
          <w:rPr>
            <w:rFonts w:ascii="Times New Roman" w:hAnsi="Times New Roman" w:cs="Times New Roman"/>
            <w:sz w:val="28"/>
            <w:szCs w:val="28"/>
          </w:rPr>
          <w:t>.</w:t>
        </w:r>
        <w:r w:rsidRPr="0049357A">
          <w:rPr>
            <w:rFonts w:ascii="Times New Roman" w:hAnsi="Times New Roman" w:cs="Times New Roman"/>
            <w:sz w:val="28"/>
            <w:szCs w:val="28"/>
            <w:lang w:val="en-US"/>
          </w:rPr>
          <w:t>uber</w:t>
        </w:r>
        <w:r w:rsidRPr="00B4623F">
          <w:rPr>
            <w:rFonts w:ascii="Times New Roman" w:hAnsi="Times New Roman" w:cs="Times New Roman"/>
            <w:sz w:val="28"/>
            <w:szCs w:val="28"/>
          </w:rPr>
          <w:t>.</w:t>
        </w:r>
        <w:r w:rsidRPr="0049357A">
          <w:rPr>
            <w:rFonts w:ascii="Times New Roman" w:hAnsi="Times New Roman" w:cs="Times New Roman"/>
            <w:sz w:val="28"/>
            <w:szCs w:val="28"/>
            <w:lang w:val="en-US"/>
          </w:rPr>
          <w:t>com</w:t>
        </w:r>
        <w:r w:rsidRPr="00B4623F">
          <w:rPr>
            <w:rFonts w:ascii="Times New Roman" w:hAnsi="Times New Roman" w:cs="Times New Roman"/>
            <w:sz w:val="28"/>
            <w:szCs w:val="28"/>
          </w:rPr>
          <w:t>/</w:t>
        </w:r>
        <w:r w:rsidRPr="0049357A">
          <w:rPr>
            <w:rFonts w:ascii="Times New Roman" w:hAnsi="Times New Roman" w:cs="Times New Roman"/>
            <w:sz w:val="28"/>
            <w:szCs w:val="28"/>
            <w:lang w:val="en-US"/>
          </w:rPr>
          <w:t>blog</w:t>
        </w:r>
        <w:r w:rsidRPr="00B4623F">
          <w:rPr>
            <w:rFonts w:ascii="Times New Roman" w:hAnsi="Times New Roman" w:cs="Times New Roman"/>
            <w:sz w:val="28"/>
            <w:szCs w:val="28"/>
          </w:rPr>
          <w:t>/</w:t>
        </w:r>
        <w:r w:rsidRPr="0049357A">
          <w:rPr>
            <w:rFonts w:ascii="Times New Roman" w:hAnsi="Times New Roman" w:cs="Times New Roman"/>
            <w:sz w:val="28"/>
            <w:szCs w:val="28"/>
            <w:lang w:val="en-US"/>
          </w:rPr>
          <w:t>applied</w:t>
        </w:r>
        <w:r w:rsidRPr="00B4623F">
          <w:rPr>
            <w:rFonts w:ascii="Times New Roman" w:hAnsi="Times New Roman" w:cs="Times New Roman"/>
            <w:sz w:val="28"/>
            <w:szCs w:val="28"/>
          </w:rPr>
          <w:t>-</w:t>
        </w:r>
        <w:r w:rsidRPr="0049357A">
          <w:rPr>
            <w:rFonts w:ascii="Times New Roman" w:hAnsi="Times New Roman" w:cs="Times New Roman"/>
            <w:sz w:val="28"/>
            <w:szCs w:val="28"/>
            <w:lang w:val="en-US"/>
          </w:rPr>
          <w:t>behavioral</w:t>
        </w:r>
        <w:r w:rsidRPr="00B4623F">
          <w:rPr>
            <w:rFonts w:ascii="Times New Roman" w:hAnsi="Times New Roman" w:cs="Times New Roman"/>
            <w:sz w:val="28"/>
            <w:szCs w:val="28"/>
          </w:rPr>
          <w:t>-</w:t>
        </w:r>
        <w:r w:rsidRPr="0049357A">
          <w:rPr>
            <w:rFonts w:ascii="Times New Roman" w:hAnsi="Times New Roman" w:cs="Times New Roman"/>
            <w:sz w:val="28"/>
            <w:szCs w:val="28"/>
            <w:lang w:val="en-US"/>
          </w:rPr>
          <w:t>science</w:t>
        </w:r>
        <w:r w:rsidRPr="00B4623F">
          <w:rPr>
            <w:rFonts w:ascii="Times New Roman" w:hAnsi="Times New Roman" w:cs="Times New Roman"/>
            <w:sz w:val="28"/>
            <w:szCs w:val="28"/>
          </w:rPr>
          <w:t>-</w:t>
        </w:r>
        <w:r w:rsidRPr="0049357A">
          <w:rPr>
            <w:rFonts w:ascii="Times New Roman" w:hAnsi="Times New Roman" w:cs="Times New Roman"/>
            <w:sz w:val="28"/>
            <w:szCs w:val="28"/>
            <w:lang w:val="en-US"/>
          </w:rPr>
          <w:t>at</w:t>
        </w:r>
        <w:r w:rsidRPr="00B4623F">
          <w:rPr>
            <w:rFonts w:ascii="Times New Roman" w:hAnsi="Times New Roman" w:cs="Times New Roman"/>
            <w:sz w:val="28"/>
            <w:szCs w:val="28"/>
          </w:rPr>
          <w:t>-</w:t>
        </w:r>
        <w:r w:rsidRPr="0049357A">
          <w:rPr>
            <w:rFonts w:ascii="Times New Roman" w:hAnsi="Times New Roman" w:cs="Times New Roman"/>
            <w:sz w:val="28"/>
            <w:szCs w:val="28"/>
            <w:lang w:val="en-US"/>
          </w:rPr>
          <w:t>scale</w:t>
        </w:r>
        <w:r w:rsidRPr="00B4623F">
          <w:rPr>
            <w:rFonts w:ascii="Times New Roman" w:hAnsi="Times New Roman" w:cs="Times New Roman"/>
            <w:sz w:val="28"/>
            <w:szCs w:val="28"/>
          </w:rPr>
          <w:t>/</w:t>
        </w:r>
      </w:hyperlink>
      <w:r w:rsidRPr="00B4623F">
        <w:rPr>
          <w:rFonts w:ascii="Times New Roman" w:hAnsi="Times New Roman" w:cs="Times New Roman"/>
          <w:sz w:val="28"/>
          <w:szCs w:val="28"/>
        </w:rPr>
        <w:t xml:space="preserve">  </w:t>
      </w:r>
      <w:r w:rsidRPr="00B4623F">
        <w:rPr>
          <w:rFonts w:ascii="Times New Roman" w:hAnsi="Times New Roman" w:cs="Times New Roman"/>
          <w:color w:val="000000" w:themeColor="text1"/>
          <w:sz w:val="28"/>
          <w:szCs w:val="28"/>
        </w:rPr>
        <w:t>09.08.2024.</w:t>
      </w:r>
    </w:p>
    <w:p w14:paraId="6849015B"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Lu J., Bradlow E. T., Hutchinson J. W. Testing Theories of Goal Progress in Online Learning // Journal of Marketing Research. – 2022. – Vol.59, №1. – P.35-60. </w:t>
      </w:r>
    </w:p>
    <w:p w14:paraId="53C5FA7E"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Ziano</w:t>
      </w:r>
      <w:proofErr w:type="spellEnd"/>
      <w:r w:rsidRPr="0049357A">
        <w:rPr>
          <w:rFonts w:ascii="Times New Roman" w:hAnsi="Times New Roman" w:cs="Times New Roman"/>
          <w:color w:val="000000" w:themeColor="text1"/>
          <w:sz w:val="28"/>
          <w:szCs w:val="28"/>
          <w:lang w:val="en-US"/>
        </w:rPr>
        <w:t xml:space="preserve"> I., </w:t>
      </w:r>
      <w:proofErr w:type="spellStart"/>
      <w:r w:rsidRPr="0049357A">
        <w:rPr>
          <w:rFonts w:ascii="Times New Roman" w:hAnsi="Times New Roman" w:cs="Times New Roman"/>
          <w:color w:val="000000" w:themeColor="text1"/>
          <w:sz w:val="28"/>
          <w:szCs w:val="28"/>
          <w:lang w:val="en-US"/>
        </w:rPr>
        <w:t>Pandelaere</w:t>
      </w:r>
      <w:proofErr w:type="spellEnd"/>
      <w:r w:rsidRPr="0049357A">
        <w:rPr>
          <w:rFonts w:ascii="Times New Roman" w:hAnsi="Times New Roman" w:cs="Times New Roman"/>
          <w:color w:val="000000" w:themeColor="text1"/>
          <w:sz w:val="28"/>
          <w:szCs w:val="28"/>
          <w:lang w:val="en-US"/>
        </w:rPr>
        <w:t xml:space="preserve"> M. Late-action effect: Heightened counterfactual potency and perceived outcome reversibility make actions closer to a definitive outcome seem more causally impactful.  // Journal of Experimental Social Psychology. – 2022. – Vol.100. – P.42.</w:t>
      </w:r>
    </w:p>
    <w:p w14:paraId="6D2785F8"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Song T-H., Kim M., Ko W. The Application of the Goal-Gradient Hypothesis and the Temporal Construal Theory to Customer Loyalty Programs - Goal Gradient Hypothesis and Temporal Construal Theory // Asia Marketing Journal. – 2014. – Vol.16, №1. – P.1-12. </w:t>
      </w:r>
    </w:p>
    <w:p w14:paraId="204B5EE7"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InfoStride</w:t>
      </w:r>
      <w:proofErr w:type="spellEnd"/>
      <w:r w:rsidRPr="0049357A">
        <w:rPr>
          <w:rFonts w:ascii="Times New Roman" w:hAnsi="Times New Roman" w:cs="Times New Roman"/>
          <w:color w:val="000000" w:themeColor="text1"/>
          <w:sz w:val="28"/>
          <w:szCs w:val="28"/>
          <w:lang w:val="en-US"/>
        </w:rPr>
        <w:t xml:space="preserve"> Tech Hub. Coursera Business Model: Insights and Strategies for Building a Successful eLearning </w:t>
      </w:r>
      <w:proofErr w:type="spellStart"/>
      <w:r w:rsidRPr="0049357A">
        <w:rPr>
          <w:rFonts w:ascii="Times New Roman" w:hAnsi="Times New Roman" w:cs="Times New Roman"/>
          <w:color w:val="000000" w:themeColor="text1"/>
          <w:sz w:val="28"/>
          <w:szCs w:val="28"/>
          <w:lang w:val="en-US"/>
        </w:rPr>
        <w:t>Platfrom</w:t>
      </w:r>
      <w:proofErr w:type="spellEnd"/>
      <w:r w:rsidRPr="0049357A">
        <w:rPr>
          <w:rFonts w:ascii="Times New Roman" w:hAnsi="Times New Roman" w:cs="Times New Roman"/>
          <w:color w:val="000000" w:themeColor="text1"/>
          <w:sz w:val="28"/>
          <w:szCs w:val="28"/>
          <w:lang w:val="en-US"/>
        </w:rPr>
        <w:t xml:space="preserve">. </w:t>
      </w:r>
      <w:hyperlink r:id="rId244" w:history="1">
        <w:r w:rsidRPr="0049357A">
          <w:rPr>
            <w:rFonts w:ascii="Times New Roman" w:hAnsi="Times New Roman" w:cs="Times New Roman"/>
            <w:sz w:val="28"/>
            <w:szCs w:val="28"/>
            <w:lang w:val="en-US"/>
          </w:rPr>
          <w:t>https://infostride.com/coursera-business-model/</w:t>
        </w:r>
      </w:hyperlink>
      <w:r w:rsidRPr="0049357A">
        <w:rPr>
          <w:rFonts w:ascii="Times New Roman" w:hAnsi="Times New Roman" w:cs="Times New Roman"/>
          <w:color w:val="000000" w:themeColor="text1"/>
          <w:sz w:val="28"/>
          <w:szCs w:val="28"/>
          <w:lang w:val="en-US"/>
        </w:rPr>
        <w:t xml:space="preserve">  08.08.2024.</w:t>
      </w:r>
    </w:p>
    <w:p w14:paraId="0684754D"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lastRenderedPageBreak/>
        <w:t xml:space="preserve">Devine S., Roy M., </w:t>
      </w:r>
      <w:proofErr w:type="spellStart"/>
      <w:r w:rsidRPr="0049357A">
        <w:rPr>
          <w:rFonts w:ascii="Times New Roman" w:hAnsi="Times New Roman" w:cs="Times New Roman"/>
          <w:color w:val="000000" w:themeColor="text1"/>
          <w:sz w:val="28"/>
          <w:szCs w:val="28"/>
          <w:lang w:val="en-US"/>
        </w:rPr>
        <w:t>Beierholm</w:t>
      </w:r>
      <w:proofErr w:type="spellEnd"/>
      <w:r w:rsidRPr="0049357A">
        <w:rPr>
          <w:rFonts w:ascii="Times New Roman" w:hAnsi="Times New Roman" w:cs="Times New Roman"/>
          <w:color w:val="000000" w:themeColor="text1"/>
          <w:sz w:val="28"/>
          <w:szCs w:val="28"/>
          <w:lang w:val="en-US"/>
        </w:rPr>
        <w:t xml:space="preserve"> U., Otto A.R. Proximity to rewards modulates parameters of effortful control exertion // J Exp Psychol Gen. – 2024. – Vol.153, №5. – P.1257-1267. </w:t>
      </w:r>
    </w:p>
    <w:p w14:paraId="2294B2FD"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Bobková</w:t>
      </w:r>
      <w:proofErr w:type="spellEnd"/>
      <w:r w:rsidRPr="0049357A">
        <w:rPr>
          <w:rFonts w:ascii="Times New Roman" w:hAnsi="Times New Roman" w:cs="Times New Roman"/>
          <w:color w:val="000000" w:themeColor="text1"/>
          <w:sz w:val="28"/>
          <w:szCs w:val="28"/>
          <w:lang w:val="en-US"/>
        </w:rPr>
        <w:t xml:space="preserve"> M., </w:t>
      </w:r>
      <w:proofErr w:type="spellStart"/>
      <w:r w:rsidRPr="0049357A">
        <w:rPr>
          <w:rFonts w:ascii="Times New Roman" w:hAnsi="Times New Roman" w:cs="Times New Roman"/>
          <w:color w:val="000000" w:themeColor="text1"/>
          <w:sz w:val="28"/>
          <w:szCs w:val="28"/>
          <w:lang w:val="en-US"/>
        </w:rPr>
        <w:t>Lovaš</w:t>
      </w:r>
      <w:proofErr w:type="spellEnd"/>
      <w:r w:rsidRPr="0049357A">
        <w:rPr>
          <w:rFonts w:ascii="Times New Roman" w:hAnsi="Times New Roman" w:cs="Times New Roman"/>
          <w:color w:val="000000" w:themeColor="text1"/>
          <w:sz w:val="28"/>
          <w:szCs w:val="28"/>
          <w:lang w:val="en-US"/>
        </w:rPr>
        <w:t xml:space="preserve"> L. The goal gradient hypothesis: Does performance increase with proximity to goal when autonomy is low? // Current Psychology. – 2021. Vol.42, №5. – P.1103-1111.  </w:t>
      </w:r>
    </w:p>
    <w:p w14:paraId="3DA3473D"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Liberman N., </w:t>
      </w:r>
      <w:proofErr w:type="spellStart"/>
      <w:r w:rsidRPr="0049357A">
        <w:rPr>
          <w:rFonts w:ascii="Times New Roman" w:hAnsi="Times New Roman" w:cs="Times New Roman"/>
          <w:color w:val="000000" w:themeColor="text1"/>
          <w:sz w:val="28"/>
          <w:szCs w:val="28"/>
          <w:lang w:val="en-US"/>
        </w:rPr>
        <w:t>Förster</w:t>
      </w:r>
      <w:proofErr w:type="spellEnd"/>
      <w:r w:rsidRPr="0049357A">
        <w:rPr>
          <w:rFonts w:ascii="Times New Roman" w:hAnsi="Times New Roman" w:cs="Times New Roman"/>
          <w:color w:val="000000" w:themeColor="text1"/>
          <w:sz w:val="28"/>
          <w:szCs w:val="28"/>
          <w:lang w:val="en-US"/>
        </w:rPr>
        <w:t xml:space="preserve"> J. Expectancy, value and psychological distance: A new look at goal gradients // Social Cognition. – 2008. – Vol.</w:t>
      </w:r>
      <w:r w:rsidRPr="00B4623F">
        <w:rPr>
          <w:rFonts w:ascii="Times New Roman" w:hAnsi="Times New Roman" w:cs="Times New Roman"/>
          <w:sz w:val="28"/>
          <w:szCs w:val="28"/>
          <w:lang w:val="en-US"/>
        </w:rPr>
        <w:t>26</w:t>
      </w:r>
      <w:r w:rsidRPr="0049357A">
        <w:rPr>
          <w:rFonts w:ascii="Times New Roman" w:hAnsi="Times New Roman" w:cs="Times New Roman"/>
          <w:color w:val="000000" w:themeColor="text1"/>
          <w:sz w:val="28"/>
          <w:szCs w:val="28"/>
          <w:lang w:val="en-US"/>
        </w:rPr>
        <w:t>, №5. – P.515–533.</w:t>
      </w:r>
    </w:p>
    <w:p w14:paraId="3BF0B2E5"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Los R., </w:t>
      </w:r>
      <w:proofErr w:type="spellStart"/>
      <w:r w:rsidRPr="0049357A">
        <w:rPr>
          <w:rFonts w:ascii="Times New Roman" w:hAnsi="Times New Roman" w:cs="Times New Roman"/>
          <w:color w:val="000000" w:themeColor="text1"/>
          <w:sz w:val="28"/>
          <w:szCs w:val="28"/>
          <w:lang w:val="en-US"/>
        </w:rPr>
        <w:t>Schweinle</w:t>
      </w:r>
      <w:proofErr w:type="spellEnd"/>
      <w:r w:rsidRPr="0049357A">
        <w:rPr>
          <w:rFonts w:ascii="Times New Roman" w:hAnsi="Times New Roman" w:cs="Times New Roman"/>
          <w:color w:val="000000" w:themeColor="text1"/>
          <w:sz w:val="28"/>
          <w:szCs w:val="28"/>
          <w:lang w:val="en-US"/>
        </w:rPr>
        <w:t xml:space="preserve"> A. The interaction between student motivation and the instructional environment on academic outcome: a hierarchical linear model // Social Psychology of Education. – 2019. – Vol.22, №3. – P.471-500.  </w:t>
      </w:r>
    </w:p>
    <w:p w14:paraId="1C0BDCD3"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Kalita</w:t>
      </w:r>
      <w:proofErr w:type="spellEnd"/>
      <w:r w:rsidRPr="0049357A">
        <w:rPr>
          <w:rFonts w:ascii="Times New Roman" w:hAnsi="Times New Roman" w:cs="Times New Roman"/>
          <w:color w:val="000000" w:themeColor="text1"/>
          <w:sz w:val="28"/>
          <w:szCs w:val="28"/>
          <w:lang w:val="en-US"/>
        </w:rPr>
        <w:t xml:space="preserve"> R. Education and Motivation: How to Make Students Interested // IJFMR. – 2023. – Vol.5, №2. –4 р. </w:t>
      </w:r>
    </w:p>
    <w:p w14:paraId="0E23582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Rees-Jones A., </w:t>
      </w:r>
      <w:proofErr w:type="spellStart"/>
      <w:r w:rsidRPr="0049357A">
        <w:rPr>
          <w:rFonts w:ascii="Times New Roman" w:hAnsi="Times New Roman" w:cs="Times New Roman"/>
          <w:color w:val="000000" w:themeColor="text1"/>
          <w:sz w:val="28"/>
          <w:szCs w:val="28"/>
          <w:lang w:val="en-US"/>
        </w:rPr>
        <w:t>Shorrer</w:t>
      </w:r>
      <w:proofErr w:type="spellEnd"/>
      <w:r w:rsidRPr="0049357A">
        <w:rPr>
          <w:rFonts w:ascii="Times New Roman" w:hAnsi="Times New Roman" w:cs="Times New Roman"/>
          <w:color w:val="000000" w:themeColor="text1"/>
          <w:sz w:val="28"/>
          <w:szCs w:val="28"/>
          <w:lang w:val="en-US"/>
        </w:rPr>
        <w:t xml:space="preserve"> R.I. Behavioral Economics in Education Market Design: A Forward-Looking Review // </w:t>
      </w:r>
      <w:hyperlink r:id="rId245" w:history="1">
        <w:r w:rsidRPr="00B4623F">
          <w:rPr>
            <w:rFonts w:ascii="Times New Roman" w:hAnsi="Times New Roman" w:cs="Times New Roman"/>
            <w:sz w:val="28"/>
            <w:szCs w:val="28"/>
            <w:lang w:val="en-US"/>
          </w:rPr>
          <w:t>Journal of Political Economy Microeconomics</w:t>
        </w:r>
      </w:hyperlink>
      <w:r w:rsidRPr="0049357A">
        <w:rPr>
          <w:rFonts w:ascii="Times New Roman" w:hAnsi="Times New Roman" w:cs="Times New Roman"/>
          <w:color w:val="000000" w:themeColor="text1"/>
          <w:sz w:val="28"/>
          <w:szCs w:val="28"/>
          <w:lang w:val="en-US"/>
        </w:rPr>
        <w:t xml:space="preserve">. – 2023. – Vol.1, №3. – P.557-613. </w:t>
      </w:r>
    </w:p>
    <w:p w14:paraId="7CF8BCC8"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Vevere</w:t>
      </w:r>
      <w:proofErr w:type="spellEnd"/>
      <w:r w:rsidRPr="0049357A">
        <w:rPr>
          <w:rFonts w:ascii="Times New Roman" w:hAnsi="Times New Roman" w:cs="Times New Roman"/>
          <w:color w:val="000000" w:themeColor="text1"/>
          <w:sz w:val="28"/>
          <w:szCs w:val="28"/>
          <w:lang w:val="en-US"/>
        </w:rPr>
        <w:t xml:space="preserve"> V., Mons.  Applying </w:t>
      </w:r>
      <w:proofErr w:type="spellStart"/>
      <w:r w:rsidRPr="0049357A">
        <w:rPr>
          <w:rFonts w:ascii="Times New Roman" w:hAnsi="Times New Roman" w:cs="Times New Roman"/>
          <w:color w:val="000000" w:themeColor="text1"/>
          <w:sz w:val="28"/>
          <w:szCs w:val="28"/>
          <w:lang w:val="en-US"/>
        </w:rPr>
        <w:t>behavioural</w:t>
      </w:r>
      <w:proofErr w:type="spellEnd"/>
      <w:r w:rsidRPr="0049357A">
        <w:rPr>
          <w:rFonts w:ascii="Times New Roman" w:hAnsi="Times New Roman" w:cs="Times New Roman"/>
          <w:color w:val="000000" w:themeColor="text1"/>
          <w:sz w:val="28"/>
          <w:szCs w:val="28"/>
          <w:lang w:val="en-US"/>
        </w:rPr>
        <w:t xml:space="preserve"> economics in education: study of undergraduate practices of selecting higher educational institutions // SHS Web Conf 74. – Paris., 2020. –8 р.  </w:t>
      </w:r>
    </w:p>
    <w:p w14:paraId="6D6F39D7"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proofErr w:type="spellStart"/>
      <w:r w:rsidRPr="0049357A">
        <w:rPr>
          <w:rFonts w:ascii="Times New Roman" w:hAnsi="Times New Roman" w:cs="Times New Roman"/>
          <w:color w:val="000000" w:themeColor="text1"/>
          <w:sz w:val="28"/>
          <w:szCs w:val="28"/>
          <w:lang w:val="en-US"/>
        </w:rPr>
        <w:t>Breznitz</w:t>
      </w:r>
      <w:proofErr w:type="spellEnd"/>
      <w:r w:rsidRPr="0049357A">
        <w:rPr>
          <w:rFonts w:ascii="Times New Roman" w:hAnsi="Times New Roman" w:cs="Times New Roman"/>
          <w:color w:val="000000" w:themeColor="text1"/>
          <w:sz w:val="28"/>
          <w:szCs w:val="28"/>
          <w:lang w:val="en-US"/>
        </w:rPr>
        <w:t xml:space="preserve">, S. M., &amp; Zhang, Q. (2019). Fostering the growth of student start-ups from university accelerators: An entrepreneurial ecosystem perspective. Industrial and Corporate Change, 28(4), 855–873. </w:t>
      </w:r>
      <w:hyperlink r:id="rId246" w:tgtFrame="_new" w:history="1">
        <w:r w:rsidRPr="0049357A">
          <w:rPr>
            <w:rFonts w:ascii="Times New Roman" w:hAnsi="Times New Roman" w:cs="Times New Roman"/>
            <w:color w:val="000000" w:themeColor="text1"/>
            <w:sz w:val="28"/>
            <w:szCs w:val="28"/>
            <w:lang w:val="en-US"/>
          </w:rPr>
          <w:t>https://doi.org/10.1093/icc/dtz033</w:t>
        </w:r>
      </w:hyperlink>
      <w:r w:rsidRPr="0049357A">
        <w:rPr>
          <w:rFonts w:ascii="Times New Roman" w:hAnsi="Times New Roman" w:cs="Times New Roman"/>
          <w:color w:val="000000" w:themeColor="text1"/>
          <w:sz w:val="28"/>
          <w:szCs w:val="28"/>
          <w:lang w:val="en-US"/>
        </w:rPr>
        <w:t>​</w:t>
      </w:r>
    </w:p>
    <w:p w14:paraId="5F0AF09A"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Brush, C. G., Carter, N. M., Gatewood, E. J., Greene, P. G., &amp; Hart, M. M. (2004). Clearing the hurdles: Women building high-growth businesses. FT Press.​</w:t>
      </w:r>
    </w:p>
    <w:p w14:paraId="41BD3BC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Makai, A. L., &amp; </w:t>
      </w:r>
      <w:proofErr w:type="spellStart"/>
      <w:r w:rsidRPr="0049357A">
        <w:rPr>
          <w:rFonts w:ascii="Times New Roman" w:hAnsi="Times New Roman" w:cs="Times New Roman"/>
          <w:color w:val="000000" w:themeColor="text1"/>
          <w:sz w:val="28"/>
          <w:szCs w:val="28"/>
          <w:lang w:val="en-US"/>
        </w:rPr>
        <w:t>Dőry</w:t>
      </w:r>
      <w:proofErr w:type="spellEnd"/>
      <w:r w:rsidRPr="0049357A">
        <w:rPr>
          <w:rFonts w:ascii="Times New Roman" w:hAnsi="Times New Roman" w:cs="Times New Roman"/>
          <w:color w:val="000000" w:themeColor="text1"/>
          <w:sz w:val="28"/>
          <w:szCs w:val="28"/>
          <w:lang w:val="en-US"/>
        </w:rPr>
        <w:t xml:space="preserve">, T. (2023). Perceived university support and environment as a factor of entrepreneurial intention: Evidence from Western Transdanubia Region. PLOS ONE, 18(6), e0283850. </w:t>
      </w:r>
      <w:hyperlink r:id="rId247" w:tgtFrame="_new" w:history="1">
        <w:r w:rsidRPr="0049357A">
          <w:rPr>
            <w:rFonts w:ascii="Times New Roman" w:hAnsi="Times New Roman" w:cs="Times New Roman"/>
            <w:color w:val="000000" w:themeColor="text1"/>
            <w:sz w:val="28"/>
            <w:szCs w:val="28"/>
            <w:lang w:val="en-US"/>
          </w:rPr>
          <w:t>https://doi.org/10.1371/journal.pone.0283850</w:t>
        </w:r>
      </w:hyperlink>
      <w:r w:rsidRPr="0049357A">
        <w:rPr>
          <w:rFonts w:ascii="Times New Roman" w:hAnsi="Times New Roman" w:cs="Times New Roman"/>
          <w:color w:val="000000" w:themeColor="text1"/>
          <w:sz w:val="28"/>
          <w:szCs w:val="28"/>
          <w:lang w:val="en-US"/>
        </w:rPr>
        <w:t>​</w:t>
      </w:r>
      <w:hyperlink r:id="rId248" w:tgtFrame="_blank" w:history="1">
        <w:r w:rsidRPr="0049357A">
          <w:rPr>
            <w:rFonts w:ascii="Times New Roman" w:hAnsi="Times New Roman" w:cs="Times New Roman"/>
            <w:color w:val="000000" w:themeColor="text1"/>
            <w:sz w:val="28"/>
            <w:szCs w:val="28"/>
            <w:lang w:val="en-US"/>
          </w:rPr>
          <w:t>PLOS</w:t>
        </w:r>
      </w:hyperlink>
    </w:p>
    <w:p w14:paraId="13AA45F7"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McAdam, M., &amp; McAdam, R. (2008). High tech start-ups in University Science Park incubators: The relationship between the start-up's lifecycle progression and use of the incubator's resources. </w:t>
      </w:r>
      <w:proofErr w:type="spellStart"/>
      <w:r w:rsidRPr="0049357A">
        <w:rPr>
          <w:rFonts w:ascii="Times New Roman" w:hAnsi="Times New Roman" w:cs="Times New Roman"/>
          <w:color w:val="000000" w:themeColor="text1"/>
          <w:sz w:val="28"/>
          <w:szCs w:val="28"/>
          <w:lang w:val="en-US"/>
        </w:rPr>
        <w:t>Technovation</w:t>
      </w:r>
      <w:proofErr w:type="spellEnd"/>
      <w:r w:rsidRPr="0049357A">
        <w:rPr>
          <w:rFonts w:ascii="Times New Roman" w:hAnsi="Times New Roman" w:cs="Times New Roman"/>
          <w:color w:val="000000" w:themeColor="text1"/>
          <w:sz w:val="28"/>
          <w:szCs w:val="28"/>
          <w:lang w:val="en-US"/>
        </w:rPr>
        <w:t xml:space="preserve">, 28(5), 277–290. </w:t>
      </w:r>
      <w:hyperlink r:id="rId249" w:tgtFrame="_new" w:history="1">
        <w:r w:rsidRPr="0049357A">
          <w:rPr>
            <w:rFonts w:ascii="Times New Roman" w:hAnsi="Times New Roman" w:cs="Times New Roman"/>
            <w:color w:val="000000" w:themeColor="text1"/>
            <w:sz w:val="28"/>
            <w:szCs w:val="28"/>
            <w:lang w:val="en-US"/>
          </w:rPr>
          <w:t>https://doi.org/10.1016/j.technovation.2007.07.012</w:t>
        </w:r>
      </w:hyperlink>
      <w:r w:rsidRPr="0049357A">
        <w:rPr>
          <w:rFonts w:ascii="Times New Roman" w:hAnsi="Times New Roman" w:cs="Times New Roman"/>
          <w:color w:val="000000" w:themeColor="text1"/>
          <w:sz w:val="28"/>
          <w:szCs w:val="28"/>
          <w:lang w:val="en-US"/>
        </w:rPr>
        <w:t>​</w:t>
      </w:r>
    </w:p>
    <w:p w14:paraId="064AC8F6"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Nabi, G., </w:t>
      </w:r>
      <w:proofErr w:type="spellStart"/>
      <w:r w:rsidRPr="0049357A">
        <w:rPr>
          <w:rFonts w:ascii="Times New Roman" w:hAnsi="Times New Roman" w:cs="Times New Roman"/>
          <w:color w:val="000000" w:themeColor="text1"/>
          <w:sz w:val="28"/>
          <w:szCs w:val="28"/>
          <w:lang w:val="en-US"/>
        </w:rPr>
        <w:t>Liñán</w:t>
      </w:r>
      <w:proofErr w:type="spellEnd"/>
      <w:r w:rsidRPr="0049357A">
        <w:rPr>
          <w:rFonts w:ascii="Times New Roman" w:hAnsi="Times New Roman" w:cs="Times New Roman"/>
          <w:color w:val="000000" w:themeColor="text1"/>
          <w:sz w:val="28"/>
          <w:szCs w:val="28"/>
          <w:lang w:val="en-US"/>
        </w:rPr>
        <w:t xml:space="preserve">, F., </w:t>
      </w:r>
      <w:proofErr w:type="spellStart"/>
      <w:r w:rsidRPr="0049357A">
        <w:rPr>
          <w:rFonts w:ascii="Times New Roman" w:hAnsi="Times New Roman" w:cs="Times New Roman"/>
          <w:color w:val="000000" w:themeColor="text1"/>
          <w:sz w:val="28"/>
          <w:szCs w:val="28"/>
          <w:lang w:val="en-US"/>
        </w:rPr>
        <w:t>Fayolle</w:t>
      </w:r>
      <w:proofErr w:type="spellEnd"/>
      <w:r w:rsidRPr="0049357A">
        <w:rPr>
          <w:rFonts w:ascii="Times New Roman" w:hAnsi="Times New Roman" w:cs="Times New Roman"/>
          <w:color w:val="000000" w:themeColor="text1"/>
          <w:sz w:val="28"/>
          <w:szCs w:val="28"/>
          <w:lang w:val="en-US"/>
        </w:rPr>
        <w:t xml:space="preserve">, A., Krueger, N., &amp; Walmsley, A. (2017). The impact of entrepreneurship education in higher education: A systematic review and research agenda. Academy of Management Learning &amp; Education, 16(2), 277–299. </w:t>
      </w:r>
      <w:hyperlink r:id="rId250" w:tgtFrame="_new" w:history="1">
        <w:r w:rsidRPr="0049357A">
          <w:rPr>
            <w:rFonts w:ascii="Times New Roman" w:hAnsi="Times New Roman" w:cs="Times New Roman"/>
            <w:color w:val="000000" w:themeColor="text1"/>
            <w:sz w:val="28"/>
            <w:szCs w:val="28"/>
            <w:lang w:val="en-US"/>
          </w:rPr>
          <w:t>https://doi.org/10.5465/amle.2015.0026</w:t>
        </w:r>
      </w:hyperlink>
      <w:r w:rsidRPr="0049357A">
        <w:rPr>
          <w:rFonts w:ascii="Times New Roman" w:hAnsi="Times New Roman" w:cs="Times New Roman"/>
          <w:color w:val="000000" w:themeColor="text1"/>
          <w:sz w:val="28"/>
          <w:szCs w:val="28"/>
          <w:lang w:val="en-US"/>
        </w:rPr>
        <w:t>​</w:t>
      </w:r>
    </w:p>
    <w:p w14:paraId="7E0C29A1"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Siegel, D. S., &amp; Wright, M. (2015). Academic entrepreneurship: Time for a rethink? British Journal of Management, 26(4), 582–595. </w:t>
      </w:r>
      <w:hyperlink r:id="rId251" w:tgtFrame="_new" w:history="1">
        <w:r w:rsidRPr="0049357A">
          <w:rPr>
            <w:rFonts w:ascii="Times New Roman" w:hAnsi="Times New Roman" w:cs="Times New Roman"/>
            <w:color w:val="000000" w:themeColor="text1"/>
            <w:sz w:val="28"/>
            <w:szCs w:val="28"/>
            <w:lang w:val="en-US"/>
          </w:rPr>
          <w:t>https://doi.org/10.1111/1467-8551.12116</w:t>
        </w:r>
      </w:hyperlink>
      <w:r w:rsidRPr="0049357A">
        <w:rPr>
          <w:rFonts w:ascii="Times New Roman" w:hAnsi="Times New Roman" w:cs="Times New Roman"/>
          <w:color w:val="000000" w:themeColor="text1"/>
          <w:sz w:val="28"/>
          <w:szCs w:val="28"/>
          <w:lang w:val="en-US"/>
        </w:rPr>
        <w:t>​</w:t>
      </w:r>
    </w:p>
    <w:p w14:paraId="33A60265"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Wright, M., Siegel, D. S., &amp; </w:t>
      </w:r>
      <w:proofErr w:type="spellStart"/>
      <w:r w:rsidRPr="0049357A">
        <w:rPr>
          <w:rFonts w:ascii="Times New Roman" w:hAnsi="Times New Roman" w:cs="Times New Roman"/>
          <w:color w:val="000000" w:themeColor="text1"/>
          <w:sz w:val="28"/>
          <w:szCs w:val="28"/>
          <w:lang w:val="en-US"/>
        </w:rPr>
        <w:t>Mustar</w:t>
      </w:r>
      <w:proofErr w:type="spellEnd"/>
      <w:r w:rsidRPr="0049357A">
        <w:rPr>
          <w:rFonts w:ascii="Times New Roman" w:hAnsi="Times New Roman" w:cs="Times New Roman"/>
          <w:color w:val="000000" w:themeColor="text1"/>
          <w:sz w:val="28"/>
          <w:szCs w:val="28"/>
          <w:lang w:val="en-US"/>
        </w:rPr>
        <w:t xml:space="preserve">, P. (2017). An emerging ecosystem for student start-ups. The Journal of Technology Transfer, 42(4), 909–922. </w:t>
      </w:r>
      <w:hyperlink r:id="rId252" w:tgtFrame="_new" w:history="1">
        <w:r w:rsidRPr="0049357A">
          <w:rPr>
            <w:rFonts w:ascii="Times New Roman" w:hAnsi="Times New Roman" w:cs="Times New Roman"/>
            <w:color w:val="000000" w:themeColor="text1"/>
            <w:sz w:val="28"/>
            <w:szCs w:val="28"/>
            <w:lang w:val="en-US"/>
          </w:rPr>
          <w:t>https://doi.org/10.1007/s10961-017-9558-z</w:t>
        </w:r>
      </w:hyperlink>
      <w:r w:rsidRPr="0049357A">
        <w:rPr>
          <w:rFonts w:ascii="Times New Roman" w:hAnsi="Times New Roman" w:cs="Times New Roman"/>
          <w:color w:val="000000" w:themeColor="text1"/>
          <w:sz w:val="28"/>
          <w:szCs w:val="28"/>
          <w:lang w:val="en-US"/>
        </w:rPr>
        <w:t>​</w:t>
      </w:r>
    </w:p>
    <w:p w14:paraId="02B6AEBE"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lastRenderedPageBreak/>
        <w:t>Arrow, K. J. (1962). Economic Welfare and the Allocation of Resources for Invention. In The Rate and Direction of Inventive Activity: Economic and Social Factors (pp. 609-626). Princeton, NJ: Princeton University Press.</w:t>
      </w:r>
      <w:r w:rsidRPr="0049357A">
        <w:rPr>
          <w:rFonts w:ascii="Times New Roman" w:hAnsi="Times New Roman" w:cs="Times New Roman"/>
          <w:color w:val="000000" w:themeColor="text1"/>
          <w:sz w:val="28"/>
          <w:szCs w:val="28"/>
          <w:lang w:val="en-US"/>
        </w:rPr>
        <w:br/>
      </w:r>
      <w:hyperlink r:id="rId253" w:history="1">
        <w:r w:rsidRPr="0049357A">
          <w:rPr>
            <w:rFonts w:ascii="Times New Roman" w:hAnsi="Times New Roman" w:cs="Times New Roman"/>
            <w:color w:val="000000" w:themeColor="text1"/>
            <w:sz w:val="28"/>
            <w:szCs w:val="28"/>
            <w:lang w:val="en-US"/>
          </w:rPr>
          <w:t>https://doi.org/10.1515/9781400879762-024</w:t>
        </w:r>
      </w:hyperlink>
    </w:p>
    <w:p w14:paraId="355A5E87"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Blume-</w:t>
      </w:r>
      <w:proofErr w:type="spellStart"/>
      <w:r w:rsidRPr="0049357A">
        <w:rPr>
          <w:rFonts w:ascii="Times New Roman" w:hAnsi="Times New Roman" w:cs="Times New Roman"/>
          <w:color w:val="000000" w:themeColor="text1"/>
          <w:sz w:val="28"/>
          <w:szCs w:val="28"/>
          <w:lang w:val="en-US"/>
        </w:rPr>
        <w:t>Kohout</w:t>
      </w:r>
      <w:proofErr w:type="spellEnd"/>
      <w:r w:rsidRPr="0049357A">
        <w:rPr>
          <w:rFonts w:ascii="Times New Roman" w:hAnsi="Times New Roman" w:cs="Times New Roman"/>
          <w:color w:val="000000" w:themeColor="text1"/>
          <w:sz w:val="28"/>
          <w:szCs w:val="28"/>
          <w:lang w:val="en-US"/>
        </w:rPr>
        <w:t xml:space="preserve">, M. E., Kumar, K. B., &amp; </w:t>
      </w:r>
      <w:proofErr w:type="spellStart"/>
      <w:r w:rsidRPr="0049357A">
        <w:rPr>
          <w:rFonts w:ascii="Times New Roman" w:hAnsi="Times New Roman" w:cs="Times New Roman"/>
          <w:color w:val="000000" w:themeColor="text1"/>
          <w:sz w:val="28"/>
          <w:szCs w:val="28"/>
          <w:lang w:val="en-US"/>
        </w:rPr>
        <w:t>Sood</w:t>
      </w:r>
      <w:proofErr w:type="spellEnd"/>
      <w:r w:rsidRPr="0049357A">
        <w:rPr>
          <w:rFonts w:ascii="Times New Roman" w:hAnsi="Times New Roman" w:cs="Times New Roman"/>
          <w:color w:val="000000" w:themeColor="text1"/>
          <w:sz w:val="28"/>
          <w:szCs w:val="28"/>
          <w:lang w:val="en-US"/>
        </w:rPr>
        <w:t xml:space="preserve">, N. (2015). University R&amp;D funding strategies in a changing federal funding environment. Science and Public Policy, 42(3), 355–368. </w:t>
      </w:r>
      <w:hyperlink r:id="rId254" w:history="1">
        <w:r w:rsidRPr="0049357A">
          <w:rPr>
            <w:rFonts w:ascii="Times New Roman" w:hAnsi="Times New Roman" w:cs="Times New Roman"/>
            <w:color w:val="000000" w:themeColor="text1"/>
            <w:sz w:val="28"/>
            <w:szCs w:val="28"/>
            <w:lang w:val="en-US"/>
          </w:rPr>
          <w:t>https://doi.org/10.1093/scipol/scu054</w:t>
        </w:r>
      </w:hyperlink>
    </w:p>
    <w:p w14:paraId="66E94107" w14:textId="77777777" w:rsidR="00F14E91" w:rsidRPr="00B4623F" w:rsidRDefault="00F14E91" w:rsidP="00015249">
      <w:pPr>
        <w:pStyle w:val="af"/>
        <w:numPr>
          <w:ilvl w:val="0"/>
          <w:numId w:val="34"/>
        </w:numPr>
        <w:ind w:left="0" w:firstLine="709"/>
        <w:jc w:val="both"/>
        <w:rPr>
          <w:rFonts w:ascii="Times New Roman" w:hAnsi="Times New Roman" w:cs="Times New Roman"/>
          <w:sz w:val="28"/>
          <w:szCs w:val="28"/>
          <w:lang w:val="en-US"/>
        </w:rPr>
      </w:pPr>
      <w:proofErr w:type="spellStart"/>
      <w:r w:rsidRPr="0049357A">
        <w:rPr>
          <w:rFonts w:ascii="Times New Roman" w:hAnsi="Times New Roman" w:cs="Times New Roman"/>
          <w:color w:val="000000" w:themeColor="text1"/>
          <w:sz w:val="28"/>
          <w:szCs w:val="28"/>
          <w:lang w:val="en-US"/>
        </w:rPr>
        <w:t>Huňady</w:t>
      </w:r>
      <w:proofErr w:type="spellEnd"/>
      <w:r w:rsidRPr="0049357A">
        <w:rPr>
          <w:rFonts w:ascii="Times New Roman" w:hAnsi="Times New Roman" w:cs="Times New Roman"/>
          <w:color w:val="000000" w:themeColor="text1"/>
          <w:sz w:val="28"/>
          <w:szCs w:val="28"/>
          <w:lang w:val="en-US"/>
        </w:rPr>
        <w:t xml:space="preserve">, J., </w:t>
      </w:r>
      <w:proofErr w:type="spellStart"/>
      <w:r w:rsidRPr="0049357A">
        <w:rPr>
          <w:rFonts w:ascii="Times New Roman" w:hAnsi="Times New Roman" w:cs="Times New Roman"/>
          <w:color w:val="000000" w:themeColor="text1"/>
          <w:sz w:val="28"/>
          <w:szCs w:val="28"/>
          <w:lang w:val="en-US"/>
        </w:rPr>
        <w:t>Koišová</w:t>
      </w:r>
      <w:proofErr w:type="spellEnd"/>
      <w:r w:rsidRPr="0049357A">
        <w:rPr>
          <w:rFonts w:ascii="Times New Roman" w:hAnsi="Times New Roman" w:cs="Times New Roman"/>
          <w:color w:val="000000" w:themeColor="text1"/>
          <w:sz w:val="28"/>
          <w:szCs w:val="28"/>
          <w:lang w:val="en-US"/>
        </w:rPr>
        <w:t xml:space="preserve">, E., &amp; </w:t>
      </w:r>
      <w:proofErr w:type="spellStart"/>
      <w:r w:rsidRPr="0049357A">
        <w:rPr>
          <w:rFonts w:ascii="Times New Roman" w:hAnsi="Times New Roman" w:cs="Times New Roman"/>
          <w:color w:val="000000" w:themeColor="text1"/>
          <w:sz w:val="28"/>
          <w:szCs w:val="28"/>
          <w:lang w:val="en-US"/>
        </w:rPr>
        <w:t>Kukuricová</w:t>
      </w:r>
      <w:proofErr w:type="spellEnd"/>
      <w:r w:rsidRPr="0049357A">
        <w:rPr>
          <w:rFonts w:ascii="Times New Roman" w:hAnsi="Times New Roman" w:cs="Times New Roman"/>
          <w:color w:val="000000" w:themeColor="text1"/>
          <w:sz w:val="28"/>
          <w:szCs w:val="28"/>
          <w:lang w:val="en-US"/>
        </w:rPr>
        <w:t xml:space="preserve">, L. (2023). Government and business funding of R&amp;D at universities: Complements or substitutes? South East European Journal of Economics and Business, 18(2), 97–111. </w:t>
      </w:r>
      <w:hyperlink r:id="rId255" w:history="1">
        <w:r w:rsidRPr="00B4623F">
          <w:rPr>
            <w:rFonts w:ascii="Times New Roman" w:hAnsi="Times New Roman" w:cs="Times New Roman"/>
            <w:sz w:val="28"/>
            <w:szCs w:val="28"/>
            <w:lang w:val="en-US"/>
          </w:rPr>
          <w:t>https://doi.org/10.2478/jeb-2023-0021</w:t>
        </w:r>
      </w:hyperlink>
    </w:p>
    <w:p w14:paraId="1D708E2D" w14:textId="77777777" w:rsidR="00F14E91" w:rsidRPr="0049357A" w:rsidRDefault="00F14E91" w:rsidP="00015249">
      <w:pPr>
        <w:pStyle w:val="af"/>
        <w:numPr>
          <w:ilvl w:val="0"/>
          <w:numId w:val="34"/>
        </w:numPr>
        <w:ind w:left="0" w:firstLine="709"/>
        <w:jc w:val="both"/>
        <w:rPr>
          <w:rFonts w:ascii="Times New Roman" w:hAnsi="Times New Roman" w:cs="Times New Roman"/>
          <w:sz w:val="28"/>
          <w:szCs w:val="28"/>
        </w:rPr>
      </w:pPr>
      <w:proofErr w:type="spellStart"/>
      <w:r w:rsidRPr="0049357A">
        <w:rPr>
          <w:rFonts w:ascii="Times New Roman" w:hAnsi="Times New Roman" w:cs="Times New Roman"/>
          <w:color w:val="000000" w:themeColor="text1"/>
          <w:sz w:val="28"/>
          <w:szCs w:val="28"/>
          <w:lang w:val="en-US"/>
        </w:rPr>
        <w:t>Čučković</w:t>
      </w:r>
      <w:proofErr w:type="spellEnd"/>
      <w:r w:rsidRPr="0049357A">
        <w:rPr>
          <w:rFonts w:ascii="Times New Roman" w:hAnsi="Times New Roman" w:cs="Times New Roman"/>
          <w:color w:val="000000" w:themeColor="text1"/>
          <w:sz w:val="28"/>
          <w:szCs w:val="28"/>
          <w:lang w:val="en-US"/>
        </w:rPr>
        <w:t xml:space="preserve">, N., &amp; </w:t>
      </w:r>
      <w:proofErr w:type="spellStart"/>
      <w:r w:rsidRPr="0049357A">
        <w:rPr>
          <w:rFonts w:ascii="Times New Roman" w:hAnsi="Times New Roman" w:cs="Times New Roman"/>
          <w:color w:val="000000" w:themeColor="text1"/>
          <w:sz w:val="28"/>
          <w:szCs w:val="28"/>
          <w:lang w:val="en-US"/>
        </w:rPr>
        <w:t>Vučković</w:t>
      </w:r>
      <w:proofErr w:type="spellEnd"/>
      <w:r w:rsidRPr="0049357A">
        <w:rPr>
          <w:rFonts w:ascii="Times New Roman" w:hAnsi="Times New Roman" w:cs="Times New Roman"/>
          <w:color w:val="000000" w:themeColor="text1"/>
          <w:sz w:val="28"/>
          <w:szCs w:val="28"/>
          <w:lang w:val="en-US"/>
        </w:rPr>
        <w:t xml:space="preserve">, V. (2018). EU R&amp;D funding as a way of incentivizing innovation of SMEs: A review of impacts. Croatian Economic Survey, 20(2), 97–127. </w:t>
      </w:r>
      <w:hyperlink r:id="rId256" w:history="1">
        <w:r w:rsidRPr="0049357A">
          <w:rPr>
            <w:rFonts w:ascii="Times New Roman" w:hAnsi="Times New Roman" w:cs="Times New Roman"/>
            <w:sz w:val="28"/>
            <w:szCs w:val="28"/>
          </w:rPr>
          <w:t>https://doi.org/10.15179/ces.20.2.4</w:t>
        </w:r>
      </w:hyperlink>
    </w:p>
    <w:p w14:paraId="020B05A8"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Thomas </w:t>
      </w:r>
      <w:proofErr w:type="spellStart"/>
      <w:r w:rsidRPr="0049357A">
        <w:rPr>
          <w:rFonts w:ascii="Times New Roman" w:hAnsi="Times New Roman" w:cs="Times New Roman"/>
          <w:color w:val="000000" w:themeColor="text1"/>
          <w:sz w:val="28"/>
          <w:szCs w:val="28"/>
          <w:lang w:val="en-US"/>
        </w:rPr>
        <w:t>Zacharewicz</w:t>
      </w:r>
      <w:proofErr w:type="spellEnd"/>
      <w:r w:rsidRPr="0049357A">
        <w:rPr>
          <w:rFonts w:ascii="Times New Roman" w:hAnsi="Times New Roman" w:cs="Times New Roman"/>
          <w:color w:val="000000" w:themeColor="text1"/>
          <w:sz w:val="28"/>
          <w:szCs w:val="28"/>
          <w:lang w:val="en-US"/>
        </w:rPr>
        <w:t xml:space="preserve">, Noemi Pulido </w:t>
      </w:r>
      <w:proofErr w:type="spellStart"/>
      <w:r w:rsidRPr="0049357A">
        <w:rPr>
          <w:rFonts w:ascii="Times New Roman" w:hAnsi="Times New Roman" w:cs="Times New Roman"/>
          <w:color w:val="000000" w:themeColor="text1"/>
          <w:sz w:val="28"/>
          <w:szCs w:val="28"/>
          <w:lang w:val="en-US"/>
        </w:rPr>
        <w:t>Pavón</w:t>
      </w:r>
      <w:proofErr w:type="spellEnd"/>
      <w:r w:rsidRPr="0049357A">
        <w:rPr>
          <w:rFonts w:ascii="Times New Roman" w:hAnsi="Times New Roman" w:cs="Times New Roman"/>
          <w:color w:val="000000" w:themeColor="text1"/>
          <w:sz w:val="28"/>
          <w:szCs w:val="28"/>
          <w:lang w:val="en-US"/>
        </w:rPr>
        <w:t xml:space="preserve">, Luis Antonio Palma </w:t>
      </w:r>
      <w:proofErr w:type="spellStart"/>
      <w:r w:rsidRPr="0049357A">
        <w:rPr>
          <w:rFonts w:ascii="Times New Roman" w:hAnsi="Times New Roman" w:cs="Times New Roman"/>
          <w:color w:val="000000" w:themeColor="text1"/>
          <w:sz w:val="28"/>
          <w:szCs w:val="28"/>
          <w:lang w:val="en-US"/>
        </w:rPr>
        <w:t>Martos</w:t>
      </w:r>
      <w:proofErr w:type="spellEnd"/>
      <w:r w:rsidRPr="0049357A">
        <w:rPr>
          <w:rFonts w:ascii="Times New Roman" w:hAnsi="Times New Roman" w:cs="Times New Roman"/>
          <w:color w:val="000000" w:themeColor="text1"/>
          <w:sz w:val="28"/>
          <w:szCs w:val="28"/>
          <w:lang w:val="en-US"/>
        </w:rPr>
        <w:t xml:space="preserve">, Benedetto </w:t>
      </w:r>
      <w:proofErr w:type="spellStart"/>
      <w:r w:rsidRPr="0049357A">
        <w:rPr>
          <w:rFonts w:ascii="Times New Roman" w:hAnsi="Times New Roman" w:cs="Times New Roman"/>
          <w:color w:val="000000" w:themeColor="text1"/>
          <w:sz w:val="28"/>
          <w:szCs w:val="28"/>
          <w:lang w:val="en-US"/>
        </w:rPr>
        <w:t>Lepori</w:t>
      </w:r>
      <w:proofErr w:type="spellEnd"/>
      <w:r w:rsidRPr="0049357A">
        <w:rPr>
          <w:rFonts w:ascii="Times New Roman" w:hAnsi="Times New Roman" w:cs="Times New Roman"/>
          <w:color w:val="000000" w:themeColor="text1"/>
          <w:sz w:val="28"/>
          <w:szCs w:val="28"/>
          <w:lang w:val="en-US"/>
        </w:rPr>
        <w:t>, Do funding modes matter? A multilevel analysis of funding allocation mechanisms on university research performance, Research Evaluation, Volume 32, Issue 3, July 2023, Pages 545–556, </w:t>
      </w:r>
      <w:hyperlink r:id="rId257" w:history="1">
        <w:r w:rsidRPr="0049357A">
          <w:rPr>
            <w:rFonts w:ascii="Times New Roman" w:hAnsi="Times New Roman" w:cs="Times New Roman"/>
            <w:color w:val="000000" w:themeColor="text1"/>
            <w:sz w:val="28"/>
            <w:szCs w:val="28"/>
            <w:lang w:val="en-US"/>
          </w:rPr>
          <w:t>https://doi.org/10.1093/reseval/rvad023</w:t>
        </w:r>
      </w:hyperlink>
    </w:p>
    <w:p w14:paraId="7BE49F12"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Bloch, C. W., &amp; </w:t>
      </w:r>
      <w:proofErr w:type="spellStart"/>
      <w:r w:rsidRPr="0049357A">
        <w:rPr>
          <w:rFonts w:ascii="Times New Roman" w:hAnsi="Times New Roman" w:cs="Times New Roman"/>
          <w:color w:val="000000" w:themeColor="text1"/>
          <w:sz w:val="28"/>
          <w:szCs w:val="28"/>
          <w:lang w:val="en-US"/>
        </w:rPr>
        <w:t>Graversen</w:t>
      </w:r>
      <w:proofErr w:type="spellEnd"/>
      <w:r w:rsidRPr="0049357A">
        <w:rPr>
          <w:rFonts w:ascii="Times New Roman" w:hAnsi="Times New Roman" w:cs="Times New Roman"/>
          <w:color w:val="000000" w:themeColor="text1"/>
          <w:sz w:val="28"/>
          <w:szCs w:val="28"/>
          <w:lang w:val="en-US"/>
        </w:rPr>
        <w:t xml:space="preserve">, E. K. (2012). Additionality of public R&amp;D funding for business R&amp;D - a dynamic panel data analysis. World Review of Science, Technology and Sustainable Development, 9(2/3/4), 204-220. </w:t>
      </w:r>
      <w:hyperlink r:id="rId258" w:history="1">
        <w:r w:rsidRPr="0049357A">
          <w:rPr>
            <w:rFonts w:ascii="Times New Roman" w:hAnsi="Times New Roman" w:cs="Times New Roman"/>
            <w:color w:val="000000" w:themeColor="text1"/>
            <w:sz w:val="28"/>
            <w:szCs w:val="28"/>
            <w:lang w:val="en-US"/>
          </w:rPr>
          <w:t>https://10.1504/WRSTSD.2012.047688</w:t>
        </w:r>
      </w:hyperlink>
    </w:p>
    <w:p w14:paraId="0CB779B8"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Li, J., &amp; Wu, X. (2021). Research on the impact of government R&amp;D funding on regional innovation quality: Analysis of spatial Durbin model based on 283 cities in China. Complexity, 2021, Article ID 2217588. </w:t>
      </w:r>
      <w:hyperlink r:id="rId259" w:tgtFrame="_new" w:history="1">
        <w:r w:rsidRPr="0049357A">
          <w:rPr>
            <w:rFonts w:ascii="Times New Roman" w:hAnsi="Times New Roman" w:cs="Times New Roman"/>
            <w:color w:val="000000" w:themeColor="text1"/>
            <w:sz w:val="28"/>
            <w:szCs w:val="28"/>
            <w:lang w:val="en-US"/>
          </w:rPr>
          <w:t>https://doi.org/10.1155/2021/2217588</w:t>
        </w:r>
      </w:hyperlink>
    </w:p>
    <w:p w14:paraId="75C53BEA" w14:textId="77777777" w:rsidR="00F14E91" w:rsidRPr="0049357A" w:rsidRDefault="00F14E91" w:rsidP="00015249">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Hong, J., Hong, S., Wang, L., Xu, Y., &amp; Zhao, D. (2015). Government grants, private R&amp;D funding and innovation efficiency in transition economy. Technology Analysis &amp; Strategic Management, 27(9), 1068–1096. </w:t>
      </w:r>
      <w:hyperlink r:id="rId260" w:tgtFrame="_new" w:history="1">
        <w:r w:rsidRPr="0049357A">
          <w:rPr>
            <w:rFonts w:ascii="Times New Roman" w:hAnsi="Times New Roman" w:cs="Times New Roman"/>
            <w:color w:val="000000" w:themeColor="text1"/>
            <w:sz w:val="28"/>
            <w:szCs w:val="28"/>
            <w:lang w:val="en-US"/>
          </w:rPr>
          <w:t>https://doi.org/10.1080/09537325.2015.1060310</w:t>
        </w:r>
      </w:hyperlink>
    </w:p>
    <w:p w14:paraId="588AC2E8" w14:textId="041B2A34" w:rsidR="00CE5495" w:rsidRPr="00CC2FD1" w:rsidRDefault="00F14E91" w:rsidP="00F40BBC">
      <w:pPr>
        <w:pStyle w:val="af"/>
        <w:numPr>
          <w:ilvl w:val="0"/>
          <w:numId w:val="34"/>
        </w:numPr>
        <w:ind w:left="0" w:firstLine="709"/>
        <w:jc w:val="both"/>
        <w:rPr>
          <w:rFonts w:ascii="Times New Roman" w:hAnsi="Times New Roman" w:cs="Times New Roman"/>
          <w:color w:val="000000" w:themeColor="text1"/>
          <w:sz w:val="28"/>
          <w:szCs w:val="28"/>
          <w:lang w:val="en-US"/>
        </w:rPr>
      </w:pPr>
      <w:r w:rsidRPr="0049357A">
        <w:rPr>
          <w:rFonts w:ascii="Times New Roman" w:hAnsi="Times New Roman" w:cs="Times New Roman"/>
          <w:color w:val="000000" w:themeColor="text1"/>
          <w:sz w:val="28"/>
          <w:szCs w:val="28"/>
          <w:lang w:val="en-US"/>
        </w:rPr>
        <w:t xml:space="preserve">Belin, J., </w:t>
      </w:r>
      <w:proofErr w:type="spellStart"/>
      <w:r w:rsidRPr="0049357A">
        <w:rPr>
          <w:rFonts w:ascii="Times New Roman" w:hAnsi="Times New Roman" w:cs="Times New Roman"/>
          <w:color w:val="000000" w:themeColor="text1"/>
          <w:sz w:val="28"/>
          <w:szCs w:val="28"/>
          <w:lang w:val="en-US"/>
        </w:rPr>
        <w:t>Guille</w:t>
      </w:r>
      <w:proofErr w:type="spellEnd"/>
      <w:r w:rsidRPr="0049357A">
        <w:rPr>
          <w:rFonts w:ascii="Times New Roman" w:hAnsi="Times New Roman" w:cs="Times New Roman"/>
          <w:color w:val="000000" w:themeColor="text1"/>
          <w:sz w:val="28"/>
          <w:szCs w:val="28"/>
          <w:lang w:val="en-US"/>
        </w:rPr>
        <w:t xml:space="preserve">, M., </w:t>
      </w:r>
      <w:proofErr w:type="spellStart"/>
      <w:r w:rsidRPr="0049357A">
        <w:rPr>
          <w:rFonts w:ascii="Times New Roman" w:hAnsi="Times New Roman" w:cs="Times New Roman"/>
          <w:color w:val="000000" w:themeColor="text1"/>
          <w:sz w:val="28"/>
          <w:szCs w:val="28"/>
          <w:lang w:val="en-US"/>
        </w:rPr>
        <w:t>Lazaric</w:t>
      </w:r>
      <w:proofErr w:type="spellEnd"/>
      <w:r w:rsidRPr="0049357A">
        <w:rPr>
          <w:rFonts w:ascii="Times New Roman" w:hAnsi="Times New Roman" w:cs="Times New Roman"/>
          <w:color w:val="000000" w:themeColor="text1"/>
          <w:sz w:val="28"/>
          <w:szCs w:val="28"/>
          <w:lang w:val="en-US"/>
        </w:rPr>
        <w:t xml:space="preserve">, N., &amp; </w:t>
      </w:r>
      <w:proofErr w:type="spellStart"/>
      <w:r w:rsidRPr="0049357A">
        <w:rPr>
          <w:rFonts w:ascii="Times New Roman" w:hAnsi="Times New Roman" w:cs="Times New Roman"/>
          <w:color w:val="000000" w:themeColor="text1"/>
          <w:sz w:val="28"/>
          <w:szCs w:val="28"/>
          <w:lang w:val="en-US"/>
        </w:rPr>
        <w:t>Mérindol</w:t>
      </w:r>
      <w:proofErr w:type="spellEnd"/>
      <w:r w:rsidRPr="0049357A">
        <w:rPr>
          <w:rFonts w:ascii="Times New Roman" w:hAnsi="Times New Roman" w:cs="Times New Roman"/>
          <w:color w:val="000000" w:themeColor="text1"/>
          <w:sz w:val="28"/>
          <w:szCs w:val="28"/>
          <w:lang w:val="en-US"/>
        </w:rPr>
        <w:t>, V. (2018). Defense Firms Adapting to Major Changes in the French R&amp;D Funding System. </w:t>
      </w:r>
      <w:proofErr w:type="spellStart"/>
      <w:r w:rsidRPr="0049357A">
        <w:rPr>
          <w:rFonts w:ascii="Times New Roman" w:hAnsi="Times New Roman" w:cs="Times New Roman"/>
          <w:color w:val="000000" w:themeColor="text1"/>
          <w:sz w:val="28"/>
          <w:szCs w:val="28"/>
          <w:lang w:val="en-US"/>
        </w:rPr>
        <w:t>Defence</w:t>
      </w:r>
      <w:proofErr w:type="spellEnd"/>
      <w:r w:rsidRPr="0049357A">
        <w:rPr>
          <w:rFonts w:ascii="Times New Roman" w:hAnsi="Times New Roman" w:cs="Times New Roman"/>
          <w:color w:val="000000" w:themeColor="text1"/>
          <w:sz w:val="28"/>
          <w:szCs w:val="28"/>
          <w:lang w:val="en-US"/>
        </w:rPr>
        <w:t xml:space="preserve"> and Peace Economics, 30(2), 142–158. </w:t>
      </w:r>
      <w:hyperlink r:id="rId261" w:history="1">
        <w:r w:rsidRPr="0049357A">
          <w:rPr>
            <w:rFonts w:ascii="Times New Roman" w:hAnsi="Times New Roman" w:cs="Times New Roman"/>
            <w:color w:val="000000" w:themeColor="text1"/>
            <w:sz w:val="28"/>
            <w:szCs w:val="28"/>
            <w:lang w:val="en-US"/>
          </w:rPr>
          <w:t>https://doi.org/10.1080/10242694.2018.1461790</w:t>
        </w:r>
      </w:hyperlink>
    </w:p>
    <w:p w14:paraId="409485ED" w14:textId="5C53117E" w:rsidR="008E6E5F" w:rsidRDefault="008E6E5F" w:rsidP="0001723B">
      <w:pPr>
        <w:spacing w:line="240" w:lineRule="auto"/>
        <w:jc w:val="center"/>
        <w:rPr>
          <w:rFonts w:ascii="Times New Roman" w:hAnsi="Times New Roman" w:cs="Times New Roman"/>
          <w:b/>
          <w:bCs/>
          <w:sz w:val="28"/>
          <w:szCs w:val="28"/>
          <w:lang w:val="en-US"/>
        </w:rPr>
      </w:pPr>
    </w:p>
    <w:p w14:paraId="79D304C8" w14:textId="2F6B7015" w:rsidR="0098437A" w:rsidRDefault="0098437A" w:rsidP="0001723B">
      <w:pPr>
        <w:spacing w:line="240" w:lineRule="auto"/>
        <w:jc w:val="center"/>
        <w:rPr>
          <w:rFonts w:ascii="Times New Roman" w:hAnsi="Times New Roman" w:cs="Times New Roman"/>
          <w:b/>
          <w:bCs/>
          <w:sz w:val="28"/>
          <w:szCs w:val="28"/>
          <w:lang w:val="en-US"/>
        </w:rPr>
      </w:pPr>
    </w:p>
    <w:p w14:paraId="47B7A02F" w14:textId="6A88FAA5" w:rsidR="0098437A" w:rsidRDefault="0098437A" w:rsidP="0001723B">
      <w:pPr>
        <w:spacing w:line="240" w:lineRule="auto"/>
        <w:jc w:val="center"/>
        <w:rPr>
          <w:rFonts w:ascii="Times New Roman" w:hAnsi="Times New Roman" w:cs="Times New Roman"/>
          <w:b/>
          <w:bCs/>
          <w:sz w:val="28"/>
          <w:szCs w:val="28"/>
          <w:lang w:val="en-US"/>
        </w:rPr>
      </w:pPr>
    </w:p>
    <w:p w14:paraId="24048866" w14:textId="5CF17F94" w:rsidR="0098437A" w:rsidRDefault="0098437A" w:rsidP="0001723B">
      <w:pPr>
        <w:spacing w:line="240" w:lineRule="auto"/>
        <w:jc w:val="center"/>
        <w:rPr>
          <w:rFonts w:ascii="Times New Roman" w:hAnsi="Times New Roman" w:cs="Times New Roman"/>
          <w:b/>
          <w:bCs/>
          <w:sz w:val="28"/>
          <w:szCs w:val="28"/>
          <w:lang w:val="en-US"/>
        </w:rPr>
      </w:pPr>
    </w:p>
    <w:p w14:paraId="37B83864" w14:textId="31583630" w:rsidR="0098437A" w:rsidRDefault="0098437A" w:rsidP="0001723B">
      <w:pPr>
        <w:spacing w:line="240" w:lineRule="auto"/>
        <w:jc w:val="center"/>
        <w:rPr>
          <w:rFonts w:ascii="Times New Roman" w:hAnsi="Times New Roman" w:cs="Times New Roman"/>
          <w:b/>
          <w:bCs/>
          <w:sz w:val="28"/>
          <w:szCs w:val="28"/>
          <w:lang w:val="en-US"/>
        </w:rPr>
      </w:pPr>
    </w:p>
    <w:p w14:paraId="20238B75" w14:textId="77777777" w:rsidR="0098437A" w:rsidRDefault="0098437A" w:rsidP="0001723B">
      <w:pPr>
        <w:spacing w:line="240" w:lineRule="auto"/>
        <w:jc w:val="center"/>
        <w:rPr>
          <w:rFonts w:ascii="Times New Roman" w:hAnsi="Times New Roman" w:cs="Times New Roman"/>
          <w:b/>
          <w:bCs/>
          <w:sz w:val="28"/>
          <w:szCs w:val="28"/>
          <w:lang w:val="en-US"/>
        </w:rPr>
      </w:pPr>
    </w:p>
    <w:p w14:paraId="3D897F67" w14:textId="77777777" w:rsidR="008E6E5F" w:rsidRDefault="008E6E5F" w:rsidP="0001723B">
      <w:pPr>
        <w:spacing w:line="240" w:lineRule="auto"/>
        <w:jc w:val="center"/>
        <w:rPr>
          <w:rFonts w:ascii="Times New Roman" w:hAnsi="Times New Roman" w:cs="Times New Roman"/>
          <w:b/>
          <w:bCs/>
          <w:sz w:val="28"/>
          <w:szCs w:val="28"/>
          <w:lang w:val="en-US"/>
        </w:rPr>
      </w:pPr>
    </w:p>
    <w:p w14:paraId="3D945E82" w14:textId="2B970269" w:rsidR="008E6E5F" w:rsidRDefault="008E6E5F" w:rsidP="0001723B">
      <w:pPr>
        <w:spacing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APPENDIX A</w:t>
      </w:r>
    </w:p>
    <w:p w14:paraId="5B444BA3" w14:textId="73642A86" w:rsidR="008E6E5F" w:rsidRPr="008E6E5F" w:rsidRDefault="008E6E5F" w:rsidP="008E6E5F">
      <w:pPr>
        <w:spacing w:line="240" w:lineRule="auto"/>
        <w:rPr>
          <w:rFonts w:ascii="Times New Roman" w:hAnsi="Times New Roman" w:cs="Times New Roman"/>
          <w:b/>
          <w:bCs/>
          <w:sz w:val="28"/>
          <w:szCs w:val="28"/>
          <w:lang w:val="kk-KZ"/>
        </w:rPr>
      </w:pPr>
      <w:r>
        <w:rPr>
          <w:rFonts w:ascii="Times New Roman" w:hAnsi="Times New Roman" w:cs="Times New Roman"/>
          <w:b/>
          <w:bCs/>
          <w:noProof/>
          <w:sz w:val="28"/>
          <w:szCs w:val="28"/>
          <w:lang w:val="kk-KZ"/>
        </w:rPr>
        <w:drawing>
          <wp:inline distT="0" distB="0" distL="0" distR="0" wp14:anchorId="3C573408" wp14:editId="2BF865BF">
            <wp:extent cx="5934710" cy="8159115"/>
            <wp:effectExtent l="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934710" cy="8159115"/>
                    </a:xfrm>
                    <a:prstGeom prst="rect">
                      <a:avLst/>
                    </a:prstGeom>
                    <a:noFill/>
                    <a:ln>
                      <a:noFill/>
                    </a:ln>
                  </pic:spPr>
                </pic:pic>
              </a:graphicData>
            </a:graphic>
          </wp:inline>
        </w:drawing>
      </w:r>
    </w:p>
    <w:p w14:paraId="3F062E20" w14:textId="77777777" w:rsidR="008E6E5F" w:rsidRDefault="008E6E5F" w:rsidP="0001723B">
      <w:pPr>
        <w:spacing w:line="240" w:lineRule="auto"/>
        <w:jc w:val="center"/>
        <w:rPr>
          <w:rFonts w:ascii="Times New Roman" w:hAnsi="Times New Roman" w:cs="Times New Roman"/>
          <w:b/>
          <w:bCs/>
          <w:sz w:val="28"/>
          <w:szCs w:val="28"/>
          <w:lang w:val="en-US"/>
        </w:rPr>
      </w:pPr>
    </w:p>
    <w:p w14:paraId="6D684F4E" w14:textId="77777777" w:rsidR="008E6E5F" w:rsidRDefault="008E6E5F" w:rsidP="0001723B">
      <w:pPr>
        <w:spacing w:line="240" w:lineRule="auto"/>
        <w:jc w:val="center"/>
        <w:rPr>
          <w:rFonts w:ascii="Times New Roman" w:hAnsi="Times New Roman" w:cs="Times New Roman"/>
          <w:b/>
          <w:bCs/>
          <w:sz w:val="28"/>
          <w:szCs w:val="28"/>
          <w:lang w:val="en-US"/>
        </w:rPr>
      </w:pPr>
    </w:p>
    <w:p w14:paraId="42339188" w14:textId="6B245F48" w:rsidR="0001723B" w:rsidRPr="00244343" w:rsidRDefault="0001723B" w:rsidP="0001723B">
      <w:pPr>
        <w:spacing w:line="240" w:lineRule="auto"/>
        <w:jc w:val="center"/>
        <w:rPr>
          <w:rFonts w:ascii="Times New Roman" w:hAnsi="Times New Roman" w:cs="Times New Roman"/>
          <w:b/>
          <w:bCs/>
          <w:sz w:val="28"/>
          <w:szCs w:val="28"/>
          <w:lang w:val="en-US"/>
        </w:rPr>
      </w:pPr>
      <w:r w:rsidRPr="00244343">
        <w:rPr>
          <w:rFonts w:ascii="Times New Roman" w:hAnsi="Times New Roman" w:cs="Times New Roman"/>
          <w:b/>
          <w:bCs/>
          <w:sz w:val="28"/>
          <w:szCs w:val="28"/>
          <w:lang w:val="en-US"/>
        </w:rPr>
        <w:lastRenderedPageBreak/>
        <w:t xml:space="preserve">APPENDIX </w:t>
      </w:r>
      <w:r w:rsidR="008E6E5F">
        <w:rPr>
          <w:rFonts w:ascii="Times New Roman" w:hAnsi="Times New Roman" w:cs="Times New Roman"/>
          <w:b/>
          <w:bCs/>
          <w:sz w:val="28"/>
          <w:szCs w:val="28"/>
          <w:lang w:val="en-US"/>
        </w:rPr>
        <w:t>B</w:t>
      </w:r>
    </w:p>
    <w:p w14:paraId="1E63A25B" w14:textId="47DA50FD" w:rsidR="0001723B" w:rsidRPr="0001723B" w:rsidRDefault="0001723B" w:rsidP="0001723B">
      <w:pPr>
        <w:spacing w:line="240" w:lineRule="auto"/>
        <w:jc w:val="center"/>
        <w:rPr>
          <w:rFonts w:ascii="Times New Roman" w:hAnsi="Times New Roman" w:cs="Times New Roman"/>
          <w:bCs/>
          <w:sz w:val="28"/>
          <w:szCs w:val="28"/>
          <w:lang w:val="en-US"/>
        </w:rPr>
      </w:pPr>
      <w:r w:rsidRPr="00244343">
        <w:rPr>
          <w:rFonts w:ascii="Times New Roman" w:hAnsi="Times New Roman" w:cs="Times New Roman"/>
          <w:bCs/>
          <w:sz w:val="28"/>
          <w:szCs w:val="28"/>
          <w:lang w:val="en-US"/>
        </w:rPr>
        <w:t>Secondary data on Global Innovation Index pillars rank</w:t>
      </w:r>
    </w:p>
    <w:p w14:paraId="6F584D74" w14:textId="74A3D735" w:rsidR="0001723B" w:rsidRPr="00244343" w:rsidRDefault="0001723B" w:rsidP="0001723B">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Table </w:t>
      </w:r>
      <w:r w:rsidR="008E6E5F">
        <w:rPr>
          <w:rFonts w:ascii="Times New Roman" w:eastAsia="Times New Roman" w:hAnsi="Times New Roman" w:cs="Times New Roman"/>
          <w:sz w:val="28"/>
          <w:szCs w:val="28"/>
          <w:lang w:val="en-US"/>
        </w:rPr>
        <w:t>B</w:t>
      </w:r>
      <w:r w:rsidRPr="00244343">
        <w:rPr>
          <w:rFonts w:ascii="Times New Roman" w:eastAsia="Times New Roman" w:hAnsi="Times New Roman" w:cs="Times New Roman"/>
          <w:sz w:val="28"/>
          <w:szCs w:val="28"/>
          <w:lang w:val="en-US"/>
        </w:rPr>
        <w:t>.1 - Global Innovation Index pillars rank: China</w:t>
      </w:r>
    </w:p>
    <w:p w14:paraId="29A05786" w14:textId="77777777" w:rsidR="0001723B" w:rsidRPr="00244343" w:rsidRDefault="0001723B" w:rsidP="0001723B">
      <w:pPr>
        <w:spacing w:after="0" w:line="240" w:lineRule="auto"/>
        <w:contextualSpacing/>
        <w:jc w:val="both"/>
        <w:rPr>
          <w:rFonts w:ascii="Times New Roman" w:eastAsia="Times New Roman" w:hAnsi="Times New Roman" w:cs="Times New Roman"/>
          <w:sz w:val="28"/>
          <w:szCs w:val="28"/>
          <w:lang w:val="en-US"/>
        </w:rPr>
      </w:pPr>
    </w:p>
    <w:tbl>
      <w:tblPr>
        <w:tblW w:w="9170" w:type="dxa"/>
        <w:tblLook w:val="04A0" w:firstRow="1" w:lastRow="0" w:firstColumn="1" w:lastColumn="0" w:noHBand="0" w:noVBand="1"/>
      </w:tblPr>
      <w:tblGrid>
        <w:gridCol w:w="1234"/>
        <w:gridCol w:w="676"/>
        <w:gridCol w:w="1576"/>
        <w:gridCol w:w="1190"/>
        <w:gridCol w:w="2119"/>
        <w:gridCol w:w="1481"/>
        <w:gridCol w:w="1068"/>
      </w:tblGrid>
      <w:tr w:rsidR="0001723B" w:rsidRPr="00244343" w14:paraId="780CAF13" w14:textId="77777777" w:rsidTr="00FC4291">
        <w:trPr>
          <w:trHeight w:val="457"/>
        </w:trPr>
        <w:tc>
          <w:tcPr>
            <w:tcW w:w="120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4A773D" w14:textId="77777777" w:rsidR="0001723B" w:rsidRPr="00244343" w:rsidRDefault="0001723B" w:rsidP="00FC4291">
            <w:pPr>
              <w:spacing w:after="0" w:line="240" w:lineRule="auto"/>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lang w:val="en-US"/>
              </w:rPr>
              <w:t>china/year</w:t>
            </w:r>
          </w:p>
        </w:tc>
        <w:tc>
          <w:tcPr>
            <w:tcW w:w="742" w:type="dxa"/>
            <w:tcBorders>
              <w:top w:val="single" w:sz="4" w:space="0" w:color="auto"/>
              <w:left w:val="nil"/>
              <w:bottom w:val="single" w:sz="4" w:space="0" w:color="auto"/>
              <w:right w:val="single" w:sz="4" w:space="0" w:color="auto"/>
            </w:tcBorders>
            <w:shd w:val="clear" w:color="000000" w:fill="FFFFFF"/>
            <w:noWrap/>
            <w:vAlign w:val="bottom"/>
            <w:hideMark/>
          </w:tcPr>
          <w:p w14:paraId="4ECD248B" w14:textId="77777777" w:rsidR="0001723B" w:rsidRPr="00244343" w:rsidRDefault="0001723B" w:rsidP="00FC4291">
            <w:pPr>
              <w:spacing w:after="0" w:line="240" w:lineRule="auto"/>
              <w:rPr>
                <w:rFonts w:ascii="Times New Roman" w:eastAsia="Times New Roman" w:hAnsi="Times New Roman" w:cs="Times New Roman"/>
                <w:sz w:val="28"/>
                <w:szCs w:val="28"/>
              </w:rPr>
            </w:pPr>
            <w:proofErr w:type="spellStart"/>
            <w:r w:rsidRPr="00244343">
              <w:rPr>
                <w:rFonts w:ascii="Times New Roman" w:eastAsia="Times New Roman" w:hAnsi="Times New Roman" w:cs="Times New Roman"/>
                <w:sz w:val="28"/>
                <w:szCs w:val="28"/>
              </w:rPr>
              <w:t>rank</w:t>
            </w:r>
            <w:proofErr w:type="spellEnd"/>
          </w:p>
        </w:tc>
        <w:tc>
          <w:tcPr>
            <w:tcW w:w="1593" w:type="dxa"/>
            <w:tcBorders>
              <w:top w:val="single" w:sz="4" w:space="0" w:color="auto"/>
              <w:left w:val="nil"/>
              <w:bottom w:val="single" w:sz="4" w:space="0" w:color="auto"/>
              <w:right w:val="single" w:sz="4" w:space="0" w:color="auto"/>
            </w:tcBorders>
            <w:shd w:val="clear" w:color="000000" w:fill="FFFFFF"/>
            <w:noWrap/>
            <w:vAlign w:val="bottom"/>
            <w:hideMark/>
          </w:tcPr>
          <w:p w14:paraId="2EFFC9FB" w14:textId="77777777" w:rsidR="0001723B" w:rsidRPr="00244343" w:rsidRDefault="0001723B" w:rsidP="00FC4291">
            <w:pPr>
              <w:spacing w:after="0" w:line="240" w:lineRule="auto"/>
              <w:rPr>
                <w:rFonts w:ascii="Times New Roman" w:eastAsia="Times New Roman" w:hAnsi="Times New Roman" w:cs="Times New Roman"/>
                <w:sz w:val="28"/>
                <w:szCs w:val="28"/>
              </w:rPr>
            </w:pPr>
            <w:proofErr w:type="spellStart"/>
            <w:r w:rsidRPr="00244343">
              <w:rPr>
                <w:rFonts w:ascii="Times New Roman" w:eastAsia="Times New Roman" w:hAnsi="Times New Roman" w:cs="Times New Roman"/>
                <w:sz w:val="28"/>
                <w:szCs w:val="28"/>
              </w:rPr>
              <w:t>business</w:t>
            </w:r>
            <w:proofErr w:type="spellEnd"/>
            <w:r w:rsidRPr="00244343">
              <w:rPr>
                <w:rFonts w:ascii="Times New Roman" w:eastAsia="Times New Roman" w:hAnsi="Times New Roman" w:cs="Times New Roman"/>
                <w:sz w:val="28"/>
                <w:szCs w:val="28"/>
              </w:rPr>
              <w:t xml:space="preserve"> </w:t>
            </w:r>
            <w:proofErr w:type="spellStart"/>
            <w:r w:rsidRPr="00244343">
              <w:rPr>
                <w:rFonts w:ascii="Times New Roman" w:eastAsia="Times New Roman" w:hAnsi="Times New Roman" w:cs="Times New Roman"/>
                <w:sz w:val="28"/>
                <w:szCs w:val="28"/>
              </w:rPr>
              <w:t>sophistication</w:t>
            </w:r>
            <w:proofErr w:type="spellEnd"/>
          </w:p>
        </w:tc>
        <w:tc>
          <w:tcPr>
            <w:tcW w:w="1330" w:type="dxa"/>
            <w:tcBorders>
              <w:top w:val="single" w:sz="4" w:space="0" w:color="auto"/>
              <w:left w:val="nil"/>
              <w:bottom w:val="single" w:sz="4" w:space="0" w:color="auto"/>
              <w:right w:val="single" w:sz="4" w:space="0" w:color="auto"/>
            </w:tcBorders>
            <w:shd w:val="clear" w:color="000000" w:fill="FFFFFF"/>
            <w:noWrap/>
            <w:vAlign w:val="bottom"/>
            <w:hideMark/>
          </w:tcPr>
          <w:p w14:paraId="25F461BA" w14:textId="77777777" w:rsidR="0001723B" w:rsidRPr="00244343" w:rsidRDefault="0001723B" w:rsidP="00FC4291">
            <w:pPr>
              <w:spacing w:after="0" w:line="240" w:lineRule="auto"/>
              <w:rPr>
                <w:rFonts w:ascii="Times New Roman" w:eastAsia="Times New Roman" w:hAnsi="Times New Roman" w:cs="Times New Roman"/>
                <w:sz w:val="28"/>
                <w:szCs w:val="28"/>
              </w:rPr>
            </w:pPr>
            <w:proofErr w:type="spellStart"/>
            <w:r w:rsidRPr="00244343">
              <w:rPr>
                <w:rFonts w:ascii="Times New Roman" w:eastAsia="Times New Roman" w:hAnsi="Times New Roman" w:cs="Times New Roman"/>
                <w:sz w:val="28"/>
                <w:szCs w:val="28"/>
              </w:rPr>
              <w:t>starting</w:t>
            </w:r>
            <w:proofErr w:type="spellEnd"/>
            <w:r w:rsidRPr="00244343">
              <w:rPr>
                <w:rFonts w:ascii="Times New Roman" w:eastAsia="Times New Roman" w:hAnsi="Times New Roman" w:cs="Times New Roman"/>
                <w:sz w:val="28"/>
                <w:szCs w:val="28"/>
              </w:rPr>
              <w:t xml:space="preserve"> a </w:t>
            </w:r>
            <w:proofErr w:type="spellStart"/>
            <w:r w:rsidRPr="00244343">
              <w:rPr>
                <w:rFonts w:ascii="Times New Roman" w:eastAsia="Times New Roman" w:hAnsi="Times New Roman" w:cs="Times New Roman"/>
                <w:sz w:val="28"/>
                <w:szCs w:val="28"/>
              </w:rPr>
              <w:t>business</w:t>
            </w:r>
            <w:proofErr w:type="spellEnd"/>
          </w:p>
        </w:tc>
        <w:tc>
          <w:tcPr>
            <w:tcW w:w="1608" w:type="dxa"/>
            <w:tcBorders>
              <w:top w:val="single" w:sz="4" w:space="0" w:color="auto"/>
              <w:left w:val="nil"/>
              <w:bottom w:val="single" w:sz="4" w:space="0" w:color="auto"/>
              <w:right w:val="single" w:sz="4" w:space="0" w:color="auto"/>
            </w:tcBorders>
            <w:shd w:val="clear" w:color="000000" w:fill="FFFFFF"/>
            <w:vAlign w:val="bottom"/>
            <w:hideMark/>
          </w:tcPr>
          <w:p w14:paraId="2B55D13F" w14:textId="77777777" w:rsidR="0001723B" w:rsidRPr="00244343" w:rsidRDefault="0001723B" w:rsidP="00FC4291">
            <w:pPr>
              <w:spacing w:after="0" w:line="240" w:lineRule="auto"/>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University/</w:t>
            </w:r>
            <w:proofErr w:type="spellStart"/>
            <w:r w:rsidRPr="00244343">
              <w:rPr>
                <w:rFonts w:ascii="Times New Roman" w:eastAsia="Times New Roman" w:hAnsi="Times New Roman" w:cs="Times New Roman"/>
                <w:sz w:val="28"/>
                <w:szCs w:val="28"/>
              </w:rPr>
              <w:t>industry</w:t>
            </w:r>
            <w:proofErr w:type="spellEnd"/>
            <w:r w:rsidRPr="00244343">
              <w:rPr>
                <w:rFonts w:ascii="Times New Roman" w:eastAsia="Times New Roman" w:hAnsi="Times New Roman" w:cs="Times New Roman"/>
                <w:sz w:val="28"/>
                <w:szCs w:val="28"/>
              </w:rPr>
              <w:t xml:space="preserve"> </w:t>
            </w:r>
            <w:proofErr w:type="spellStart"/>
            <w:r w:rsidRPr="00244343">
              <w:rPr>
                <w:rFonts w:ascii="Times New Roman" w:eastAsia="Times New Roman" w:hAnsi="Times New Roman" w:cs="Times New Roman"/>
                <w:sz w:val="28"/>
                <w:szCs w:val="28"/>
              </w:rPr>
              <w:t>research</w:t>
            </w:r>
            <w:proofErr w:type="spellEnd"/>
            <w:r w:rsidRPr="00244343">
              <w:rPr>
                <w:rFonts w:ascii="Times New Roman" w:eastAsia="Times New Roman" w:hAnsi="Times New Roman" w:cs="Times New Roman"/>
                <w:sz w:val="28"/>
                <w:szCs w:val="28"/>
              </w:rPr>
              <w:br/>
            </w:r>
            <w:proofErr w:type="spellStart"/>
            <w:r w:rsidRPr="00244343">
              <w:rPr>
                <w:rFonts w:ascii="Times New Roman" w:eastAsia="Times New Roman" w:hAnsi="Times New Roman" w:cs="Times New Roman"/>
                <w:sz w:val="28"/>
                <w:szCs w:val="28"/>
              </w:rPr>
              <w:t>collaboration</w:t>
            </w:r>
            <w:proofErr w:type="spellEnd"/>
          </w:p>
        </w:tc>
        <w:tc>
          <w:tcPr>
            <w:tcW w:w="1500" w:type="dxa"/>
            <w:tcBorders>
              <w:top w:val="single" w:sz="4" w:space="0" w:color="auto"/>
              <w:left w:val="nil"/>
              <w:bottom w:val="single" w:sz="4" w:space="0" w:color="auto"/>
              <w:right w:val="single" w:sz="4" w:space="0" w:color="auto"/>
            </w:tcBorders>
            <w:shd w:val="clear" w:color="000000" w:fill="FFFFFF"/>
            <w:vAlign w:val="bottom"/>
            <w:hideMark/>
          </w:tcPr>
          <w:p w14:paraId="16492BF7" w14:textId="77777777" w:rsidR="0001723B" w:rsidRPr="00244343" w:rsidRDefault="0001723B" w:rsidP="00FC4291">
            <w:pPr>
              <w:spacing w:after="0" w:line="240" w:lineRule="auto"/>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Presence of clusters</w:t>
            </w:r>
            <w:r w:rsidRPr="00244343">
              <w:rPr>
                <w:rFonts w:ascii="Times New Roman" w:eastAsia="Times New Roman" w:hAnsi="Times New Roman" w:cs="Times New Roman"/>
                <w:sz w:val="28"/>
                <w:szCs w:val="28"/>
                <w:lang w:val="en-US"/>
              </w:rPr>
              <w:br/>
            </w:r>
            <w:proofErr w:type="spellStart"/>
            <w:r w:rsidRPr="00244343">
              <w:rPr>
                <w:rFonts w:ascii="Times New Roman" w:eastAsia="Times New Roman" w:hAnsi="Times New Roman" w:cs="Times New Roman"/>
                <w:sz w:val="28"/>
                <w:szCs w:val="28"/>
                <w:lang w:val="en-US"/>
              </w:rPr>
              <w:t>clusters</w:t>
            </w:r>
            <w:proofErr w:type="spellEnd"/>
            <w:r w:rsidRPr="00244343">
              <w:rPr>
                <w:rFonts w:ascii="Times New Roman" w:eastAsia="Times New Roman" w:hAnsi="Times New Roman" w:cs="Times New Roman"/>
                <w:sz w:val="28"/>
                <w:szCs w:val="28"/>
                <w:lang w:val="en-US"/>
              </w:rPr>
              <w:t xml:space="preserve"> state of development</w:t>
            </w:r>
          </w:p>
        </w:tc>
        <w:tc>
          <w:tcPr>
            <w:tcW w:w="1191" w:type="dxa"/>
            <w:tcBorders>
              <w:top w:val="single" w:sz="4" w:space="0" w:color="auto"/>
              <w:left w:val="nil"/>
              <w:bottom w:val="single" w:sz="4" w:space="0" w:color="auto"/>
              <w:right w:val="single" w:sz="4" w:space="0" w:color="auto"/>
            </w:tcBorders>
            <w:shd w:val="clear" w:color="000000" w:fill="FFFFFF"/>
            <w:noWrap/>
            <w:vAlign w:val="bottom"/>
            <w:hideMark/>
          </w:tcPr>
          <w:p w14:paraId="1028608D" w14:textId="77777777" w:rsidR="0001723B" w:rsidRPr="00244343" w:rsidRDefault="0001723B" w:rsidP="00FC4291">
            <w:pPr>
              <w:spacing w:after="0" w:line="240" w:lineRule="auto"/>
              <w:rPr>
                <w:rFonts w:ascii="Times New Roman" w:eastAsia="Times New Roman" w:hAnsi="Times New Roman" w:cs="Times New Roman"/>
                <w:sz w:val="28"/>
                <w:szCs w:val="28"/>
              </w:rPr>
            </w:pPr>
            <w:proofErr w:type="spellStart"/>
            <w:r w:rsidRPr="00244343">
              <w:rPr>
                <w:rFonts w:ascii="Times New Roman" w:eastAsia="Times New Roman" w:hAnsi="Times New Roman" w:cs="Times New Roman"/>
                <w:sz w:val="28"/>
                <w:szCs w:val="28"/>
              </w:rPr>
              <w:t>political</w:t>
            </w:r>
            <w:proofErr w:type="spellEnd"/>
            <w:r w:rsidRPr="00244343">
              <w:rPr>
                <w:rFonts w:ascii="Times New Roman" w:eastAsia="Times New Roman" w:hAnsi="Times New Roman" w:cs="Times New Roman"/>
                <w:sz w:val="28"/>
                <w:szCs w:val="28"/>
              </w:rPr>
              <w:t xml:space="preserve"> </w:t>
            </w:r>
            <w:proofErr w:type="spellStart"/>
            <w:r w:rsidRPr="00244343">
              <w:rPr>
                <w:rFonts w:ascii="Times New Roman" w:eastAsia="Times New Roman" w:hAnsi="Times New Roman" w:cs="Times New Roman"/>
                <w:sz w:val="28"/>
                <w:szCs w:val="28"/>
              </w:rPr>
              <w:t>stability</w:t>
            </w:r>
            <w:proofErr w:type="spellEnd"/>
          </w:p>
        </w:tc>
      </w:tr>
      <w:tr w:rsidR="0001723B" w:rsidRPr="00244343" w14:paraId="7C6C4725" w14:textId="77777777" w:rsidTr="00FC4291">
        <w:trPr>
          <w:trHeight w:val="395"/>
        </w:trPr>
        <w:tc>
          <w:tcPr>
            <w:tcW w:w="1206" w:type="dxa"/>
            <w:tcBorders>
              <w:top w:val="nil"/>
              <w:left w:val="single" w:sz="4" w:space="0" w:color="auto"/>
              <w:bottom w:val="single" w:sz="4" w:space="0" w:color="auto"/>
              <w:right w:val="single" w:sz="4" w:space="0" w:color="auto"/>
            </w:tcBorders>
            <w:shd w:val="clear" w:color="000000" w:fill="FFFFFF"/>
            <w:noWrap/>
            <w:vAlign w:val="bottom"/>
            <w:hideMark/>
          </w:tcPr>
          <w:p w14:paraId="19A57267"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lang w:val="en-US"/>
              </w:rPr>
              <w:t>2010</w:t>
            </w:r>
          </w:p>
        </w:tc>
        <w:tc>
          <w:tcPr>
            <w:tcW w:w="742" w:type="dxa"/>
            <w:tcBorders>
              <w:top w:val="nil"/>
              <w:left w:val="nil"/>
              <w:bottom w:val="single" w:sz="4" w:space="0" w:color="auto"/>
              <w:right w:val="single" w:sz="4" w:space="0" w:color="auto"/>
            </w:tcBorders>
            <w:shd w:val="clear" w:color="000000" w:fill="FFFFFF"/>
            <w:noWrap/>
            <w:vAlign w:val="bottom"/>
            <w:hideMark/>
          </w:tcPr>
          <w:p w14:paraId="7B228EB0"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43</w:t>
            </w:r>
          </w:p>
        </w:tc>
        <w:tc>
          <w:tcPr>
            <w:tcW w:w="1593" w:type="dxa"/>
            <w:tcBorders>
              <w:top w:val="nil"/>
              <w:left w:val="nil"/>
              <w:bottom w:val="single" w:sz="4" w:space="0" w:color="auto"/>
              <w:right w:val="single" w:sz="4" w:space="0" w:color="auto"/>
            </w:tcBorders>
            <w:shd w:val="clear" w:color="000000" w:fill="FFFFFF"/>
            <w:noWrap/>
            <w:vAlign w:val="bottom"/>
            <w:hideMark/>
          </w:tcPr>
          <w:p w14:paraId="77C8FBC2"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46</w:t>
            </w:r>
          </w:p>
        </w:tc>
        <w:tc>
          <w:tcPr>
            <w:tcW w:w="1330" w:type="dxa"/>
            <w:tcBorders>
              <w:top w:val="nil"/>
              <w:left w:val="nil"/>
              <w:bottom w:val="single" w:sz="4" w:space="0" w:color="auto"/>
              <w:right w:val="single" w:sz="4" w:space="0" w:color="auto"/>
            </w:tcBorders>
            <w:shd w:val="clear" w:color="000000" w:fill="FFFFFF"/>
            <w:noWrap/>
            <w:vAlign w:val="bottom"/>
            <w:hideMark/>
          </w:tcPr>
          <w:p w14:paraId="746F2B33"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98</w:t>
            </w:r>
          </w:p>
        </w:tc>
        <w:tc>
          <w:tcPr>
            <w:tcW w:w="1608" w:type="dxa"/>
            <w:tcBorders>
              <w:top w:val="nil"/>
              <w:left w:val="nil"/>
              <w:bottom w:val="single" w:sz="4" w:space="0" w:color="auto"/>
              <w:right w:val="single" w:sz="4" w:space="0" w:color="auto"/>
            </w:tcBorders>
            <w:shd w:val="clear" w:color="000000" w:fill="FFFFFF"/>
            <w:noWrap/>
            <w:vAlign w:val="bottom"/>
            <w:hideMark/>
          </w:tcPr>
          <w:p w14:paraId="67D928C1"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23</w:t>
            </w:r>
          </w:p>
        </w:tc>
        <w:tc>
          <w:tcPr>
            <w:tcW w:w="1500" w:type="dxa"/>
            <w:tcBorders>
              <w:top w:val="nil"/>
              <w:left w:val="nil"/>
              <w:bottom w:val="single" w:sz="4" w:space="0" w:color="auto"/>
              <w:right w:val="single" w:sz="4" w:space="0" w:color="auto"/>
            </w:tcBorders>
            <w:shd w:val="clear" w:color="000000" w:fill="FFFFFF"/>
            <w:noWrap/>
            <w:vAlign w:val="bottom"/>
            <w:hideMark/>
          </w:tcPr>
          <w:p w14:paraId="10FD5D3E"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16</w:t>
            </w:r>
          </w:p>
        </w:tc>
        <w:tc>
          <w:tcPr>
            <w:tcW w:w="1191" w:type="dxa"/>
            <w:tcBorders>
              <w:top w:val="nil"/>
              <w:left w:val="nil"/>
              <w:bottom w:val="single" w:sz="4" w:space="0" w:color="auto"/>
              <w:right w:val="single" w:sz="4" w:space="0" w:color="auto"/>
            </w:tcBorders>
            <w:shd w:val="clear" w:color="000000" w:fill="FFFFFF"/>
            <w:noWrap/>
            <w:vAlign w:val="bottom"/>
            <w:hideMark/>
          </w:tcPr>
          <w:p w14:paraId="62EEC0EE"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86</w:t>
            </w:r>
          </w:p>
        </w:tc>
      </w:tr>
      <w:tr w:rsidR="0001723B" w:rsidRPr="00244343" w14:paraId="3751CD2B" w14:textId="77777777" w:rsidTr="00FC4291">
        <w:trPr>
          <w:trHeight w:val="395"/>
        </w:trPr>
        <w:tc>
          <w:tcPr>
            <w:tcW w:w="1206" w:type="dxa"/>
            <w:tcBorders>
              <w:top w:val="nil"/>
              <w:left w:val="single" w:sz="4" w:space="0" w:color="auto"/>
              <w:bottom w:val="single" w:sz="4" w:space="0" w:color="auto"/>
              <w:right w:val="single" w:sz="4" w:space="0" w:color="auto"/>
            </w:tcBorders>
            <w:shd w:val="clear" w:color="000000" w:fill="FFFFFF"/>
            <w:noWrap/>
            <w:vAlign w:val="bottom"/>
            <w:hideMark/>
          </w:tcPr>
          <w:p w14:paraId="60F24ABA"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lang w:val="en-US"/>
              </w:rPr>
              <w:t>2011</w:t>
            </w:r>
          </w:p>
        </w:tc>
        <w:tc>
          <w:tcPr>
            <w:tcW w:w="742" w:type="dxa"/>
            <w:tcBorders>
              <w:top w:val="nil"/>
              <w:left w:val="nil"/>
              <w:bottom w:val="single" w:sz="4" w:space="0" w:color="auto"/>
              <w:right w:val="single" w:sz="4" w:space="0" w:color="auto"/>
            </w:tcBorders>
            <w:shd w:val="clear" w:color="000000" w:fill="FFFFFF"/>
            <w:noWrap/>
            <w:vAlign w:val="bottom"/>
            <w:hideMark/>
          </w:tcPr>
          <w:p w14:paraId="4A29BE2D"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29</w:t>
            </w:r>
          </w:p>
        </w:tc>
        <w:tc>
          <w:tcPr>
            <w:tcW w:w="1593" w:type="dxa"/>
            <w:tcBorders>
              <w:top w:val="nil"/>
              <w:left w:val="nil"/>
              <w:bottom w:val="single" w:sz="4" w:space="0" w:color="auto"/>
              <w:right w:val="single" w:sz="4" w:space="0" w:color="auto"/>
            </w:tcBorders>
            <w:shd w:val="clear" w:color="000000" w:fill="FFFFFF"/>
            <w:noWrap/>
            <w:vAlign w:val="bottom"/>
            <w:hideMark/>
          </w:tcPr>
          <w:p w14:paraId="3E71A0CF"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29</w:t>
            </w:r>
          </w:p>
        </w:tc>
        <w:tc>
          <w:tcPr>
            <w:tcW w:w="1330" w:type="dxa"/>
            <w:tcBorders>
              <w:top w:val="nil"/>
              <w:left w:val="nil"/>
              <w:bottom w:val="single" w:sz="4" w:space="0" w:color="auto"/>
              <w:right w:val="single" w:sz="4" w:space="0" w:color="auto"/>
            </w:tcBorders>
            <w:shd w:val="clear" w:color="000000" w:fill="FFFFFF"/>
            <w:noWrap/>
            <w:vAlign w:val="bottom"/>
            <w:hideMark/>
          </w:tcPr>
          <w:p w14:paraId="28330496"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104</w:t>
            </w:r>
          </w:p>
        </w:tc>
        <w:tc>
          <w:tcPr>
            <w:tcW w:w="1608" w:type="dxa"/>
            <w:tcBorders>
              <w:top w:val="nil"/>
              <w:left w:val="nil"/>
              <w:bottom w:val="single" w:sz="4" w:space="0" w:color="auto"/>
              <w:right w:val="single" w:sz="4" w:space="0" w:color="auto"/>
            </w:tcBorders>
            <w:shd w:val="clear" w:color="000000" w:fill="FFFFFF"/>
            <w:noWrap/>
            <w:vAlign w:val="bottom"/>
            <w:hideMark/>
          </w:tcPr>
          <w:p w14:paraId="4843AABC"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24</w:t>
            </w:r>
          </w:p>
        </w:tc>
        <w:tc>
          <w:tcPr>
            <w:tcW w:w="1500" w:type="dxa"/>
            <w:tcBorders>
              <w:top w:val="nil"/>
              <w:left w:val="nil"/>
              <w:bottom w:val="single" w:sz="4" w:space="0" w:color="auto"/>
              <w:right w:val="single" w:sz="4" w:space="0" w:color="auto"/>
            </w:tcBorders>
            <w:shd w:val="clear" w:color="000000" w:fill="FFFFFF"/>
            <w:noWrap/>
            <w:vAlign w:val="bottom"/>
            <w:hideMark/>
          </w:tcPr>
          <w:p w14:paraId="66F9C9A2"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w:t>
            </w:r>
          </w:p>
        </w:tc>
        <w:tc>
          <w:tcPr>
            <w:tcW w:w="1191" w:type="dxa"/>
            <w:tcBorders>
              <w:top w:val="nil"/>
              <w:left w:val="nil"/>
              <w:bottom w:val="single" w:sz="4" w:space="0" w:color="auto"/>
              <w:right w:val="single" w:sz="4" w:space="0" w:color="auto"/>
            </w:tcBorders>
            <w:shd w:val="clear" w:color="000000" w:fill="FFFFFF"/>
            <w:noWrap/>
            <w:vAlign w:val="bottom"/>
            <w:hideMark/>
          </w:tcPr>
          <w:p w14:paraId="17B935CE"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83</w:t>
            </w:r>
          </w:p>
        </w:tc>
      </w:tr>
      <w:tr w:rsidR="0001723B" w:rsidRPr="00244343" w14:paraId="1BDD6E30" w14:textId="77777777" w:rsidTr="00FC4291">
        <w:trPr>
          <w:trHeight w:val="395"/>
        </w:trPr>
        <w:tc>
          <w:tcPr>
            <w:tcW w:w="1206" w:type="dxa"/>
            <w:tcBorders>
              <w:top w:val="nil"/>
              <w:left w:val="single" w:sz="4" w:space="0" w:color="auto"/>
              <w:bottom w:val="single" w:sz="4" w:space="0" w:color="auto"/>
              <w:right w:val="single" w:sz="4" w:space="0" w:color="auto"/>
            </w:tcBorders>
            <w:shd w:val="clear" w:color="000000" w:fill="FFFFFF"/>
            <w:noWrap/>
            <w:vAlign w:val="bottom"/>
            <w:hideMark/>
          </w:tcPr>
          <w:p w14:paraId="5838C057"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2012</w:t>
            </w:r>
          </w:p>
        </w:tc>
        <w:tc>
          <w:tcPr>
            <w:tcW w:w="742" w:type="dxa"/>
            <w:tcBorders>
              <w:top w:val="nil"/>
              <w:left w:val="nil"/>
              <w:bottom w:val="single" w:sz="4" w:space="0" w:color="auto"/>
              <w:right w:val="single" w:sz="4" w:space="0" w:color="auto"/>
            </w:tcBorders>
            <w:shd w:val="clear" w:color="000000" w:fill="FFFFFF"/>
            <w:noWrap/>
            <w:vAlign w:val="bottom"/>
            <w:hideMark/>
          </w:tcPr>
          <w:p w14:paraId="14379BA8"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34</w:t>
            </w:r>
          </w:p>
        </w:tc>
        <w:tc>
          <w:tcPr>
            <w:tcW w:w="1593" w:type="dxa"/>
            <w:tcBorders>
              <w:top w:val="nil"/>
              <w:left w:val="nil"/>
              <w:bottom w:val="single" w:sz="4" w:space="0" w:color="auto"/>
              <w:right w:val="single" w:sz="4" w:space="0" w:color="auto"/>
            </w:tcBorders>
            <w:shd w:val="clear" w:color="000000" w:fill="FFFFFF"/>
            <w:noWrap/>
            <w:vAlign w:val="bottom"/>
            <w:hideMark/>
          </w:tcPr>
          <w:p w14:paraId="345B2B89"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28</w:t>
            </w:r>
          </w:p>
        </w:tc>
        <w:tc>
          <w:tcPr>
            <w:tcW w:w="1330" w:type="dxa"/>
            <w:tcBorders>
              <w:top w:val="nil"/>
              <w:left w:val="nil"/>
              <w:bottom w:val="single" w:sz="4" w:space="0" w:color="auto"/>
              <w:right w:val="single" w:sz="4" w:space="0" w:color="auto"/>
            </w:tcBorders>
            <w:shd w:val="clear" w:color="000000" w:fill="FFFFFF"/>
            <w:noWrap/>
            <w:vAlign w:val="bottom"/>
            <w:hideMark/>
          </w:tcPr>
          <w:p w14:paraId="28A206C1"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124</w:t>
            </w:r>
          </w:p>
        </w:tc>
        <w:tc>
          <w:tcPr>
            <w:tcW w:w="1608" w:type="dxa"/>
            <w:tcBorders>
              <w:top w:val="nil"/>
              <w:left w:val="nil"/>
              <w:bottom w:val="single" w:sz="4" w:space="0" w:color="auto"/>
              <w:right w:val="single" w:sz="4" w:space="0" w:color="auto"/>
            </w:tcBorders>
            <w:shd w:val="clear" w:color="000000" w:fill="FFFFFF"/>
            <w:noWrap/>
            <w:vAlign w:val="bottom"/>
            <w:hideMark/>
          </w:tcPr>
          <w:p w14:paraId="6AE9E7BD"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28</w:t>
            </w:r>
          </w:p>
        </w:tc>
        <w:tc>
          <w:tcPr>
            <w:tcW w:w="1500" w:type="dxa"/>
            <w:tcBorders>
              <w:top w:val="nil"/>
              <w:left w:val="nil"/>
              <w:bottom w:val="single" w:sz="4" w:space="0" w:color="auto"/>
              <w:right w:val="single" w:sz="4" w:space="0" w:color="auto"/>
            </w:tcBorders>
            <w:shd w:val="clear" w:color="000000" w:fill="FFFFFF"/>
            <w:noWrap/>
            <w:vAlign w:val="bottom"/>
            <w:hideMark/>
          </w:tcPr>
          <w:p w14:paraId="2A6C1E65"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w:t>
            </w:r>
          </w:p>
        </w:tc>
        <w:tc>
          <w:tcPr>
            <w:tcW w:w="1191" w:type="dxa"/>
            <w:tcBorders>
              <w:top w:val="nil"/>
              <w:left w:val="nil"/>
              <w:bottom w:val="single" w:sz="4" w:space="0" w:color="auto"/>
              <w:right w:val="single" w:sz="4" w:space="0" w:color="auto"/>
            </w:tcBorders>
            <w:shd w:val="clear" w:color="000000" w:fill="FFFFFF"/>
            <w:noWrap/>
            <w:vAlign w:val="bottom"/>
            <w:hideMark/>
          </w:tcPr>
          <w:p w14:paraId="10D6CF5A"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105</w:t>
            </w:r>
          </w:p>
        </w:tc>
      </w:tr>
      <w:tr w:rsidR="0001723B" w:rsidRPr="00244343" w14:paraId="0B973761" w14:textId="77777777" w:rsidTr="00FC4291">
        <w:trPr>
          <w:trHeight w:val="395"/>
        </w:trPr>
        <w:tc>
          <w:tcPr>
            <w:tcW w:w="1206" w:type="dxa"/>
            <w:tcBorders>
              <w:top w:val="nil"/>
              <w:left w:val="single" w:sz="4" w:space="0" w:color="auto"/>
              <w:bottom w:val="single" w:sz="4" w:space="0" w:color="auto"/>
              <w:right w:val="single" w:sz="4" w:space="0" w:color="auto"/>
            </w:tcBorders>
            <w:shd w:val="clear" w:color="000000" w:fill="FFFFFF"/>
            <w:noWrap/>
            <w:vAlign w:val="bottom"/>
            <w:hideMark/>
          </w:tcPr>
          <w:p w14:paraId="18D8EDA6"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lang w:val="en-US"/>
              </w:rPr>
              <w:t>2013</w:t>
            </w:r>
          </w:p>
        </w:tc>
        <w:tc>
          <w:tcPr>
            <w:tcW w:w="742" w:type="dxa"/>
            <w:tcBorders>
              <w:top w:val="nil"/>
              <w:left w:val="nil"/>
              <w:bottom w:val="single" w:sz="4" w:space="0" w:color="auto"/>
              <w:right w:val="single" w:sz="4" w:space="0" w:color="auto"/>
            </w:tcBorders>
            <w:shd w:val="clear" w:color="000000" w:fill="FFFFFF"/>
            <w:noWrap/>
            <w:vAlign w:val="bottom"/>
            <w:hideMark/>
          </w:tcPr>
          <w:p w14:paraId="5521B459"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34</w:t>
            </w:r>
          </w:p>
        </w:tc>
        <w:tc>
          <w:tcPr>
            <w:tcW w:w="1593" w:type="dxa"/>
            <w:tcBorders>
              <w:top w:val="nil"/>
              <w:left w:val="nil"/>
              <w:bottom w:val="single" w:sz="4" w:space="0" w:color="auto"/>
              <w:right w:val="single" w:sz="4" w:space="0" w:color="auto"/>
            </w:tcBorders>
            <w:shd w:val="clear" w:color="000000" w:fill="FFFFFF"/>
            <w:noWrap/>
            <w:vAlign w:val="bottom"/>
            <w:hideMark/>
          </w:tcPr>
          <w:p w14:paraId="09109945"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33</w:t>
            </w:r>
          </w:p>
        </w:tc>
        <w:tc>
          <w:tcPr>
            <w:tcW w:w="1330" w:type="dxa"/>
            <w:tcBorders>
              <w:top w:val="nil"/>
              <w:left w:val="nil"/>
              <w:bottom w:val="single" w:sz="4" w:space="0" w:color="auto"/>
              <w:right w:val="single" w:sz="4" w:space="0" w:color="auto"/>
            </w:tcBorders>
            <w:shd w:val="clear" w:color="000000" w:fill="FFFFFF"/>
            <w:noWrap/>
            <w:vAlign w:val="bottom"/>
            <w:hideMark/>
          </w:tcPr>
          <w:p w14:paraId="5CD4A4DC"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118</w:t>
            </w:r>
          </w:p>
        </w:tc>
        <w:tc>
          <w:tcPr>
            <w:tcW w:w="1608" w:type="dxa"/>
            <w:tcBorders>
              <w:top w:val="nil"/>
              <w:left w:val="nil"/>
              <w:bottom w:val="single" w:sz="4" w:space="0" w:color="auto"/>
              <w:right w:val="single" w:sz="4" w:space="0" w:color="auto"/>
            </w:tcBorders>
            <w:shd w:val="clear" w:color="000000" w:fill="FFFFFF"/>
            <w:noWrap/>
            <w:vAlign w:val="bottom"/>
            <w:hideMark/>
          </w:tcPr>
          <w:p w14:paraId="64C57FFC"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33</w:t>
            </w:r>
          </w:p>
        </w:tc>
        <w:tc>
          <w:tcPr>
            <w:tcW w:w="1500" w:type="dxa"/>
            <w:tcBorders>
              <w:top w:val="nil"/>
              <w:left w:val="nil"/>
              <w:bottom w:val="single" w:sz="4" w:space="0" w:color="auto"/>
              <w:right w:val="single" w:sz="4" w:space="0" w:color="auto"/>
            </w:tcBorders>
            <w:shd w:val="clear" w:color="000000" w:fill="FFFFFF"/>
            <w:noWrap/>
            <w:vAlign w:val="bottom"/>
            <w:hideMark/>
          </w:tcPr>
          <w:p w14:paraId="07CBCE40"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22</w:t>
            </w:r>
          </w:p>
        </w:tc>
        <w:tc>
          <w:tcPr>
            <w:tcW w:w="1191" w:type="dxa"/>
            <w:tcBorders>
              <w:top w:val="nil"/>
              <w:left w:val="nil"/>
              <w:bottom w:val="single" w:sz="4" w:space="0" w:color="auto"/>
              <w:right w:val="single" w:sz="4" w:space="0" w:color="auto"/>
            </w:tcBorders>
            <w:shd w:val="clear" w:color="000000" w:fill="FFFFFF"/>
            <w:noWrap/>
            <w:vAlign w:val="bottom"/>
            <w:hideMark/>
          </w:tcPr>
          <w:p w14:paraId="30B42FB6"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106</w:t>
            </w:r>
          </w:p>
        </w:tc>
      </w:tr>
      <w:tr w:rsidR="0001723B" w:rsidRPr="00244343" w14:paraId="514F1EFC" w14:textId="77777777" w:rsidTr="00FC4291">
        <w:trPr>
          <w:trHeight w:val="395"/>
        </w:trPr>
        <w:tc>
          <w:tcPr>
            <w:tcW w:w="1206" w:type="dxa"/>
            <w:tcBorders>
              <w:top w:val="nil"/>
              <w:left w:val="single" w:sz="4" w:space="0" w:color="auto"/>
              <w:bottom w:val="single" w:sz="4" w:space="0" w:color="auto"/>
              <w:right w:val="single" w:sz="4" w:space="0" w:color="auto"/>
            </w:tcBorders>
            <w:shd w:val="clear" w:color="000000" w:fill="FFFFFF"/>
            <w:noWrap/>
            <w:vAlign w:val="bottom"/>
            <w:hideMark/>
          </w:tcPr>
          <w:p w14:paraId="43344B0C"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lang w:val="en-US"/>
              </w:rPr>
              <w:t>2014</w:t>
            </w:r>
          </w:p>
        </w:tc>
        <w:tc>
          <w:tcPr>
            <w:tcW w:w="742" w:type="dxa"/>
            <w:tcBorders>
              <w:top w:val="nil"/>
              <w:left w:val="nil"/>
              <w:bottom w:val="single" w:sz="4" w:space="0" w:color="auto"/>
              <w:right w:val="single" w:sz="4" w:space="0" w:color="auto"/>
            </w:tcBorders>
            <w:shd w:val="clear" w:color="000000" w:fill="FFFFFF"/>
            <w:noWrap/>
            <w:vAlign w:val="bottom"/>
            <w:hideMark/>
          </w:tcPr>
          <w:p w14:paraId="482FD7C9"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35</w:t>
            </w:r>
          </w:p>
        </w:tc>
        <w:tc>
          <w:tcPr>
            <w:tcW w:w="1593" w:type="dxa"/>
            <w:tcBorders>
              <w:top w:val="nil"/>
              <w:left w:val="nil"/>
              <w:bottom w:val="single" w:sz="4" w:space="0" w:color="auto"/>
              <w:right w:val="single" w:sz="4" w:space="0" w:color="auto"/>
            </w:tcBorders>
            <w:shd w:val="clear" w:color="000000" w:fill="FFFFFF"/>
            <w:noWrap/>
            <w:vAlign w:val="bottom"/>
            <w:hideMark/>
          </w:tcPr>
          <w:p w14:paraId="6E761E59"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32</w:t>
            </w:r>
          </w:p>
        </w:tc>
        <w:tc>
          <w:tcPr>
            <w:tcW w:w="1330" w:type="dxa"/>
            <w:tcBorders>
              <w:top w:val="nil"/>
              <w:left w:val="nil"/>
              <w:bottom w:val="single" w:sz="4" w:space="0" w:color="auto"/>
              <w:right w:val="single" w:sz="4" w:space="0" w:color="auto"/>
            </w:tcBorders>
            <w:shd w:val="clear" w:color="000000" w:fill="FFFFFF"/>
            <w:noWrap/>
            <w:vAlign w:val="bottom"/>
            <w:hideMark/>
          </w:tcPr>
          <w:p w14:paraId="44771E7D"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122</w:t>
            </w:r>
          </w:p>
        </w:tc>
        <w:tc>
          <w:tcPr>
            <w:tcW w:w="1608" w:type="dxa"/>
            <w:tcBorders>
              <w:top w:val="nil"/>
              <w:left w:val="nil"/>
              <w:bottom w:val="single" w:sz="4" w:space="0" w:color="auto"/>
              <w:right w:val="single" w:sz="4" w:space="0" w:color="auto"/>
            </w:tcBorders>
            <w:shd w:val="clear" w:color="000000" w:fill="FFFFFF"/>
            <w:noWrap/>
            <w:vAlign w:val="bottom"/>
            <w:hideMark/>
          </w:tcPr>
          <w:p w14:paraId="28D97974"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32</w:t>
            </w:r>
          </w:p>
        </w:tc>
        <w:tc>
          <w:tcPr>
            <w:tcW w:w="1500" w:type="dxa"/>
            <w:tcBorders>
              <w:top w:val="nil"/>
              <w:left w:val="nil"/>
              <w:bottom w:val="single" w:sz="4" w:space="0" w:color="auto"/>
              <w:right w:val="single" w:sz="4" w:space="0" w:color="auto"/>
            </w:tcBorders>
            <w:shd w:val="clear" w:color="000000" w:fill="FFFFFF"/>
            <w:noWrap/>
            <w:vAlign w:val="bottom"/>
            <w:hideMark/>
          </w:tcPr>
          <w:p w14:paraId="3A151B07"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23</w:t>
            </w:r>
          </w:p>
        </w:tc>
        <w:tc>
          <w:tcPr>
            <w:tcW w:w="1191" w:type="dxa"/>
            <w:tcBorders>
              <w:top w:val="nil"/>
              <w:left w:val="nil"/>
              <w:bottom w:val="single" w:sz="4" w:space="0" w:color="auto"/>
              <w:right w:val="single" w:sz="4" w:space="0" w:color="auto"/>
            </w:tcBorders>
            <w:shd w:val="clear" w:color="000000" w:fill="FFFFFF"/>
            <w:noWrap/>
            <w:vAlign w:val="bottom"/>
            <w:hideMark/>
          </w:tcPr>
          <w:p w14:paraId="56BAA4BF"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99</w:t>
            </w:r>
          </w:p>
        </w:tc>
      </w:tr>
      <w:tr w:rsidR="0001723B" w:rsidRPr="00244343" w14:paraId="711B83BA" w14:textId="77777777" w:rsidTr="00FC4291">
        <w:trPr>
          <w:trHeight w:val="395"/>
        </w:trPr>
        <w:tc>
          <w:tcPr>
            <w:tcW w:w="1206" w:type="dxa"/>
            <w:tcBorders>
              <w:top w:val="nil"/>
              <w:left w:val="single" w:sz="4" w:space="0" w:color="auto"/>
              <w:bottom w:val="single" w:sz="4" w:space="0" w:color="auto"/>
              <w:right w:val="single" w:sz="4" w:space="0" w:color="auto"/>
            </w:tcBorders>
            <w:shd w:val="clear" w:color="000000" w:fill="FFFFFF"/>
            <w:noWrap/>
            <w:vAlign w:val="bottom"/>
            <w:hideMark/>
          </w:tcPr>
          <w:p w14:paraId="63647D17"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lang w:val="en-US"/>
              </w:rPr>
              <w:t>2015</w:t>
            </w:r>
          </w:p>
        </w:tc>
        <w:tc>
          <w:tcPr>
            <w:tcW w:w="742" w:type="dxa"/>
            <w:tcBorders>
              <w:top w:val="nil"/>
              <w:left w:val="nil"/>
              <w:bottom w:val="single" w:sz="4" w:space="0" w:color="auto"/>
              <w:right w:val="single" w:sz="4" w:space="0" w:color="auto"/>
            </w:tcBorders>
            <w:shd w:val="clear" w:color="000000" w:fill="FFFFFF"/>
            <w:noWrap/>
            <w:vAlign w:val="bottom"/>
            <w:hideMark/>
          </w:tcPr>
          <w:p w14:paraId="211FC981"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29</w:t>
            </w:r>
          </w:p>
        </w:tc>
        <w:tc>
          <w:tcPr>
            <w:tcW w:w="1593" w:type="dxa"/>
            <w:tcBorders>
              <w:top w:val="nil"/>
              <w:left w:val="nil"/>
              <w:bottom w:val="single" w:sz="4" w:space="0" w:color="auto"/>
              <w:right w:val="single" w:sz="4" w:space="0" w:color="auto"/>
            </w:tcBorders>
            <w:shd w:val="clear" w:color="000000" w:fill="FFFFFF"/>
            <w:noWrap/>
            <w:vAlign w:val="bottom"/>
            <w:hideMark/>
          </w:tcPr>
          <w:p w14:paraId="5B820DCA"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31</w:t>
            </w:r>
          </w:p>
        </w:tc>
        <w:tc>
          <w:tcPr>
            <w:tcW w:w="1330" w:type="dxa"/>
            <w:tcBorders>
              <w:top w:val="nil"/>
              <w:left w:val="nil"/>
              <w:bottom w:val="single" w:sz="4" w:space="0" w:color="auto"/>
              <w:right w:val="single" w:sz="4" w:space="0" w:color="auto"/>
            </w:tcBorders>
            <w:shd w:val="clear" w:color="000000" w:fill="FFFFFF"/>
            <w:noWrap/>
            <w:vAlign w:val="bottom"/>
            <w:hideMark/>
          </w:tcPr>
          <w:p w14:paraId="2757D381"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105</w:t>
            </w:r>
          </w:p>
        </w:tc>
        <w:tc>
          <w:tcPr>
            <w:tcW w:w="1608" w:type="dxa"/>
            <w:tcBorders>
              <w:top w:val="nil"/>
              <w:left w:val="nil"/>
              <w:bottom w:val="single" w:sz="4" w:space="0" w:color="auto"/>
              <w:right w:val="single" w:sz="4" w:space="0" w:color="auto"/>
            </w:tcBorders>
            <w:shd w:val="clear" w:color="000000" w:fill="FFFFFF"/>
            <w:noWrap/>
            <w:vAlign w:val="bottom"/>
            <w:hideMark/>
          </w:tcPr>
          <w:p w14:paraId="6F59BC86"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31</w:t>
            </w:r>
          </w:p>
        </w:tc>
        <w:tc>
          <w:tcPr>
            <w:tcW w:w="1500" w:type="dxa"/>
            <w:tcBorders>
              <w:top w:val="nil"/>
              <w:left w:val="nil"/>
              <w:bottom w:val="single" w:sz="4" w:space="0" w:color="auto"/>
              <w:right w:val="single" w:sz="4" w:space="0" w:color="auto"/>
            </w:tcBorders>
            <w:shd w:val="clear" w:color="000000" w:fill="FFFFFF"/>
            <w:noWrap/>
            <w:vAlign w:val="bottom"/>
            <w:hideMark/>
          </w:tcPr>
          <w:p w14:paraId="60A25784"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23</w:t>
            </w:r>
          </w:p>
        </w:tc>
        <w:tc>
          <w:tcPr>
            <w:tcW w:w="1191" w:type="dxa"/>
            <w:tcBorders>
              <w:top w:val="nil"/>
              <w:left w:val="nil"/>
              <w:bottom w:val="single" w:sz="4" w:space="0" w:color="auto"/>
              <w:right w:val="single" w:sz="4" w:space="0" w:color="auto"/>
            </w:tcBorders>
            <w:shd w:val="clear" w:color="000000" w:fill="FFFFFF"/>
            <w:noWrap/>
            <w:vAlign w:val="bottom"/>
            <w:hideMark/>
          </w:tcPr>
          <w:p w14:paraId="4F044017"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99</w:t>
            </w:r>
          </w:p>
        </w:tc>
      </w:tr>
      <w:tr w:rsidR="0001723B" w:rsidRPr="00244343" w14:paraId="128E6D62" w14:textId="77777777" w:rsidTr="00FC4291">
        <w:trPr>
          <w:trHeight w:val="395"/>
        </w:trPr>
        <w:tc>
          <w:tcPr>
            <w:tcW w:w="1206" w:type="dxa"/>
            <w:tcBorders>
              <w:top w:val="nil"/>
              <w:left w:val="single" w:sz="4" w:space="0" w:color="auto"/>
              <w:bottom w:val="single" w:sz="4" w:space="0" w:color="auto"/>
              <w:right w:val="single" w:sz="4" w:space="0" w:color="auto"/>
            </w:tcBorders>
            <w:shd w:val="clear" w:color="000000" w:fill="FFFFFF"/>
            <w:noWrap/>
            <w:vAlign w:val="bottom"/>
            <w:hideMark/>
          </w:tcPr>
          <w:p w14:paraId="47995A73"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lang w:val="en-US"/>
              </w:rPr>
              <w:t>2016</w:t>
            </w:r>
          </w:p>
        </w:tc>
        <w:tc>
          <w:tcPr>
            <w:tcW w:w="742" w:type="dxa"/>
            <w:tcBorders>
              <w:top w:val="nil"/>
              <w:left w:val="nil"/>
              <w:bottom w:val="single" w:sz="4" w:space="0" w:color="auto"/>
              <w:right w:val="single" w:sz="4" w:space="0" w:color="auto"/>
            </w:tcBorders>
            <w:shd w:val="clear" w:color="000000" w:fill="FFFFFF"/>
            <w:noWrap/>
            <w:vAlign w:val="bottom"/>
            <w:hideMark/>
          </w:tcPr>
          <w:p w14:paraId="612FCC8F"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29</w:t>
            </w:r>
          </w:p>
        </w:tc>
        <w:tc>
          <w:tcPr>
            <w:tcW w:w="1593" w:type="dxa"/>
            <w:tcBorders>
              <w:top w:val="nil"/>
              <w:left w:val="nil"/>
              <w:bottom w:val="single" w:sz="4" w:space="0" w:color="auto"/>
              <w:right w:val="single" w:sz="4" w:space="0" w:color="auto"/>
            </w:tcBorders>
            <w:shd w:val="clear" w:color="000000" w:fill="FFFFFF"/>
            <w:noWrap/>
            <w:vAlign w:val="bottom"/>
            <w:hideMark/>
          </w:tcPr>
          <w:p w14:paraId="01C7818A"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w:t>
            </w:r>
          </w:p>
        </w:tc>
        <w:tc>
          <w:tcPr>
            <w:tcW w:w="1330" w:type="dxa"/>
            <w:tcBorders>
              <w:top w:val="nil"/>
              <w:left w:val="nil"/>
              <w:bottom w:val="single" w:sz="4" w:space="0" w:color="auto"/>
              <w:right w:val="single" w:sz="4" w:space="0" w:color="auto"/>
            </w:tcBorders>
            <w:shd w:val="clear" w:color="000000" w:fill="FFFFFF"/>
            <w:noWrap/>
            <w:vAlign w:val="bottom"/>
            <w:hideMark/>
          </w:tcPr>
          <w:p w14:paraId="5DC13AB6"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103</w:t>
            </w:r>
          </w:p>
        </w:tc>
        <w:tc>
          <w:tcPr>
            <w:tcW w:w="1608" w:type="dxa"/>
            <w:tcBorders>
              <w:top w:val="nil"/>
              <w:left w:val="nil"/>
              <w:bottom w:val="single" w:sz="4" w:space="0" w:color="auto"/>
              <w:right w:val="single" w:sz="4" w:space="0" w:color="auto"/>
            </w:tcBorders>
            <w:shd w:val="clear" w:color="000000" w:fill="FFFFFF"/>
            <w:noWrap/>
            <w:vAlign w:val="bottom"/>
            <w:hideMark/>
          </w:tcPr>
          <w:p w14:paraId="58F63F12"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31</w:t>
            </w:r>
          </w:p>
        </w:tc>
        <w:tc>
          <w:tcPr>
            <w:tcW w:w="1500" w:type="dxa"/>
            <w:tcBorders>
              <w:top w:val="nil"/>
              <w:left w:val="nil"/>
              <w:bottom w:val="single" w:sz="4" w:space="0" w:color="auto"/>
              <w:right w:val="single" w:sz="4" w:space="0" w:color="auto"/>
            </w:tcBorders>
            <w:shd w:val="clear" w:color="000000" w:fill="FFFFFF"/>
            <w:noWrap/>
            <w:vAlign w:val="bottom"/>
            <w:hideMark/>
          </w:tcPr>
          <w:p w14:paraId="79DE760B"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23</w:t>
            </w:r>
          </w:p>
        </w:tc>
        <w:tc>
          <w:tcPr>
            <w:tcW w:w="1191" w:type="dxa"/>
            <w:tcBorders>
              <w:top w:val="nil"/>
              <w:left w:val="nil"/>
              <w:bottom w:val="single" w:sz="4" w:space="0" w:color="auto"/>
              <w:right w:val="single" w:sz="4" w:space="0" w:color="auto"/>
            </w:tcBorders>
            <w:shd w:val="clear" w:color="000000" w:fill="FFFFFF"/>
            <w:noWrap/>
            <w:vAlign w:val="bottom"/>
            <w:hideMark/>
          </w:tcPr>
          <w:p w14:paraId="66638266"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88</w:t>
            </w:r>
          </w:p>
        </w:tc>
      </w:tr>
      <w:tr w:rsidR="0001723B" w:rsidRPr="00244343" w14:paraId="76CD26DF" w14:textId="77777777" w:rsidTr="00FC4291">
        <w:trPr>
          <w:trHeight w:val="395"/>
        </w:trPr>
        <w:tc>
          <w:tcPr>
            <w:tcW w:w="1206" w:type="dxa"/>
            <w:tcBorders>
              <w:top w:val="nil"/>
              <w:left w:val="single" w:sz="4" w:space="0" w:color="auto"/>
              <w:bottom w:val="single" w:sz="4" w:space="0" w:color="auto"/>
              <w:right w:val="single" w:sz="4" w:space="0" w:color="auto"/>
            </w:tcBorders>
            <w:shd w:val="clear" w:color="000000" w:fill="FFFFFF"/>
            <w:noWrap/>
            <w:vAlign w:val="bottom"/>
            <w:hideMark/>
          </w:tcPr>
          <w:p w14:paraId="7D06F268"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lang w:val="en-US"/>
              </w:rPr>
              <w:t>2017</w:t>
            </w:r>
          </w:p>
        </w:tc>
        <w:tc>
          <w:tcPr>
            <w:tcW w:w="742" w:type="dxa"/>
            <w:tcBorders>
              <w:top w:val="nil"/>
              <w:left w:val="nil"/>
              <w:bottom w:val="single" w:sz="4" w:space="0" w:color="auto"/>
              <w:right w:val="single" w:sz="4" w:space="0" w:color="auto"/>
            </w:tcBorders>
            <w:shd w:val="clear" w:color="000000" w:fill="FFFFFF"/>
            <w:noWrap/>
            <w:vAlign w:val="bottom"/>
            <w:hideMark/>
          </w:tcPr>
          <w:p w14:paraId="0E8E8DA0"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25</w:t>
            </w:r>
          </w:p>
        </w:tc>
        <w:tc>
          <w:tcPr>
            <w:tcW w:w="1593" w:type="dxa"/>
            <w:tcBorders>
              <w:top w:val="nil"/>
              <w:left w:val="nil"/>
              <w:bottom w:val="single" w:sz="4" w:space="0" w:color="auto"/>
              <w:right w:val="single" w:sz="4" w:space="0" w:color="auto"/>
            </w:tcBorders>
            <w:shd w:val="clear" w:color="000000" w:fill="FFFFFF"/>
            <w:noWrap/>
            <w:vAlign w:val="bottom"/>
            <w:hideMark/>
          </w:tcPr>
          <w:p w14:paraId="0DDBE0C2"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9</w:t>
            </w:r>
          </w:p>
        </w:tc>
        <w:tc>
          <w:tcPr>
            <w:tcW w:w="1330" w:type="dxa"/>
            <w:tcBorders>
              <w:top w:val="nil"/>
              <w:left w:val="nil"/>
              <w:bottom w:val="single" w:sz="4" w:space="0" w:color="auto"/>
              <w:right w:val="single" w:sz="4" w:space="0" w:color="auto"/>
            </w:tcBorders>
            <w:shd w:val="clear" w:color="000000" w:fill="FFFFFF"/>
            <w:noWrap/>
            <w:vAlign w:val="bottom"/>
            <w:hideMark/>
          </w:tcPr>
          <w:p w14:paraId="474A3DB4"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96</w:t>
            </w:r>
          </w:p>
        </w:tc>
        <w:tc>
          <w:tcPr>
            <w:tcW w:w="1608" w:type="dxa"/>
            <w:tcBorders>
              <w:top w:val="nil"/>
              <w:left w:val="nil"/>
              <w:bottom w:val="single" w:sz="4" w:space="0" w:color="auto"/>
              <w:right w:val="single" w:sz="4" w:space="0" w:color="auto"/>
            </w:tcBorders>
            <w:shd w:val="clear" w:color="000000" w:fill="FFFFFF"/>
            <w:noWrap/>
            <w:vAlign w:val="bottom"/>
            <w:hideMark/>
          </w:tcPr>
          <w:p w14:paraId="062E0A52"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29</w:t>
            </w:r>
          </w:p>
        </w:tc>
        <w:tc>
          <w:tcPr>
            <w:tcW w:w="1500" w:type="dxa"/>
            <w:tcBorders>
              <w:top w:val="nil"/>
              <w:left w:val="nil"/>
              <w:bottom w:val="single" w:sz="4" w:space="0" w:color="auto"/>
              <w:right w:val="single" w:sz="4" w:space="0" w:color="auto"/>
            </w:tcBorders>
            <w:shd w:val="clear" w:color="000000" w:fill="FFFFFF"/>
            <w:noWrap/>
            <w:vAlign w:val="bottom"/>
            <w:hideMark/>
          </w:tcPr>
          <w:p w14:paraId="2F4E9CCB"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w:t>
            </w:r>
          </w:p>
        </w:tc>
        <w:tc>
          <w:tcPr>
            <w:tcW w:w="1191" w:type="dxa"/>
            <w:tcBorders>
              <w:top w:val="nil"/>
              <w:left w:val="nil"/>
              <w:bottom w:val="single" w:sz="4" w:space="0" w:color="auto"/>
              <w:right w:val="single" w:sz="4" w:space="0" w:color="auto"/>
            </w:tcBorders>
            <w:shd w:val="clear" w:color="000000" w:fill="FFFFFF"/>
            <w:noWrap/>
            <w:vAlign w:val="bottom"/>
            <w:hideMark/>
          </w:tcPr>
          <w:p w14:paraId="75E1E9A4"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90</w:t>
            </w:r>
          </w:p>
        </w:tc>
      </w:tr>
      <w:tr w:rsidR="0001723B" w:rsidRPr="00244343" w14:paraId="0C281F6C" w14:textId="77777777" w:rsidTr="00FC4291">
        <w:trPr>
          <w:trHeight w:val="395"/>
        </w:trPr>
        <w:tc>
          <w:tcPr>
            <w:tcW w:w="1206" w:type="dxa"/>
            <w:tcBorders>
              <w:top w:val="nil"/>
              <w:left w:val="single" w:sz="4" w:space="0" w:color="auto"/>
              <w:bottom w:val="single" w:sz="4" w:space="0" w:color="auto"/>
              <w:right w:val="single" w:sz="4" w:space="0" w:color="auto"/>
            </w:tcBorders>
            <w:shd w:val="clear" w:color="000000" w:fill="FFFFFF"/>
            <w:noWrap/>
            <w:vAlign w:val="bottom"/>
            <w:hideMark/>
          </w:tcPr>
          <w:p w14:paraId="3759213D"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lang w:val="en-US"/>
              </w:rPr>
              <w:t>2018</w:t>
            </w:r>
          </w:p>
        </w:tc>
        <w:tc>
          <w:tcPr>
            <w:tcW w:w="742" w:type="dxa"/>
            <w:tcBorders>
              <w:top w:val="nil"/>
              <w:left w:val="nil"/>
              <w:bottom w:val="single" w:sz="4" w:space="0" w:color="auto"/>
              <w:right w:val="single" w:sz="4" w:space="0" w:color="auto"/>
            </w:tcBorders>
            <w:shd w:val="clear" w:color="000000" w:fill="FFFFFF"/>
            <w:noWrap/>
            <w:vAlign w:val="bottom"/>
            <w:hideMark/>
          </w:tcPr>
          <w:p w14:paraId="715CEE1C"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22</w:t>
            </w:r>
          </w:p>
        </w:tc>
        <w:tc>
          <w:tcPr>
            <w:tcW w:w="1593" w:type="dxa"/>
            <w:tcBorders>
              <w:top w:val="nil"/>
              <w:left w:val="nil"/>
              <w:bottom w:val="single" w:sz="4" w:space="0" w:color="auto"/>
              <w:right w:val="single" w:sz="4" w:space="0" w:color="auto"/>
            </w:tcBorders>
            <w:shd w:val="clear" w:color="000000" w:fill="FFFFFF"/>
            <w:noWrap/>
            <w:vAlign w:val="bottom"/>
            <w:hideMark/>
          </w:tcPr>
          <w:p w14:paraId="152796EB"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9</w:t>
            </w:r>
          </w:p>
        </w:tc>
        <w:tc>
          <w:tcPr>
            <w:tcW w:w="1330" w:type="dxa"/>
            <w:tcBorders>
              <w:top w:val="nil"/>
              <w:left w:val="nil"/>
              <w:bottom w:val="single" w:sz="4" w:space="0" w:color="auto"/>
              <w:right w:val="single" w:sz="4" w:space="0" w:color="auto"/>
            </w:tcBorders>
            <w:shd w:val="clear" w:color="000000" w:fill="FFFFFF"/>
            <w:noWrap/>
            <w:vAlign w:val="bottom"/>
            <w:hideMark/>
          </w:tcPr>
          <w:p w14:paraId="2AD57AD5"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73</w:t>
            </w:r>
          </w:p>
        </w:tc>
        <w:tc>
          <w:tcPr>
            <w:tcW w:w="1608" w:type="dxa"/>
            <w:tcBorders>
              <w:top w:val="nil"/>
              <w:left w:val="nil"/>
              <w:bottom w:val="single" w:sz="4" w:space="0" w:color="auto"/>
              <w:right w:val="single" w:sz="4" w:space="0" w:color="auto"/>
            </w:tcBorders>
            <w:shd w:val="clear" w:color="000000" w:fill="FFFFFF"/>
            <w:noWrap/>
            <w:vAlign w:val="bottom"/>
            <w:hideMark/>
          </w:tcPr>
          <w:p w14:paraId="5AD5FF77"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27</w:t>
            </w:r>
          </w:p>
        </w:tc>
        <w:tc>
          <w:tcPr>
            <w:tcW w:w="1500" w:type="dxa"/>
            <w:tcBorders>
              <w:top w:val="nil"/>
              <w:left w:val="nil"/>
              <w:bottom w:val="single" w:sz="4" w:space="0" w:color="auto"/>
              <w:right w:val="single" w:sz="4" w:space="0" w:color="auto"/>
            </w:tcBorders>
            <w:shd w:val="clear" w:color="000000" w:fill="FFFFFF"/>
            <w:noWrap/>
            <w:vAlign w:val="bottom"/>
            <w:hideMark/>
          </w:tcPr>
          <w:p w14:paraId="5EB65A03"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26</w:t>
            </w:r>
          </w:p>
        </w:tc>
        <w:tc>
          <w:tcPr>
            <w:tcW w:w="1191" w:type="dxa"/>
            <w:tcBorders>
              <w:top w:val="nil"/>
              <w:left w:val="nil"/>
              <w:bottom w:val="single" w:sz="4" w:space="0" w:color="auto"/>
              <w:right w:val="single" w:sz="4" w:space="0" w:color="auto"/>
            </w:tcBorders>
            <w:shd w:val="clear" w:color="000000" w:fill="FFFFFF"/>
            <w:noWrap/>
            <w:vAlign w:val="bottom"/>
            <w:hideMark/>
          </w:tcPr>
          <w:p w14:paraId="14A80081"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91</w:t>
            </w:r>
          </w:p>
        </w:tc>
      </w:tr>
      <w:tr w:rsidR="0001723B" w:rsidRPr="00244343" w14:paraId="63D30EF2" w14:textId="77777777" w:rsidTr="00FC4291">
        <w:trPr>
          <w:trHeight w:val="395"/>
        </w:trPr>
        <w:tc>
          <w:tcPr>
            <w:tcW w:w="1206" w:type="dxa"/>
            <w:tcBorders>
              <w:top w:val="nil"/>
              <w:left w:val="single" w:sz="4" w:space="0" w:color="auto"/>
              <w:bottom w:val="single" w:sz="4" w:space="0" w:color="auto"/>
              <w:right w:val="single" w:sz="4" w:space="0" w:color="auto"/>
            </w:tcBorders>
            <w:shd w:val="clear" w:color="000000" w:fill="FFFFFF"/>
            <w:noWrap/>
            <w:vAlign w:val="bottom"/>
            <w:hideMark/>
          </w:tcPr>
          <w:p w14:paraId="7A4A1B71"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lang w:val="en-US"/>
              </w:rPr>
              <w:t>2019</w:t>
            </w:r>
          </w:p>
        </w:tc>
        <w:tc>
          <w:tcPr>
            <w:tcW w:w="742" w:type="dxa"/>
            <w:tcBorders>
              <w:top w:val="nil"/>
              <w:left w:val="nil"/>
              <w:bottom w:val="single" w:sz="4" w:space="0" w:color="auto"/>
              <w:right w:val="single" w:sz="4" w:space="0" w:color="auto"/>
            </w:tcBorders>
            <w:shd w:val="clear" w:color="000000" w:fill="FFFFFF"/>
            <w:noWrap/>
            <w:vAlign w:val="bottom"/>
            <w:hideMark/>
          </w:tcPr>
          <w:p w14:paraId="080BBA83"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17</w:t>
            </w:r>
          </w:p>
        </w:tc>
        <w:tc>
          <w:tcPr>
            <w:tcW w:w="1593" w:type="dxa"/>
            <w:tcBorders>
              <w:top w:val="nil"/>
              <w:left w:val="nil"/>
              <w:bottom w:val="single" w:sz="4" w:space="0" w:color="auto"/>
              <w:right w:val="single" w:sz="4" w:space="0" w:color="auto"/>
            </w:tcBorders>
            <w:shd w:val="clear" w:color="000000" w:fill="FFFFFF"/>
            <w:noWrap/>
            <w:vAlign w:val="bottom"/>
            <w:hideMark/>
          </w:tcPr>
          <w:p w14:paraId="44FEDBD4"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14</w:t>
            </w:r>
          </w:p>
        </w:tc>
        <w:tc>
          <w:tcPr>
            <w:tcW w:w="1330" w:type="dxa"/>
            <w:tcBorders>
              <w:top w:val="nil"/>
              <w:left w:val="nil"/>
              <w:bottom w:val="single" w:sz="4" w:space="0" w:color="auto"/>
              <w:right w:val="single" w:sz="4" w:space="0" w:color="auto"/>
            </w:tcBorders>
            <w:shd w:val="clear" w:color="000000" w:fill="FFFFFF"/>
            <w:noWrap/>
            <w:vAlign w:val="bottom"/>
            <w:hideMark/>
          </w:tcPr>
          <w:p w14:paraId="00441C40"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25</w:t>
            </w:r>
          </w:p>
        </w:tc>
        <w:tc>
          <w:tcPr>
            <w:tcW w:w="1608" w:type="dxa"/>
            <w:tcBorders>
              <w:top w:val="nil"/>
              <w:left w:val="nil"/>
              <w:bottom w:val="single" w:sz="4" w:space="0" w:color="auto"/>
              <w:right w:val="single" w:sz="4" w:space="0" w:color="auto"/>
            </w:tcBorders>
            <w:shd w:val="clear" w:color="000000" w:fill="FFFFFF"/>
            <w:noWrap/>
            <w:vAlign w:val="bottom"/>
            <w:hideMark/>
          </w:tcPr>
          <w:p w14:paraId="4FFC7A9F"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27</w:t>
            </w:r>
          </w:p>
        </w:tc>
        <w:tc>
          <w:tcPr>
            <w:tcW w:w="1500" w:type="dxa"/>
            <w:tcBorders>
              <w:top w:val="nil"/>
              <w:left w:val="nil"/>
              <w:bottom w:val="single" w:sz="4" w:space="0" w:color="auto"/>
              <w:right w:val="single" w:sz="4" w:space="0" w:color="auto"/>
            </w:tcBorders>
            <w:shd w:val="clear" w:color="000000" w:fill="FFFFFF"/>
            <w:noWrap/>
            <w:vAlign w:val="bottom"/>
            <w:hideMark/>
          </w:tcPr>
          <w:p w14:paraId="23F90885"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28</w:t>
            </w:r>
          </w:p>
        </w:tc>
        <w:tc>
          <w:tcPr>
            <w:tcW w:w="1191" w:type="dxa"/>
            <w:tcBorders>
              <w:top w:val="nil"/>
              <w:left w:val="nil"/>
              <w:bottom w:val="single" w:sz="4" w:space="0" w:color="auto"/>
              <w:right w:val="single" w:sz="4" w:space="0" w:color="auto"/>
            </w:tcBorders>
            <w:shd w:val="clear" w:color="000000" w:fill="FFFFFF"/>
            <w:noWrap/>
            <w:vAlign w:val="bottom"/>
            <w:hideMark/>
          </w:tcPr>
          <w:p w14:paraId="23C8A79E"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46</w:t>
            </w:r>
          </w:p>
        </w:tc>
      </w:tr>
      <w:tr w:rsidR="0001723B" w:rsidRPr="00244343" w14:paraId="79783194" w14:textId="77777777" w:rsidTr="00FC4291">
        <w:trPr>
          <w:trHeight w:val="395"/>
        </w:trPr>
        <w:tc>
          <w:tcPr>
            <w:tcW w:w="1206" w:type="dxa"/>
            <w:tcBorders>
              <w:top w:val="nil"/>
              <w:left w:val="single" w:sz="4" w:space="0" w:color="auto"/>
              <w:bottom w:val="single" w:sz="4" w:space="0" w:color="auto"/>
              <w:right w:val="single" w:sz="4" w:space="0" w:color="auto"/>
            </w:tcBorders>
            <w:shd w:val="clear" w:color="000000" w:fill="FFFFFF"/>
            <w:noWrap/>
            <w:vAlign w:val="bottom"/>
            <w:hideMark/>
          </w:tcPr>
          <w:p w14:paraId="32F13CBF"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lang w:val="en-US"/>
              </w:rPr>
              <w:t>2020</w:t>
            </w:r>
          </w:p>
        </w:tc>
        <w:tc>
          <w:tcPr>
            <w:tcW w:w="742" w:type="dxa"/>
            <w:tcBorders>
              <w:top w:val="nil"/>
              <w:left w:val="nil"/>
              <w:bottom w:val="single" w:sz="4" w:space="0" w:color="auto"/>
              <w:right w:val="single" w:sz="4" w:space="0" w:color="auto"/>
            </w:tcBorders>
            <w:shd w:val="clear" w:color="000000" w:fill="FFFFFF"/>
            <w:noWrap/>
            <w:vAlign w:val="bottom"/>
            <w:hideMark/>
          </w:tcPr>
          <w:p w14:paraId="6BB43544"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14</w:t>
            </w:r>
          </w:p>
        </w:tc>
        <w:tc>
          <w:tcPr>
            <w:tcW w:w="1593" w:type="dxa"/>
            <w:tcBorders>
              <w:top w:val="nil"/>
              <w:left w:val="nil"/>
              <w:bottom w:val="single" w:sz="4" w:space="0" w:color="auto"/>
              <w:right w:val="single" w:sz="4" w:space="0" w:color="auto"/>
            </w:tcBorders>
            <w:shd w:val="clear" w:color="000000" w:fill="FFFFFF"/>
            <w:noWrap/>
            <w:vAlign w:val="bottom"/>
            <w:hideMark/>
          </w:tcPr>
          <w:p w14:paraId="7B6C4F49"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15</w:t>
            </w:r>
          </w:p>
        </w:tc>
        <w:tc>
          <w:tcPr>
            <w:tcW w:w="1330" w:type="dxa"/>
            <w:tcBorders>
              <w:top w:val="nil"/>
              <w:left w:val="nil"/>
              <w:bottom w:val="single" w:sz="4" w:space="0" w:color="auto"/>
              <w:right w:val="single" w:sz="4" w:space="0" w:color="auto"/>
            </w:tcBorders>
            <w:shd w:val="clear" w:color="000000" w:fill="FFFFFF"/>
            <w:noWrap/>
            <w:vAlign w:val="bottom"/>
            <w:hideMark/>
          </w:tcPr>
          <w:p w14:paraId="052A9EC8"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25</w:t>
            </w:r>
          </w:p>
        </w:tc>
        <w:tc>
          <w:tcPr>
            <w:tcW w:w="1608" w:type="dxa"/>
            <w:tcBorders>
              <w:top w:val="nil"/>
              <w:left w:val="nil"/>
              <w:bottom w:val="single" w:sz="4" w:space="0" w:color="auto"/>
              <w:right w:val="single" w:sz="4" w:space="0" w:color="auto"/>
            </w:tcBorders>
            <w:shd w:val="clear" w:color="000000" w:fill="FFFFFF"/>
            <w:noWrap/>
            <w:vAlign w:val="bottom"/>
            <w:hideMark/>
          </w:tcPr>
          <w:p w14:paraId="4F1A0A7D"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29</w:t>
            </w:r>
          </w:p>
        </w:tc>
        <w:tc>
          <w:tcPr>
            <w:tcW w:w="1500" w:type="dxa"/>
            <w:tcBorders>
              <w:top w:val="nil"/>
              <w:left w:val="nil"/>
              <w:bottom w:val="single" w:sz="4" w:space="0" w:color="auto"/>
              <w:right w:val="single" w:sz="4" w:space="0" w:color="auto"/>
            </w:tcBorders>
            <w:shd w:val="clear" w:color="000000" w:fill="FFFFFF"/>
            <w:noWrap/>
            <w:vAlign w:val="bottom"/>
            <w:hideMark/>
          </w:tcPr>
          <w:p w14:paraId="35114137"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25</w:t>
            </w:r>
          </w:p>
        </w:tc>
        <w:tc>
          <w:tcPr>
            <w:tcW w:w="1191" w:type="dxa"/>
            <w:tcBorders>
              <w:top w:val="nil"/>
              <w:left w:val="nil"/>
              <w:bottom w:val="single" w:sz="4" w:space="0" w:color="auto"/>
              <w:right w:val="single" w:sz="4" w:space="0" w:color="auto"/>
            </w:tcBorders>
            <w:shd w:val="clear" w:color="000000" w:fill="FFFFFF"/>
            <w:noWrap/>
            <w:vAlign w:val="bottom"/>
            <w:hideMark/>
          </w:tcPr>
          <w:p w14:paraId="71FFB2B8"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49</w:t>
            </w:r>
          </w:p>
        </w:tc>
      </w:tr>
      <w:tr w:rsidR="0001723B" w:rsidRPr="00244343" w14:paraId="7508EBC6" w14:textId="77777777" w:rsidTr="00FC4291">
        <w:trPr>
          <w:trHeight w:val="395"/>
        </w:trPr>
        <w:tc>
          <w:tcPr>
            <w:tcW w:w="1206" w:type="dxa"/>
            <w:tcBorders>
              <w:top w:val="nil"/>
              <w:left w:val="single" w:sz="4" w:space="0" w:color="auto"/>
              <w:bottom w:val="single" w:sz="4" w:space="0" w:color="auto"/>
              <w:right w:val="single" w:sz="4" w:space="0" w:color="auto"/>
            </w:tcBorders>
            <w:shd w:val="clear" w:color="000000" w:fill="FFFFFF"/>
            <w:noWrap/>
            <w:vAlign w:val="bottom"/>
            <w:hideMark/>
          </w:tcPr>
          <w:p w14:paraId="1312FAF9"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lang w:val="en-US"/>
              </w:rPr>
              <w:t>2021</w:t>
            </w:r>
          </w:p>
        </w:tc>
        <w:tc>
          <w:tcPr>
            <w:tcW w:w="742" w:type="dxa"/>
            <w:tcBorders>
              <w:top w:val="nil"/>
              <w:left w:val="nil"/>
              <w:bottom w:val="single" w:sz="4" w:space="0" w:color="auto"/>
              <w:right w:val="single" w:sz="4" w:space="0" w:color="auto"/>
            </w:tcBorders>
            <w:shd w:val="clear" w:color="000000" w:fill="FFFFFF"/>
            <w:noWrap/>
            <w:vAlign w:val="bottom"/>
            <w:hideMark/>
          </w:tcPr>
          <w:p w14:paraId="5A32CDD7"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14</w:t>
            </w:r>
          </w:p>
        </w:tc>
        <w:tc>
          <w:tcPr>
            <w:tcW w:w="1593" w:type="dxa"/>
            <w:tcBorders>
              <w:top w:val="nil"/>
              <w:left w:val="nil"/>
              <w:bottom w:val="single" w:sz="4" w:space="0" w:color="auto"/>
              <w:right w:val="single" w:sz="4" w:space="0" w:color="auto"/>
            </w:tcBorders>
            <w:shd w:val="clear" w:color="000000" w:fill="FFFFFF"/>
            <w:noWrap/>
            <w:vAlign w:val="bottom"/>
            <w:hideMark/>
          </w:tcPr>
          <w:p w14:paraId="6A0F9176"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13</w:t>
            </w:r>
          </w:p>
        </w:tc>
        <w:tc>
          <w:tcPr>
            <w:tcW w:w="1330" w:type="dxa"/>
            <w:tcBorders>
              <w:top w:val="nil"/>
              <w:left w:val="nil"/>
              <w:bottom w:val="single" w:sz="4" w:space="0" w:color="auto"/>
              <w:right w:val="single" w:sz="4" w:space="0" w:color="auto"/>
            </w:tcBorders>
            <w:shd w:val="clear" w:color="000000" w:fill="FFFFFF"/>
            <w:noWrap/>
            <w:vAlign w:val="bottom"/>
            <w:hideMark/>
          </w:tcPr>
          <w:p w14:paraId="724C4C55"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25</w:t>
            </w:r>
          </w:p>
        </w:tc>
        <w:tc>
          <w:tcPr>
            <w:tcW w:w="1608" w:type="dxa"/>
            <w:tcBorders>
              <w:top w:val="nil"/>
              <w:left w:val="nil"/>
              <w:bottom w:val="single" w:sz="4" w:space="0" w:color="auto"/>
              <w:right w:val="single" w:sz="4" w:space="0" w:color="auto"/>
            </w:tcBorders>
            <w:shd w:val="clear" w:color="000000" w:fill="FFFFFF"/>
            <w:noWrap/>
            <w:vAlign w:val="bottom"/>
            <w:hideMark/>
          </w:tcPr>
          <w:p w14:paraId="74194B5E"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w:t>
            </w:r>
          </w:p>
        </w:tc>
        <w:tc>
          <w:tcPr>
            <w:tcW w:w="1500" w:type="dxa"/>
            <w:tcBorders>
              <w:top w:val="nil"/>
              <w:left w:val="nil"/>
              <w:bottom w:val="single" w:sz="4" w:space="0" w:color="auto"/>
              <w:right w:val="single" w:sz="4" w:space="0" w:color="auto"/>
            </w:tcBorders>
            <w:shd w:val="clear" w:color="000000" w:fill="FFFFFF"/>
            <w:noWrap/>
            <w:vAlign w:val="bottom"/>
            <w:hideMark/>
          </w:tcPr>
          <w:p w14:paraId="096D43F9"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w:t>
            </w:r>
          </w:p>
        </w:tc>
        <w:tc>
          <w:tcPr>
            <w:tcW w:w="1191" w:type="dxa"/>
            <w:tcBorders>
              <w:top w:val="nil"/>
              <w:left w:val="nil"/>
              <w:bottom w:val="single" w:sz="4" w:space="0" w:color="auto"/>
              <w:right w:val="single" w:sz="4" w:space="0" w:color="auto"/>
            </w:tcBorders>
            <w:shd w:val="clear" w:color="000000" w:fill="FFFFFF"/>
            <w:noWrap/>
            <w:vAlign w:val="bottom"/>
            <w:hideMark/>
          </w:tcPr>
          <w:p w14:paraId="3FD54D72"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54</w:t>
            </w:r>
          </w:p>
        </w:tc>
      </w:tr>
      <w:tr w:rsidR="0001723B" w:rsidRPr="00244343" w14:paraId="66BDE0EF" w14:textId="77777777" w:rsidTr="00FC4291">
        <w:trPr>
          <w:trHeight w:val="395"/>
        </w:trPr>
        <w:tc>
          <w:tcPr>
            <w:tcW w:w="1206" w:type="dxa"/>
            <w:tcBorders>
              <w:top w:val="nil"/>
              <w:left w:val="single" w:sz="4" w:space="0" w:color="auto"/>
              <w:bottom w:val="single" w:sz="4" w:space="0" w:color="auto"/>
              <w:right w:val="single" w:sz="4" w:space="0" w:color="auto"/>
            </w:tcBorders>
            <w:shd w:val="clear" w:color="000000" w:fill="FFFFFF"/>
            <w:noWrap/>
            <w:vAlign w:val="bottom"/>
            <w:hideMark/>
          </w:tcPr>
          <w:p w14:paraId="7249F134"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lang w:val="en-US"/>
              </w:rPr>
              <w:t>2022</w:t>
            </w:r>
          </w:p>
        </w:tc>
        <w:tc>
          <w:tcPr>
            <w:tcW w:w="742" w:type="dxa"/>
            <w:tcBorders>
              <w:top w:val="nil"/>
              <w:left w:val="nil"/>
              <w:bottom w:val="single" w:sz="4" w:space="0" w:color="auto"/>
              <w:right w:val="single" w:sz="4" w:space="0" w:color="auto"/>
            </w:tcBorders>
            <w:shd w:val="clear" w:color="000000" w:fill="FFFFFF"/>
            <w:noWrap/>
            <w:vAlign w:val="bottom"/>
            <w:hideMark/>
          </w:tcPr>
          <w:p w14:paraId="19B755D9"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11</w:t>
            </w:r>
          </w:p>
        </w:tc>
        <w:tc>
          <w:tcPr>
            <w:tcW w:w="1593" w:type="dxa"/>
            <w:tcBorders>
              <w:top w:val="nil"/>
              <w:left w:val="nil"/>
              <w:bottom w:val="single" w:sz="4" w:space="0" w:color="auto"/>
              <w:right w:val="single" w:sz="4" w:space="0" w:color="auto"/>
            </w:tcBorders>
            <w:shd w:val="clear" w:color="000000" w:fill="FFFFFF"/>
            <w:noWrap/>
            <w:vAlign w:val="bottom"/>
            <w:hideMark/>
          </w:tcPr>
          <w:p w14:paraId="29652659"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12</w:t>
            </w:r>
          </w:p>
        </w:tc>
        <w:tc>
          <w:tcPr>
            <w:tcW w:w="1330" w:type="dxa"/>
            <w:tcBorders>
              <w:top w:val="nil"/>
              <w:left w:val="nil"/>
              <w:bottom w:val="single" w:sz="4" w:space="0" w:color="auto"/>
              <w:right w:val="single" w:sz="4" w:space="0" w:color="auto"/>
            </w:tcBorders>
            <w:shd w:val="clear" w:color="000000" w:fill="FFFFFF"/>
            <w:noWrap/>
            <w:vAlign w:val="bottom"/>
            <w:hideMark/>
          </w:tcPr>
          <w:p w14:paraId="287CE6DF"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13</w:t>
            </w:r>
          </w:p>
        </w:tc>
        <w:tc>
          <w:tcPr>
            <w:tcW w:w="1608" w:type="dxa"/>
            <w:tcBorders>
              <w:top w:val="nil"/>
              <w:left w:val="nil"/>
              <w:bottom w:val="single" w:sz="4" w:space="0" w:color="auto"/>
              <w:right w:val="single" w:sz="4" w:space="0" w:color="auto"/>
            </w:tcBorders>
            <w:shd w:val="clear" w:color="000000" w:fill="FFFFFF"/>
            <w:noWrap/>
            <w:vAlign w:val="bottom"/>
            <w:hideMark/>
          </w:tcPr>
          <w:p w14:paraId="5AB1B7E0"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5</w:t>
            </w:r>
          </w:p>
        </w:tc>
        <w:tc>
          <w:tcPr>
            <w:tcW w:w="1500" w:type="dxa"/>
            <w:tcBorders>
              <w:top w:val="nil"/>
              <w:left w:val="nil"/>
              <w:bottom w:val="single" w:sz="4" w:space="0" w:color="auto"/>
              <w:right w:val="single" w:sz="4" w:space="0" w:color="auto"/>
            </w:tcBorders>
            <w:shd w:val="clear" w:color="000000" w:fill="FFFFFF"/>
            <w:noWrap/>
            <w:vAlign w:val="bottom"/>
            <w:hideMark/>
          </w:tcPr>
          <w:p w14:paraId="6EE7F56C"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w:t>
            </w:r>
          </w:p>
        </w:tc>
        <w:tc>
          <w:tcPr>
            <w:tcW w:w="1191" w:type="dxa"/>
            <w:tcBorders>
              <w:top w:val="nil"/>
              <w:left w:val="nil"/>
              <w:bottom w:val="single" w:sz="4" w:space="0" w:color="auto"/>
              <w:right w:val="single" w:sz="4" w:space="0" w:color="auto"/>
            </w:tcBorders>
            <w:shd w:val="clear" w:color="000000" w:fill="FFFFFF"/>
            <w:noWrap/>
            <w:vAlign w:val="bottom"/>
            <w:hideMark/>
          </w:tcPr>
          <w:p w14:paraId="53BF2366"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53</w:t>
            </w:r>
          </w:p>
        </w:tc>
      </w:tr>
      <w:tr w:rsidR="0001723B" w:rsidRPr="00244343" w14:paraId="29036671" w14:textId="77777777" w:rsidTr="00FC4291">
        <w:trPr>
          <w:trHeight w:val="395"/>
        </w:trPr>
        <w:tc>
          <w:tcPr>
            <w:tcW w:w="1206" w:type="dxa"/>
            <w:tcBorders>
              <w:top w:val="nil"/>
              <w:left w:val="single" w:sz="4" w:space="0" w:color="auto"/>
              <w:bottom w:val="single" w:sz="4" w:space="0" w:color="auto"/>
              <w:right w:val="single" w:sz="4" w:space="0" w:color="auto"/>
            </w:tcBorders>
            <w:shd w:val="clear" w:color="000000" w:fill="FFFFFF"/>
            <w:noWrap/>
            <w:vAlign w:val="bottom"/>
            <w:hideMark/>
          </w:tcPr>
          <w:p w14:paraId="1D6B2BB6"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lang w:val="en-US"/>
              </w:rPr>
              <w:t>2023</w:t>
            </w:r>
          </w:p>
        </w:tc>
        <w:tc>
          <w:tcPr>
            <w:tcW w:w="742" w:type="dxa"/>
            <w:tcBorders>
              <w:top w:val="nil"/>
              <w:left w:val="nil"/>
              <w:bottom w:val="single" w:sz="4" w:space="0" w:color="auto"/>
              <w:right w:val="single" w:sz="4" w:space="0" w:color="auto"/>
            </w:tcBorders>
            <w:shd w:val="clear" w:color="000000" w:fill="FFFFFF"/>
            <w:noWrap/>
            <w:vAlign w:val="bottom"/>
            <w:hideMark/>
          </w:tcPr>
          <w:p w14:paraId="33789466"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12</w:t>
            </w:r>
          </w:p>
        </w:tc>
        <w:tc>
          <w:tcPr>
            <w:tcW w:w="1593" w:type="dxa"/>
            <w:tcBorders>
              <w:top w:val="nil"/>
              <w:left w:val="nil"/>
              <w:bottom w:val="single" w:sz="4" w:space="0" w:color="auto"/>
              <w:right w:val="single" w:sz="4" w:space="0" w:color="auto"/>
            </w:tcBorders>
            <w:shd w:val="clear" w:color="000000" w:fill="FFFFFF"/>
            <w:noWrap/>
            <w:vAlign w:val="bottom"/>
            <w:hideMark/>
          </w:tcPr>
          <w:p w14:paraId="33E1D822"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w:t>
            </w:r>
          </w:p>
        </w:tc>
        <w:tc>
          <w:tcPr>
            <w:tcW w:w="1330" w:type="dxa"/>
            <w:tcBorders>
              <w:top w:val="nil"/>
              <w:left w:val="nil"/>
              <w:bottom w:val="single" w:sz="4" w:space="0" w:color="auto"/>
              <w:right w:val="single" w:sz="4" w:space="0" w:color="auto"/>
            </w:tcBorders>
            <w:shd w:val="clear" w:color="000000" w:fill="FFFFFF"/>
            <w:noWrap/>
            <w:vAlign w:val="bottom"/>
            <w:hideMark/>
          </w:tcPr>
          <w:p w14:paraId="7A2D6A56"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14</w:t>
            </w:r>
          </w:p>
        </w:tc>
        <w:tc>
          <w:tcPr>
            <w:tcW w:w="1608" w:type="dxa"/>
            <w:tcBorders>
              <w:top w:val="nil"/>
              <w:left w:val="nil"/>
              <w:bottom w:val="single" w:sz="4" w:space="0" w:color="auto"/>
              <w:right w:val="single" w:sz="4" w:space="0" w:color="auto"/>
            </w:tcBorders>
            <w:shd w:val="clear" w:color="000000" w:fill="FFFFFF"/>
            <w:noWrap/>
            <w:vAlign w:val="bottom"/>
            <w:hideMark/>
          </w:tcPr>
          <w:p w14:paraId="3B556B37"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w:t>
            </w:r>
          </w:p>
        </w:tc>
        <w:tc>
          <w:tcPr>
            <w:tcW w:w="1500" w:type="dxa"/>
            <w:tcBorders>
              <w:top w:val="nil"/>
              <w:left w:val="nil"/>
              <w:bottom w:val="single" w:sz="4" w:space="0" w:color="auto"/>
              <w:right w:val="single" w:sz="4" w:space="0" w:color="auto"/>
            </w:tcBorders>
            <w:shd w:val="clear" w:color="000000" w:fill="FFFFFF"/>
            <w:noWrap/>
            <w:vAlign w:val="bottom"/>
            <w:hideMark/>
          </w:tcPr>
          <w:p w14:paraId="56FEEE20"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w:t>
            </w:r>
          </w:p>
        </w:tc>
        <w:tc>
          <w:tcPr>
            <w:tcW w:w="1191" w:type="dxa"/>
            <w:tcBorders>
              <w:top w:val="nil"/>
              <w:left w:val="nil"/>
              <w:bottom w:val="single" w:sz="4" w:space="0" w:color="auto"/>
              <w:right w:val="single" w:sz="4" w:space="0" w:color="auto"/>
            </w:tcBorders>
            <w:shd w:val="clear" w:color="000000" w:fill="FFFFFF"/>
            <w:noWrap/>
            <w:vAlign w:val="bottom"/>
            <w:hideMark/>
          </w:tcPr>
          <w:p w14:paraId="0D0236F7"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65</w:t>
            </w:r>
          </w:p>
        </w:tc>
      </w:tr>
    </w:tbl>
    <w:p w14:paraId="027DC62F" w14:textId="77777777" w:rsidR="0001723B" w:rsidRPr="00244343" w:rsidRDefault="0001723B" w:rsidP="0001723B">
      <w:pPr>
        <w:spacing w:after="0" w:line="240" w:lineRule="auto"/>
        <w:contextualSpacing/>
        <w:jc w:val="center"/>
        <w:rPr>
          <w:rFonts w:ascii="Times New Roman" w:hAnsi="Times New Roman" w:cs="Times New Roman"/>
          <w:sz w:val="28"/>
          <w:szCs w:val="28"/>
          <w:lang w:val="en-US"/>
        </w:rPr>
      </w:pPr>
    </w:p>
    <w:p w14:paraId="2E28B757" w14:textId="01041480" w:rsidR="0001723B" w:rsidRPr="00244343" w:rsidRDefault="0001723B" w:rsidP="0001723B">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Table </w:t>
      </w:r>
      <w:r w:rsidR="008E6E5F">
        <w:rPr>
          <w:rFonts w:ascii="Times New Roman" w:eastAsia="Times New Roman" w:hAnsi="Times New Roman" w:cs="Times New Roman"/>
          <w:sz w:val="28"/>
          <w:szCs w:val="28"/>
          <w:lang w:val="en-US"/>
        </w:rPr>
        <w:t>B</w:t>
      </w:r>
      <w:r w:rsidRPr="00244343">
        <w:rPr>
          <w:rFonts w:ascii="Times New Roman" w:eastAsia="Times New Roman" w:hAnsi="Times New Roman" w:cs="Times New Roman"/>
          <w:sz w:val="28"/>
          <w:szCs w:val="28"/>
          <w:lang w:val="en-US"/>
        </w:rPr>
        <w:t xml:space="preserve">.2 </w:t>
      </w:r>
      <w:r w:rsidR="001E3D87">
        <w:rPr>
          <w:rFonts w:ascii="Times New Roman" w:eastAsia="Times New Roman" w:hAnsi="Times New Roman" w:cs="Times New Roman"/>
          <w:sz w:val="28"/>
          <w:szCs w:val="28"/>
          <w:lang w:val="en-US"/>
        </w:rPr>
        <w:t>–</w:t>
      </w:r>
      <w:r w:rsidRPr="00244343">
        <w:rPr>
          <w:rFonts w:ascii="Times New Roman" w:eastAsia="Times New Roman" w:hAnsi="Times New Roman" w:cs="Times New Roman"/>
          <w:sz w:val="28"/>
          <w:szCs w:val="28"/>
          <w:lang w:val="en-US"/>
        </w:rPr>
        <w:t xml:space="preserve"> Global Innovation Index pillars rank: Italy</w:t>
      </w:r>
    </w:p>
    <w:p w14:paraId="6B0E5C46" w14:textId="77777777" w:rsidR="0001723B" w:rsidRPr="00244343" w:rsidRDefault="0001723B" w:rsidP="0001723B">
      <w:pPr>
        <w:spacing w:after="0" w:line="240" w:lineRule="auto"/>
        <w:contextualSpacing/>
        <w:jc w:val="both"/>
        <w:rPr>
          <w:rFonts w:ascii="Times New Roman" w:hAnsi="Times New Roman" w:cs="Times New Roman"/>
          <w:sz w:val="28"/>
          <w:szCs w:val="28"/>
          <w:lang w:val="en-US"/>
        </w:rPr>
      </w:pPr>
    </w:p>
    <w:tbl>
      <w:tblPr>
        <w:tblW w:w="9344" w:type="dxa"/>
        <w:tblLook w:val="04A0" w:firstRow="1" w:lastRow="0" w:firstColumn="1" w:lastColumn="0" w:noHBand="0" w:noVBand="1"/>
      </w:tblPr>
      <w:tblGrid>
        <w:gridCol w:w="1231"/>
        <w:gridCol w:w="694"/>
        <w:gridCol w:w="1709"/>
        <w:gridCol w:w="1126"/>
        <w:gridCol w:w="2305"/>
        <w:gridCol w:w="1182"/>
        <w:gridCol w:w="1097"/>
      </w:tblGrid>
      <w:tr w:rsidR="0001723B" w:rsidRPr="00244343" w14:paraId="46ACB160" w14:textId="77777777" w:rsidTr="001E3D87">
        <w:trPr>
          <w:trHeight w:val="782"/>
        </w:trPr>
        <w:tc>
          <w:tcPr>
            <w:tcW w:w="1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F6C7D7" w14:textId="77777777" w:rsidR="0001723B" w:rsidRPr="00244343" w:rsidRDefault="0001723B" w:rsidP="00FC4291">
            <w:pPr>
              <w:spacing w:after="0" w:line="240" w:lineRule="auto"/>
              <w:rPr>
                <w:rFonts w:ascii="Times New Roman" w:eastAsia="Times New Roman" w:hAnsi="Times New Roman" w:cs="Times New Roman"/>
                <w:sz w:val="28"/>
                <w:szCs w:val="28"/>
              </w:rPr>
            </w:pPr>
            <w:proofErr w:type="spellStart"/>
            <w:r w:rsidRPr="00244343">
              <w:rPr>
                <w:rFonts w:ascii="Times New Roman" w:eastAsia="Times New Roman" w:hAnsi="Times New Roman" w:cs="Times New Roman"/>
                <w:sz w:val="28"/>
                <w:szCs w:val="28"/>
              </w:rPr>
              <w:t>italy</w:t>
            </w:r>
            <w:proofErr w:type="spellEnd"/>
            <w:r w:rsidRPr="00244343">
              <w:rPr>
                <w:rFonts w:ascii="Times New Roman" w:eastAsia="Times New Roman" w:hAnsi="Times New Roman" w:cs="Times New Roman"/>
                <w:sz w:val="28"/>
                <w:szCs w:val="28"/>
              </w:rPr>
              <w:t>/</w:t>
            </w:r>
            <w:proofErr w:type="spellStart"/>
            <w:r w:rsidRPr="00244343">
              <w:rPr>
                <w:rFonts w:ascii="Times New Roman" w:eastAsia="Times New Roman" w:hAnsi="Times New Roman" w:cs="Times New Roman"/>
                <w:sz w:val="28"/>
                <w:szCs w:val="28"/>
              </w:rPr>
              <w:t>year</w:t>
            </w:r>
            <w:proofErr w:type="spellEnd"/>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14:paraId="365D57DA" w14:textId="77777777" w:rsidR="0001723B" w:rsidRPr="00244343" w:rsidRDefault="0001723B" w:rsidP="00FC4291">
            <w:pPr>
              <w:spacing w:after="0" w:line="240" w:lineRule="auto"/>
              <w:rPr>
                <w:rFonts w:ascii="Times New Roman" w:eastAsia="Times New Roman" w:hAnsi="Times New Roman" w:cs="Times New Roman"/>
                <w:sz w:val="28"/>
                <w:szCs w:val="28"/>
              </w:rPr>
            </w:pPr>
            <w:proofErr w:type="spellStart"/>
            <w:r w:rsidRPr="00244343">
              <w:rPr>
                <w:rFonts w:ascii="Times New Roman" w:eastAsia="Times New Roman" w:hAnsi="Times New Roman" w:cs="Times New Roman"/>
                <w:sz w:val="28"/>
                <w:szCs w:val="28"/>
              </w:rPr>
              <w:t>rank</w:t>
            </w:r>
            <w:proofErr w:type="spellEnd"/>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36000A62" w14:textId="77777777" w:rsidR="0001723B" w:rsidRPr="00244343" w:rsidRDefault="0001723B" w:rsidP="00FC4291">
            <w:pPr>
              <w:spacing w:after="0" w:line="240" w:lineRule="auto"/>
              <w:rPr>
                <w:rFonts w:ascii="Times New Roman" w:eastAsia="Times New Roman" w:hAnsi="Times New Roman" w:cs="Times New Roman"/>
                <w:sz w:val="28"/>
                <w:szCs w:val="28"/>
              </w:rPr>
            </w:pPr>
            <w:proofErr w:type="spellStart"/>
            <w:r w:rsidRPr="00244343">
              <w:rPr>
                <w:rFonts w:ascii="Times New Roman" w:eastAsia="Times New Roman" w:hAnsi="Times New Roman" w:cs="Times New Roman"/>
                <w:sz w:val="28"/>
                <w:szCs w:val="28"/>
              </w:rPr>
              <w:t>business</w:t>
            </w:r>
            <w:proofErr w:type="spellEnd"/>
            <w:r w:rsidRPr="00244343">
              <w:rPr>
                <w:rFonts w:ascii="Times New Roman" w:eastAsia="Times New Roman" w:hAnsi="Times New Roman" w:cs="Times New Roman"/>
                <w:sz w:val="28"/>
                <w:szCs w:val="28"/>
              </w:rPr>
              <w:t xml:space="preserve"> </w:t>
            </w:r>
            <w:proofErr w:type="spellStart"/>
            <w:r w:rsidRPr="00244343">
              <w:rPr>
                <w:rFonts w:ascii="Times New Roman" w:eastAsia="Times New Roman" w:hAnsi="Times New Roman" w:cs="Times New Roman"/>
                <w:sz w:val="28"/>
                <w:szCs w:val="28"/>
              </w:rPr>
              <w:t>sophistication</w:t>
            </w:r>
            <w:proofErr w:type="spellEnd"/>
          </w:p>
        </w:tc>
        <w:tc>
          <w:tcPr>
            <w:tcW w:w="1121" w:type="dxa"/>
            <w:tcBorders>
              <w:top w:val="single" w:sz="4" w:space="0" w:color="auto"/>
              <w:left w:val="nil"/>
              <w:bottom w:val="single" w:sz="4" w:space="0" w:color="auto"/>
              <w:right w:val="single" w:sz="4" w:space="0" w:color="auto"/>
            </w:tcBorders>
            <w:shd w:val="clear" w:color="auto" w:fill="auto"/>
            <w:noWrap/>
            <w:vAlign w:val="bottom"/>
            <w:hideMark/>
          </w:tcPr>
          <w:p w14:paraId="3A9B1051" w14:textId="77777777" w:rsidR="0001723B" w:rsidRPr="00244343" w:rsidRDefault="0001723B" w:rsidP="00FC4291">
            <w:pPr>
              <w:spacing w:after="0" w:line="240" w:lineRule="auto"/>
              <w:rPr>
                <w:rFonts w:ascii="Times New Roman" w:eastAsia="Times New Roman" w:hAnsi="Times New Roman" w:cs="Times New Roman"/>
                <w:sz w:val="28"/>
                <w:szCs w:val="28"/>
              </w:rPr>
            </w:pPr>
            <w:proofErr w:type="spellStart"/>
            <w:r w:rsidRPr="00244343">
              <w:rPr>
                <w:rFonts w:ascii="Times New Roman" w:eastAsia="Times New Roman" w:hAnsi="Times New Roman" w:cs="Times New Roman"/>
                <w:sz w:val="28"/>
                <w:szCs w:val="28"/>
              </w:rPr>
              <w:t>starting</w:t>
            </w:r>
            <w:proofErr w:type="spellEnd"/>
            <w:r w:rsidRPr="00244343">
              <w:rPr>
                <w:rFonts w:ascii="Times New Roman" w:eastAsia="Times New Roman" w:hAnsi="Times New Roman" w:cs="Times New Roman"/>
                <w:sz w:val="28"/>
                <w:szCs w:val="28"/>
              </w:rPr>
              <w:t xml:space="preserve"> a </w:t>
            </w:r>
            <w:proofErr w:type="spellStart"/>
            <w:r w:rsidRPr="00244343">
              <w:rPr>
                <w:rFonts w:ascii="Times New Roman" w:eastAsia="Times New Roman" w:hAnsi="Times New Roman" w:cs="Times New Roman"/>
                <w:sz w:val="28"/>
                <w:szCs w:val="28"/>
              </w:rPr>
              <w:t>business</w:t>
            </w:r>
            <w:proofErr w:type="spellEnd"/>
          </w:p>
        </w:tc>
        <w:tc>
          <w:tcPr>
            <w:tcW w:w="2293" w:type="dxa"/>
            <w:tcBorders>
              <w:top w:val="single" w:sz="4" w:space="0" w:color="auto"/>
              <w:left w:val="nil"/>
              <w:bottom w:val="single" w:sz="4" w:space="0" w:color="auto"/>
              <w:right w:val="single" w:sz="4" w:space="0" w:color="auto"/>
            </w:tcBorders>
            <w:shd w:val="clear" w:color="auto" w:fill="auto"/>
            <w:vAlign w:val="bottom"/>
            <w:hideMark/>
          </w:tcPr>
          <w:p w14:paraId="69CDCE89" w14:textId="77777777" w:rsidR="0001723B" w:rsidRPr="00244343" w:rsidRDefault="0001723B" w:rsidP="00FC4291">
            <w:pPr>
              <w:spacing w:after="0" w:line="240" w:lineRule="auto"/>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University/</w:t>
            </w:r>
            <w:proofErr w:type="spellStart"/>
            <w:r w:rsidRPr="00244343">
              <w:rPr>
                <w:rFonts w:ascii="Times New Roman" w:eastAsia="Times New Roman" w:hAnsi="Times New Roman" w:cs="Times New Roman"/>
                <w:sz w:val="28"/>
                <w:szCs w:val="28"/>
              </w:rPr>
              <w:t>industry</w:t>
            </w:r>
            <w:proofErr w:type="spellEnd"/>
            <w:r w:rsidRPr="00244343">
              <w:rPr>
                <w:rFonts w:ascii="Times New Roman" w:eastAsia="Times New Roman" w:hAnsi="Times New Roman" w:cs="Times New Roman"/>
                <w:sz w:val="28"/>
                <w:szCs w:val="28"/>
              </w:rPr>
              <w:t xml:space="preserve"> </w:t>
            </w:r>
            <w:proofErr w:type="spellStart"/>
            <w:r w:rsidRPr="00244343">
              <w:rPr>
                <w:rFonts w:ascii="Times New Roman" w:eastAsia="Times New Roman" w:hAnsi="Times New Roman" w:cs="Times New Roman"/>
                <w:sz w:val="28"/>
                <w:szCs w:val="28"/>
              </w:rPr>
              <w:t>research</w:t>
            </w:r>
            <w:proofErr w:type="spellEnd"/>
            <w:r w:rsidRPr="00244343">
              <w:rPr>
                <w:rFonts w:ascii="Times New Roman" w:eastAsia="Times New Roman" w:hAnsi="Times New Roman" w:cs="Times New Roman"/>
                <w:sz w:val="28"/>
                <w:szCs w:val="28"/>
              </w:rPr>
              <w:br/>
            </w:r>
            <w:proofErr w:type="spellStart"/>
            <w:r w:rsidRPr="00244343">
              <w:rPr>
                <w:rFonts w:ascii="Times New Roman" w:eastAsia="Times New Roman" w:hAnsi="Times New Roman" w:cs="Times New Roman"/>
                <w:sz w:val="28"/>
                <w:szCs w:val="28"/>
              </w:rPr>
              <w:t>collaboration</w:t>
            </w:r>
            <w:proofErr w:type="spellEnd"/>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14:paraId="1779592E" w14:textId="77777777" w:rsidR="0001723B" w:rsidRPr="00244343" w:rsidRDefault="0001723B" w:rsidP="00FC4291">
            <w:pPr>
              <w:spacing w:after="0" w:line="240" w:lineRule="auto"/>
              <w:rPr>
                <w:rFonts w:ascii="Times New Roman" w:eastAsia="Times New Roman" w:hAnsi="Times New Roman" w:cs="Times New Roman"/>
                <w:sz w:val="28"/>
                <w:szCs w:val="28"/>
              </w:rPr>
            </w:pPr>
            <w:proofErr w:type="spellStart"/>
            <w:r w:rsidRPr="00244343">
              <w:rPr>
                <w:rFonts w:ascii="Times New Roman" w:eastAsia="Times New Roman" w:hAnsi="Times New Roman" w:cs="Times New Roman"/>
                <w:sz w:val="28"/>
                <w:szCs w:val="28"/>
              </w:rPr>
              <w:t>Presence</w:t>
            </w:r>
            <w:proofErr w:type="spellEnd"/>
            <w:r w:rsidRPr="00244343">
              <w:rPr>
                <w:rFonts w:ascii="Times New Roman" w:eastAsia="Times New Roman" w:hAnsi="Times New Roman" w:cs="Times New Roman"/>
                <w:sz w:val="28"/>
                <w:szCs w:val="28"/>
              </w:rPr>
              <w:t xml:space="preserve"> </w:t>
            </w:r>
            <w:proofErr w:type="spellStart"/>
            <w:r w:rsidRPr="00244343">
              <w:rPr>
                <w:rFonts w:ascii="Times New Roman" w:eastAsia="Times New Roman" w:hAnsi="Times New Roman" w:cs="Times New Roman"/>
                <w:sz w:val="28"/>
                <w:szCs w:val="28"/>
              </w:rPr>
              <w:t>of</w:t>
            </w:r>
            <w:proofErr w:type="spellEnd"/>
            <w:r w:rsidRPr="00244343">
              <w:rPr>
                <w:rFonts w:ascii="Times New Roman" w:eastAsia="Times New Roman" w:hAnsi="Times New Roman" w:cs="Times New Roman"/>
                <w:sz w:val="28"/>
                <w:szCs w:val="28"/>
              </w:rPr>
              <w:t xml:space="preserve"> </w:t>
            </w:r>
            <w:proofErr w:type="spellStart"/>
            <w:r w:rsidRPr="00244343">
              <w:rPr>
                <w:rFonts w:ascii="Times New Roman" w:eastAsia="Times New Roman" w:hAnsi="Times New Roman" w:cs="Times New Roman"/>
                <w:sz w:val="28"/>
                <w:szCs w:val="28"/>
              </w:rPr>
              <w:t>clusters</w:t>
            </w:r>
            <w:proofErr w:type="spellEnd"/>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14:paraId="255EF368" w14:textId="77777777" w:rsidR="0001723B" w:rsidRPr="00244343" w:rsidRDefault="0001723B" w:rsidP="00FC4291">
            <w:pPr>
              <w:spacing w:after="0" w:line="240" w:lineRule="auto"/>
              <w:rPr>
                <w:rFonts w:ascii="Times New Roman" w:eastAsia="Times New Roman" w:hAnsi="Times New Roman" w:cs="Times New Roman"/>
                <w:sz w:val="28"/>
                <w:szCs w:val="28"/>
              </w:rPr>
            </w:pPr>
            <w:proofErr w:type="spellStart"/>
            <w:r w:rsidRPr="00244343">
              <w:rPr>
                <w:rFonts w:ascii="Times New Roman" w:eastAsia="Times New Roman" w:hAnsi="Times New Roman" w:cs="Times New Roman"/>
                <w:sz w:val="28"/>
                <w:szCs w:val="28"/>
              </w:rPr>
              <w:t>political</w:t>
            </w:r>
            <w:proofErr w:type="spellEnd"/>
            <w:r w:rsidRPr="00244343">
              <w:rPr>
                <w:rFonts w:ascii="Times New Roman" w:eastAsia="Times New Roman" w:hAnsi="Times New Roman" w:cs="Times New Roman"/>
                <w:sz w:val="28"/>
                <w:szCs w:val="28"/>
              </w:rPr>
              <w:t xml:space="preserve"> </w:t>
            </w:r>
            <w:proofErr w:type="spellStart"/>
            <w:r w:rsidRPr="00244343">
              <w:rPr>
                <w:rFonts w:ascii="Times New Roman" w:eastAsia="Times New Roman" w:hAnsi="Times New Roman" w:cs="Times New Roman"/>
                <w:sz w:val="28"/>
                <w:szCs w:val="28"/>
              </w:rPr>
              <w:t>stability</w:t>
            </w:r>
            <w:proofErr w:type="spellEnd"/>
          </w:p>
        </w:tc>
      </w:tr>
      <w:tr w:rsidR="0001723B" w:rsidRPr="00244343" w14:paraId="2F9FF093" w14:textId="77777777" w:rsidTr="001E3D87">
        <w:trPr>
          <w:trHeight w:val="207"/>
        </w:trPr>
        <w:tc>
          <w:tcPr>
            <w:tcW w:w="122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1D8C7C"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w:t>
            </w:r>
          </w:p>
        </w:tc>
        <w:tc>
          <w:tcPr>
            <w:tcW w:w="691" w:type="dxa"/>
            <w:tcBorders>
              <w:top w:val="single" w:sz="4" w:space="0" w:color="auto"/>
              <w:left w:val="nil"/>
              <w:bottom w:val="single" w:sz="4" w:space="0" w:color="auto"/>
              <w:right w:val="single" w:sz="4" w:space="0" w:color="auto"/>
            </w:tcBorders>
            <w:shd w:val="clear" w:color="auto" w:fill="auto"/>
            <w:noWrap/>
            <w:vAlign w:val="bottom"/>
          </w:tcPr>
          <w:p w14:paraId="0AA35E5F"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38681683"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w:t>
            </w:r>
          </w:p>
        </w:tc>
        <w:tc>
          <w:tcPr>
            <w:tcW w:w="1121" w:type="dxa"/>
            <w:tcBorders>
              <w:top w:val="single" w:sz="4" w:space="0" w:color="auto"/>
              <w:left w:val="nil"/>
              <w:bottom w:val="single" w:sz="4" w:space="0" w:color="auto"/>
              <w:right w:val="single" w:sz="4" w:space="0" w:color="auto"/>
            </w:tcBorders>
            <w:shd w:val="clear" w:color="auto" w:fill="auto"/>
            <w:noWrap/>
            <w:vAlign w:val="bottom"/>
          </w:tcPr>
          <w:p w14:paraId="0C347BAE"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w:t>
            </w:r>
          </w:p>
        </w:tc>
        <w:tc>
          <w:tcPr>
            <w:tcW w:w="2293" w:type="dxa"/>
            <w:tcBorders>
              <w:top w:val="single" w:sz="4" w:space="0" w:color="auto"/>
              <w:left w:val="nil"/>
              <w:bottom w:val="single" w:sz="4" w:space="0" w:color="auto"/>
              <w:right w:val="single" w:sz="4" w:space="0" w:color="auto"/>
            </w:tcBorders>
            <w:shd w:val="clear" w:color="auto" w:fill="auto"/>
            <w:vAlign w:val="bottom"/>
          </w:tcPr>
          <w:p w14:paraId="54797EC1"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5</w:t>
            </w:r>
          </w:p>
        </w:tc>
        <w:tc>
          <w:tcPr>
            <w:tcW w:w="1223" w:type="dxa"/>
            <w:tcBorders>
              <w:top w:val="single" w:sz="4" w:space="0" w:color="auto"/>
              <w:left w:val="nil"/>
              <w:bottom w:val="single" w:sz="4" w:space="0" w:color="auto"/>
              <w:right w:val="single" w:sz="4" w:space="0" w:color="auto"/>
            </w:tcBorders>
            <w:shd w:val="clear" w:color="auto" w:fill="auto"/>
            <w:noWrap/>
            <w:vAlign w:val="bottom"/>
          </w:tcPr>
          <w:p w14:paraId="540082F6"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w:t>
            </w:r>
          </w:p>
        </w:tc>
        <w:tc>
          <w:tcPr>
            <w:tcW w:w="1091" w:type="dxa"/>
            <w:tcBorders>
              <w:top w:val="single" w:sz="4" w:space="0" w:color="auto"/>
              <w:left w:val="nil"/>
              <w:bottom w:val="single" w:sz="4" w:space="0" w:color="auto"/>
              <w:right w:val="single" w:sz="4" w:space="0" w:color="auto"/>
            </w:tcBorders>
            <w:shd w:val="clear" w:color="auto" w:fill="auto"/>
            <w:noWrap/>
            <w:vAlign w:val="bottom"/>
          </w:tcPr>
          <w:p w14:paraId="32ACF0D5"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w:t>
            </w:r>
          </w:p>
        </w:tc>
      </w:tr>
      <w:tr w:rsidR="0001723B" w:rsidRPr="00244343" w14:paraId="7A83952D" w14:textId="77777777" w:rsidTr="001E3D87">
        <w:trPr>
          <w:trHeight w:val="260"/>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25DCFF09"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2007</w:t>
            </w:r>
          </w:p>
        </w:tc>
        <w:tc>
          <w:tcPr>
            <w:tcW w:w="691" w:type="dxa"/>
            <w:tcBorders>
              <w:top w:val="nil"/>
              <w:left w:val="nil"/>
              <w:bottom w:val="single" w:sz="4" w:space="0" w:color="auto"/>
              <w:right w:val="single" w:sz="4" w:space="0" w:color="auto"/>
            </w:tcBorders>
            <w:shd w:val="clear" w:color="auto" w:fill="auto"/>
            <w:noWrap/>
            <w:vAlign w:val="bottom"/>
            <w:hideMark/>
          </w:tcPr>
          <w:p w14:paraId="2A30C8A0"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24</w:t>
            </w:r>
          </w:p>
        </w:tc>
        <w:tc>
          <w:tcPr>
            <w:tcW w:w="1700" w:type="dxa"/>
            <w:tcBorders>
              <w:top w:val="nil"/>
              <w:left w:val="nil"/>
              <w:bottom w:val="single" w:sz="4" w:space="0" w:color="auto"/>
              <w:right w:val="single" w:sz="4" w:space="0" w:color="auto"/>
            </w:tcBorders>
            <w:shd w:val="clear" w:color="auto" w:fill="auto"/>
            <w:noWrap/>
            <w:vAlign w:val="bottom"/>
            <w:hideMark/>
          </w:tcPr>
          <w:p w14:paraId="2C8D5920"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p>
        </w:tc>
        <w:tc>
          <w:tcPr>
            <w:tcW w:w="1121" w:type="dxa"/>
            <w:tcBorders>
              <w:top w:val="nil"/>
              <w:left w:val="nil"/>
              <w:bottom w:val="single" w:sz="4" w:space="0" w:color="auto"/>
              <w:right w:val="single" w:sz="4" w:space="0" w:color="auto"/>
            </w:tcBorders>
            <w:shd w:val="clear" w:color="auto" w:fill="auto"/>
            <w:noWrap/>
            <w:vAlign w:val="bottom"/>
            <w:hideMark/>
          </w:tcPr>
          <w:p w14:paraId="45A0E08A"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p>
        </w:tc>
        <w:tc>
          <w:tcPr>
            <w:tcW w:w="2293" w:type="dxa"/>
            <w:tcBorders>
              <w:top w:val="nil"/>
              <w:left w:val="nil"/>
              <w:bottom w:val="single" w:sz="4" w:space="0" w:color="auto"/>
              <w:right w:val="single" w:sz="4" w:space="0" w:color="auto"/>
            </w:tcBorders>
            <w:shd w:val="clear" w:color="auto" w:fill="auto"/>
            <w:noWrap/>
            <w:vAlign w:val="bottom"/>
            <w:hideMark/>
          </w:tcPr>
          <w:p w14:paraId="47D2E5A6"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p>
        </w:tc>
        <w:tc>
          <w:tcPr>
            <w:tcW w:w="1223" w:type="dxa"/>
            <w:tcBorders>
              <w:top w:val="nil"/>
              <w:left w:val="nil"/>
              <w:bottom w:val="single" w:sz="4" w:space="0" w:color="auto"/>
              <w:right w:val="single" w:sz="4" w:space="0" w:color="auto"/>
            </w:tcBorders>
            <w:shd w:val="clear" w:color="auto" w:fill="auto"/>
            <w:noWrap/>
            <w:vAlign w:val="bottom"/>
            <w:hideMark/>
          </w:tcPr>
          <w:p w14:paraId="00C0F124"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p>
        </w:tc>
        <w:tc>
          <w:tcPr>
            <w:tcW w:w="1091" w:type="dxa"/>
            <w:tcBorders>
              <w:top w:val="nil"/>
              <w:left w:val="nil"/>
              <w:bottom w:val="single" w:sz="4" w:space="0" w:color="auto"/>
              <w:right w:val="single" w:sz="4" w:space="0" w:color="auto"/>
            </w:tcBorders>
            <w:shd w:val="clear" w:color="auto" w:fill="auto"/>
            <w:noWrap/>
            <w:vAlign w:val="bottom"/>
            <w:hideMark/>
          </w:tcPr>
          <w:p w14:paraId="04EFB1C5"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p>
        </w:tc>
      </w:tr>
      <w:tr w:rsidR="0001723B" w:rsidRPr="00244343" w14:paraId="67A75D70" w14:textId="77777777" w:rsidTr="001E3D87">
        <w:trPr>
          <w:trHeight w:val="260"/>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24FED70B"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2008</w:t>
            </w:r>
          </w:p>
        </w:tc>
        <w:tc>
          <w:tcPr>
            <w:tcW w:w="691" w:type="dxa"/>
            <w:tcBorders>
              <w:top w:val="nil"/>
              <w:left w:val="nil"/>
              <w:bottom w:val="single" w:sz="4" w:space="0" w:color="auto"/>
              <w:right w:val="single" w:sz="4" w:space="0" w:color="auto"/>
            </w:tcBorders>
            <w:shd w:val="clear" w:color="auto" w:fill="auto"/>
            <w:noWrap/>
            <w:vAlign w:val="bottom"/>
            <w:hideMark/>
          </w:tcPr>
          <w:p w14:paraId="5F8C869A"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31</w:t>
            </w:r>
          </w:p>
        </w:tc>
        <w:tc>
          <w:tcPr>
            <w:tcW w:w="1700" w:type="dxa"/>
            <w:tcBorders>
              <w:top w:val="nil"/>
              <w:left w:val="nil"/>
              <w:bottom w:val="single" w:sz="4" w:space="0" w:color="auto"/>
              <w:right w:val="single" w:sz="4" w:space="0" w:color="auto"/>
            </w:tcBorders>
            <w:shd w:val="clear" w:color="auto" w:fill="auto"/>
            <w:noWrap/>
            <w:vAlign w:val="bottom"/>
            <w:hideMark/>
          </w:tcPr>
          <w:p w14:paraId="2D14B855"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63</w:t>
            </w:r>
          </w:p>
        </w:tc>
        <w:tc>
          <w:tcPr>
            <w:tcW w:w="1121" w:type="dxa"/>
            <w:tcBorders>
              <w:top w:val="nil"/>
              <w:left w:val="nil"/>
              <w:bottom w:val="single" w:sz="4" w:space="0" w:color="auto"/>
              <w:right w:val="single" w:sz="4" w:space="0" w:color="auto"/>
            </w:tcBorders>
            <w:shd w:val="clear" w:color="auto" w:fill="auto"/>
            <w:noWrap/>
            <w:vAlign w:val="bottom"/>
            <w:hideMark/>
          </w:tcPr>
          <w:p w14:paraId="0EF06E6C"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12</w:t>
            </w:r>
          </w:p>
        </w:tc>
        <w:tc>
          <w:tcPr>
            <w:tcW w:w="2293" w:type="dxa"/>
            <w:tcBorders>
              <w:top w:val="nil"/>
              <w:left w:val="nil"/>
              <w:bottom w:val="single" w:sz="4" w:space="0" w:color="auto"/>
              <w:right w:val="single" w:sz="4" w:space="0" w:color="auto"/>
            </w:tcBorders>
            <w:shd w:val="clear" w:color="auto" w:fill="auto"/>
            <w:noWrap/>
            <w:vAlign w:val="bottom"/>
            <w:hideMark/>
          </w:tcPr>
          <w:p w14:paraId="38C8DB09"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61</w:t>
            </w:r>
          </w:p>
        </w:tc>
        <w:tc>
          <w:tcPr>
            <w:tcW w:w="1223" w:type="dxa"/>
            <w:tcBorders>
              <w:top w:val="nil"/>
              <w:left w:val="nil"/>
              <w:bottom w:val="single" w:sz="4" w:space="0" w:color="auto"/>
              <w:right w:val="single" w:sz="4" w:space="0" w:color="auto"/>
            </w:tcBorders>
            <w:shd w:val="clear" w:color="auto" w:fill="auto"/>
            <w:noWrap/>
            <w:vAlign w:val="bottom"/>
            <w:hideMark/>
          </w:tcPr>
          <w:p w14:paraId="0C87ABC9"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w:t>
            </w:r>
          </w:p>
        </w:tc>
        <w:tc>
          <w:tcPr>
            <w:tcW w:w="1091" w:type="dxa"/>
            <w:tcBorders>
              <w:top w:val="nil"/>
              <w:left w:val="nil"/>
              <w:bottom w:val="single" w:sz="4" w:space="0" w:color="auto"/>
              <w:right w:val="single" w:sz="4" w:space="0" w:color="auto"/>
            </w:tcBorders>
            <w:shd w:val="clear" w:color="auto" w:fill="auto"/>
            <w:noWrap/>
            <w:vAlign w:val="bottom"/>
            <w:hideMark/>
          </w:tcPr>
          <w:p w14:paraId="4BD5E462"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36</w:t>
            </w:r>
          </w:p>
        </w:tc>
      </w:tr>
      <w:tr w:rsidR="0001723B" w:rsidRPr="00244343" w14:paraId="03BEF070" w14:textId="77777777" w:rsidTr="001E3D87">
        <w:trPr>
          <w:trHeight w:val="260"/>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1AB889BA"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2009</w:t>
            </w:r>
          </w:p>
        </w:tc>
        <w:tc>
          <w:tcPr>
            <w:tcW w:w="691" w:type="dxa"/>
            <w:tcBorders>
              <w:top w:val="nil"/>
              <w:left w:val="nil"/>
              <w:bottom w:val="single" w:sz="4" w:space="0" w:color="auto"/>
              <w:right w:val="single" w:sz="4" w:space="0" w:color="auto"/>
            </w:tcBorders>
            <w:shd w:val="clear" w:color="auto" w:fill="auto"/>
            <w:noWrap/>
            <w:vAlign w:val="bottom"/>
            <w:hideMark/>
          </w:tcPr>
          <w:p w14:paraId="34885799"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31</w:t>
            </w:r>
          </w:p>
        </w:tc>
        <w:tc>
          <w:tcPr>
            <w:tcW w:w="1700" w:type="dxa"/>
            <w:tcBorders>
              <w:top w:val="nil"/>
              <w:left w:val="nil"/>
              <w:bottom w:val="single" w:sz="4" w:space="0" w:color="auto"/>
              <w:right w:val="single" w:sz="4" w:space="0" w:color="auto"/>
            </w:tcBorders>
            <w:shd w:val="clear" w:color="auto" w:fill="auto"/>
            <w:noWrap/>
            <w:vAlign w:val="bottom"/>
            <w:hideMark/>
          </w:tcPr>
          <w:p w14:paraId="6D9556CE"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63</w:t>
            </w:r>
          </w:p>
        </w:tc>
        <w:tc>
          <w:tcPr>
            <w:tcW w:w="1121" w:type="dxa"/>
            <w:tcBorders>
              <w:top w:val="nil"/>
              <w:left w:val="nil"/>
              <w:bottom w:val="single" w:sz="4" w:space="0" w:color="auto"/>
              <w:right w:val="single" w:sz="4" w:space="0" w:color="auto"/>
            </w:tcBorders>
            <w:shd w:val="clear" w:color="auto" w:fill="auto"/>
            <w:noWrap/>
            <w:vAlign w:val="bottom"/>
            <w:hideMark/>
          </w:tcPr>
          <w:p w14:paraId="15300EF4"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12</w:t>
            </w:r>
          </w:p>
        </w:tc>
        <w:tc>
          <w:tcPr>
            <w:tcW w:w="2293" w:type="dxa"/>
            <w:tcBorders>
              <w:top w:val="nil"/>
              <w:left w:val="nil"/>
              <w:bottom w:val="single" w:sz="4" w:space="0" w:color="auto"/>
              <w:right w:val="single" w:sz="4" w:space="0" w:color="auto"/>
            </w:tcBorders>
            <w:shd w:val="clear" w:color="auto" w:fill="auto"/>
            <w:noWrap/>
            <w:vAlign w:val="bottom"/>
            <w:hideMark/>
          </w:tcPr>
          <w:p w14:paraId="6FBA72B1"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61</w:t>
            </w:r>
          </w:p>
        </w:tc>
        <w:tc>
          <w:tcPr>
            <w:tcW w:w="1223" w:type="dxa"/>
            <w:tcBorders>
              <w:top w:val="nil"/>
              <w:left w:val="nil"/>
              <w:bottom w:val="single" w:sz="4" w:space="0" w:color="auto"/>
              <w:right w:val="single" w:sz="4" w:space="0" w:color="auto"/>
            </w:tcBorders>
            <w:shd w:val="clear" w:color="auto" w:fill="auto"/>
            <w:noWrap/>
            <w:vAlign w:val="bottom"/>
            <w:hideMark/>
          </w:tcPr>
          <w:p w14:paraId="5ECED826"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w:t>
            </w:r>
          </w:p>
        </w:tc>
        <w:tc>
          <w:tcPr>
            <w:tcW w:w="1091" w:type="dxa"/>
            <w:tcBorders>
              <w:top w:val="nil"/>
              <w:left w:val="nil"/>
              <w:bottom w:val="single" w:sz="4" w:space="0" w:color="auto"/>
              <w:right w:val="single" w:sz="4" w:space="0" w:color="auto"/>
            </w:tcBorders>
            <w:shd w:val="clear" w:color="auto" w:fill="auto"/>
            <w:noWrap/>
            <w:vAlign w:val="bottom"/>
            <w:hideMark/>
          </w:tcPr>
          <w:p w14:paraId="404720B7"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36</w:t>
            </w:r>
          </w:p>
        </w:tc>
      </w:tr>
      <w:tr w:rsidR="0001723B" w:rsidRPr="00244343" w14:paraId="3B869D1C" w14:textId="77777777" w:rsidTr="001E3D87">
        <w:trPr>
          <w:trHeight w:val="260"/>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4F1AB800"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2010</w:t>
            </w:r>
          </w:p>
        </w:tc>
        <w:tc>
          <w:tcPr>
            <w:tcW w:w="691" w:type="dxa"/>
            <w:tcBorders>
              <w:top w:val="nil"/>
              <w:left w:val="nil"/>
              <w:bottom w:val="single" w:sz="4" w:space="0" w:color="auto"/>
              <w:right w:val="single" w:sz="4" w:space="0" w:color="auto"/>
            </w:tcBorders>
            <w:shd w:val="clear" w:color="auto" w:fill="auto"/>
            <w:noWrap/>
            <w:vAlign w:val="bottom"/>
            <w:hideMark/>
          </w:tcPr>
          <w:p w14:paraId="4F11C47F"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38</w:t>
            </w:r>
          </w:p>
        </w:tc>
        <w:tc>
          <w:tcPr>
            <w:tcW w:w="1700" w:type="dxa"/>
            <w:tcBorders>
              <w:top w:val="nil"/>
              <w:left w:val="nil"/>
              <w:bottom w:val="single" w:sz="4" w:space="0" w:color="auto"/>
              <w:right w:val="single" w:sz="4" w:space="0" w:color="auto"/>
            </w:tcBorders>
            <w:shd w:val="clear" w:color="auto" w:fill="auto"/>
            <w:noWrap/>
            <w:vAlign w:val="bottom"/>
            <w:hideMark/>
          </w:tcPr>
          <w:p w14:paraId="77AC1692"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55</w:t>
            </w:r>
          </w:p>
        </w:tc>
        <w:tc>
          <w:tcPr>
            <w:tcW w:w="1121" w:type="dxa"/>
            <w:tcBorders>
              <w:top w:val="nil"/>
              <w:left w:val="nil"/>
              <w:bottom w:val="single" w:sz="4" w:space="0" w:color="auto"/>
              <w:right w:val="single" w:sz="4" w:space="0" w:color="auto"/>
            </w:tcBorders>
            <w:shd w:val="clear" w:color="auto" w:fill="auto"/>
            <w:noWrap/>
            <w:vAlign w:val="bottom"/>
            <w:hideMark/>
          </w:tcPr>
          <w:p w14:paraId="1FEAE876"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24</w:t>
            </w:r>
          </w:p>
        </w:tc>
        <w:tc>
          <w:tcPr>
            <w:tcW w:w="2293" w:type="dxa"/>
            <w:tcBorders>
              <w:top w:val="nil"/>
              <w:left w:val="nil"/>
              <w:bottom w:val="single" w:sz="4" w:space="0" w:color="auto"/>
              <w:right w:val="single" w:sz="4" w:space="0" w:color="auto"/>
            </w:tcBorders>
            <w:shd w:val="clear" w:color="auto" w:fill="auto"/>
            <w:noWrap/>
            <w:vAlign w:val="bottom"/>
            <w:hideMark/>
          </w:tcPr>
          <w:p w14:paraId="11E4AF71"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68</w:t>
            </w:r>
          </w:p>
        </w:tc>
        <w:tc>
          <w:tcPr>
            <w:tcW w:w="1223" w:type="dxa"/>
            <w:tcBorders>
              <w:top w:val="nil"/>
              <w:left w:val="nil"/>
              <w:bottom w:val="single" w:sz="4" w:space="0" w:color="auto"/>
              <w:right w:val="single" w:sz="4" w:space="0" w:color="auto"/>
            </w:tcBorders>
            <w:shd w:val="clear" w:color="auto" w:fill="auto"/>
            <w:noWrap/>
            <w:vAlign w:val="bottom"/>
            <w:hideMark/>
          </w:tcPr>
          <w:p w14:paraId="0D2B3ADA"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w:t>
            </w:r>
          </w:p>
        </w:tc>
        <w:tc>
          <w:tcPr>
            <w:tcW w:w="1091" w:type="dxa"/>
            <w:tcBorders>
              <w:top w:val="nil"/>
              <w:left w:val="nil"/>
              <w:bottom w:val="single" w:sz="4" w:space="0" w:color="auto"/>
              <w:right w:val="single" w:sz="4" w:space="0" w:color="auto"/>
            </w:tcBorders>
            <w:shd w:val="clear" w:color="auto" w:fill="auto"/>
            <w:noWrap/>
            <w:vAlign w:val="bottom"/>
            <w:hideMark/>
          </w:tcPr>
          <w:p w14:paraId="4E7D6488"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49</w:t>
            </w:r>
          </w:p>
        </w:tc>
      </w:tr>
      <w:tr w:rsidR="0001723B" w:rsidRPr="00244343" w14:paraId="6F96D362" w14:textId="77777777" w:rsidTr="001E3D87">
        <w:trPr>
          <w:trHeight w:val="260"/>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3645FDA2"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2011</w:t>
            </w:r>
          </w:p>
        </w:tc>
        <w:tc>
          <w:tcPr>
            <w:tcW w:w="691" w:type="dxa"/>
            <w:tcBorders>
              <w:top w:val="nil"/>
              <w:left w:val="nil"/>
              <w:bottom w:val="single" w:sz="4" w:space="0" w:color="auto"/>
              <w:right w:val="single" w:sz="4" w:space="0" w:color="auto"/>
            </w:tcBorders>
            <w:shd w:val="clear" w:color="auto" w:fill="auto"/>
            <w:noWrap/>
            <w:vAlign w:val="bottom"/>
            <w:hideMark/>
          </w:tcPr>
          <w:p w14:paraId="36200E1D"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35</w:t>
            </w:r>
          </w:p>
        </w:tc>
        <w:tc>
          <w:tcPr>
            <w:tcW w:w="1700" w:type="dxa"/>
            <w:tcBorders>
              <w:top w:val="nil"/>
              <w:left w:val="nil"/>
              <w:bottom w:val="single" w:sz="4" w:space="0" w:color="auto"/>
              <w:right w:val="single" w:sz="4" w:space="0" w:color="auto"/>
            </w:tcBorders>
            <w:shd w:val="clear" w:color="auto" w:fill="auto"/>
            <w:noWrap/>
            <w:vAlign w:val="bottom"/>
            <w:hideMark/>
          </w:tcPr>
          <w:p w14:paraId="06CA3559"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36</w:t>
            </w:r>
          </w:p>
        </w:tc>
        <w:tc>
          <w:tcPr>
            <w:tcW w:w="1121" w:type="dxa"/>
            <w:tcBorders>
              <w:top w:val="nil"/>
              <w:left w:val="nil"/>
              <w:bottom w:val="single" w:sz="4" w:space="0" w:color="auto"/>
              <w:right w:val="single" w:sz="4" w:space="0" w:color="auto"/>
            </w:tcBorders>
            <w:shd w:val="clear" w:color="auto" w:fill="auto"/>
            <w:noWrap/>
            <w:vAlign w:val="bottom"/>
            <w:hideMark/>
          </w:tcPr>
          <w:p w14:paraId="166D3D66"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13</w:t>
            </w:r>
          </w:p>
        </w:tc>
        <w:tc>
          <w:tcPr>
            <w:tcW w:w="2293" w:type="dxa"/>
            <w:tcBorders>
              <w:top w:val="nil"/>
              <w:left w:val="nil"/>
              <w:bottom w:val="single" w:sz="4" w:space="0" w:color="auto"/>
              <w:right w:val="single" w:sz="4" w:space="0" w:color="auto"/>
            </w:tcBorders>
            <w:shd w:val="clear" w:color="auto" w:fill="auto"/>
            <w:noWrap/>
            <w:vAlign w:val="bottom"/>
            <w:hideMark/>
          </w:tcPr>
          <w:p w14:paraId="77D93004"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63</w:t>
            </w:r>
          </w:p>
        </w:tc>
        <w:tc>
          <w:tcPr>
            <w:tcW w:w="1223" w:type="dxa"/>
            <w:tcBorders>
              <w:top w:val="nil"/>
              <w:left w:val="nil"/>
              <w:bottom w:val="single" w:sz="4" w:space="0" w:color="auto"/>
              <w:right w:val="single" w:sz="4" w:space="0" w:color="auto"/>
            </w:tcBorders>
            <w:shd w:val="clear" w:color="auto" w:fill="auto"/>
            <w:noWrap/>
            <w:vAlign w:val="bottom"/>
            <w:hideMark/>
          </w:tcPr>
          <w:p w14:paraId="621411F9"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w:t>
            </w:r>
          </w:p>
        </w:tc>
        <w:tc>
          <w:tcPr>
            <w:tcW w:w="1091" w:type="dxa"/>
            <w:tcBorders>
              <w:top w:val="nil"/>
              <w:left w:val="nil"/>
              <w:bottom w:val="single" w:sz="4" w:space="0" w:color="auto"/>
              <w:right w:val="single" w:sz="4" w:space="0" w:color="auto"/>
            </w:tcBorders>
            <w:shd w:val="clear" w:color="auto" w:fill="auto"/>
            <w:noWrap/>
            <w:vAlign w:val="bottom"/>
            <w:hideMark/>
          </w:tcPr>
          <w:p w14:paraId="37025580"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40</w:t>
            </w:r>
          </w:p>
        </w:tc>
      </w:tr>
      <w:tr w:rsidR="0001723B" w:rsidRPr="00244343" w14:paraId="31D5A988" w14:textId="77777777" w:rsidTr="001E3D87">
        <w:trPr>
          <w:trHeight w:val="260"/>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0838462C"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2012</w:t>
            </w:r>
          </w:p>
        </w:tc>
        <w:tc>
          <w:tcPr>
            <w:tcW w:w="691" w:type="dxa"/>
            <w:tcBorders>
              <w:top w:val="nil"/>
              <w:left w:val="nil"/>
              <w:bottom w:val="single" w:sz="4" w:space="0" w:color="auto"/>
              <w:right w:val="single" w:sz="4" w:space="0" w:color="auto"/>
            </w:tcBorders>
            <w:shd w:val="clear" w:color="auto" w:fill="auto"/>
            <w:noWrap/>
            <w:vAlign w:val="bottom"/>
            <w:hideMark/>
          </w:tcPr>
          <w:p w14:paraId="71E8CB4A"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36</w:t>
            </w:r>
          </w:p>
        </w:tc>
        <w:tc>
          <w:tcPr>
            <w:tcW w:w="1700" w:type="dxa"/>
            <w:tcBorders>
              <w:top w:val="nil"/>
              <w:left w:val="nil"/>
              <w:bottom w:val="single" w:sz="4" w:space="0" w:color="auto"/>
              <w:right w:val="single" w:sz="4" w:space="0" w:color="auto"/>
            </w:tcBorders>
            <w:shd w:val="clear" w:color="auto" w:fill="auto"/>
            <w:noWrap/>
            <w:vAlign w:val="bottom"/>
            <w:hideMark/>
          </w:tcPr>
          <w:p w14:paraId="0ACBD6C3"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35</w:t>
            </w:r>
          </w:p>
        </w:tc>
        <w:tc>
          <w:tcPr>
            <w:tcW w:w="1121" w:type="dxa"/>
            <w:tcBorders>
              <w:top w:val="nil"/>
              <w:left w:val="nil"/>
              <w:bottom w:val="single" w:sz="4" w:space="0" w:color="auto"/>
              <w:right w:val="single" w:sz="4" w:space="0" w:color="auto"/>
            </w:tcBorders>
            <w:shd w:val="clear" w:color="auto" w:fill="auto"/>
            <w:noWrap/>
            <w:vAlign w:val="bottom"/>
            <w:hideMark/>
          </w:tcPr>
          <w:p w14:paraId="48FABA80"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53</w:t>
            </w:r>
          </w:p>
        </w:tc>
        <w:tc>
          <w:tcPr>
            <w:tcW w:w="2293" w:type="dxa"/>
            <w:tcBorders>
              <w:top w:val="nil"/>
              <w:left w:val="nil"/>
              <w:bottom w:val="single" w:sz="4" w:space="0" w:color="auto"/>
              <w:right w:val="single" w:sz="4" w:space="0" w:color="auto"/>
            </w:tcBorders>
            <w:shd w:val="clear" w:color="auto" w:fill="auto"/>
            <w:noWrap/>
            <w:vAlign w:val="bottom"/>
            <w:hideMark/>
          </w:tcPr>
          <w:p w14:paraId="55D19B2A"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76</w:t>
            </w:r>
          </w:p>
        </w:tc>
        <w:tc>
          <w:tcPr>
            <w:tcW w:w="1223" w:type="dxa"/>
            <w:tcBorders>
              <w:top w:val="nil"/>
              <w:left w:val="nil"/>
              <w:bottom w:val="single" w:sz="4" w:space="0" w:color="auto"/>
              <w:right w:val="single" w:sz="4" w:space="0" w:color="auto"/>
            </w:tcBorders>
            <w:shd w:val="clear" w:color="auto" w:fill="auto"/>
            <w:noWrap/>
            <w:vAlign w:val="bottom"/>
            <w:hideMark/>
          </w:tcPr>
          <w:p w14:paraId="653A6BDA"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10</w:t>
            </w:r>
          </w:p>
        </w:tc>
        <w:tc>
          <w:tcPr>
            <w:tcW w:w="1091" w:type="dxa"/>
            <w:tcBorders>
              <w:top w:val="nil"/>
              <w:left w:val="nil"/>
              <w:bottom w:val="single" w:sz="4" w:space="0" w:color="auto"/>
              <w:right w:val="single" w:sz="4" w:space="0" w:color="auto"/>
            </w:tcBorders>
            <w:shd w:val="clear" w:color="auto" w:fill="auto"/>
            <w:noWrap/>
            <w:vAlign w:val="bottom"/>
            <w:hideMark/>
          </w:tcPr>
          <w:p w14:paraId="0D4882FC"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45</w:t>
            </w:r>
          </w:p>
        </w:tc>
      </w:tr>
      <w:tr w:rsidR="0001723B" w:rsidRPr="00244343" w14:paraId="1C046811" w14:textId="77777777" w:rsidTr="001E3D87">
        <w:trPr>
          <w:trHeight w:val="260"/>
        </w:trPr>
        <w:tc>
          <w:tcPr>
            <w:tcW w:w="1225" w:type="dxa"/>
            <w:tcBorders>
              <w:top w:val="single" w:sz="4" w:space="0" w:color="auto"/>
              <w:left w:val="single" w:sz="4" w:space="0" w:color="auto"/>
              <w:right w:val="single" w:sz="4" w:space="0" w:color="auto"/>
            </w:tcBorders>
            <w:shd w:val="clear" w:color="auto" w:fill="auto"/>
            <w:noWrap/>
            <w:vAlign w:val="bottom"/>
            <w:hideMark/>
          </w:tcPr>
          <w:p w14:paraId="6CD591C8"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2013</w:t>
            </w:r>
          </w:p>
        </w:tc>
        <w:tc>
          <w:tcPr>
            <w:tcW w:w="691" w:type="dxa"/>
            <w:tcBorders>
              <w:top w:val="single" w:sz="4" w:space="0" w:color="auto"/>
              <w:left w:val="nil"/>
              <w:right w:val="single" w:sz="4" w:space="0" w:color="auto"/>
            </w:tcBorders>
            <w:shd w:val="clear" w:color="auto" w:fill="auto"/>
            <w:noWrap/>
            <w:vAlign w:val="bottom"/>
            <w:hideMark/>
          </w:tcPr>
          <w:p w14:paraId="58469B84"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36</w:t>
            </w:r>
          </w:p>
        </w:tc>
        <w:tc>
          <w:tcPr>
            <w:tcW w:w="1700" w:type="dxa"/>
            <w:tcBorders>
              <w:top w:val="single" w:sz="4" w:space="0" w:color="auto"/>
              <w:left w:val="nil"/>
              <w:right w:val="single" w:sz="4" w:space="0" w:color="auto"/>
            </w:tcBorders>
            <w:shd w:val="clear" w:color="auto" w:fill="auto"/>
            <w:noWrap/>
            <w:vAlign w:val="bottom"/>
            <w:hideMark/>
          </w:tcPr>
          <w:p w14:paraId="27C90C84"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31</w:t>
            </w:r>
          </w:p>
        </w:tc>
        <w:tc>
          <w:tcPr>
            <w:tcW w:w="1121" w:type="dxa"/>
            <w:tcBorders>
              <w:top w:val="single" w:sz="4" w:space="0" w:color="auto"/>
              <w:left w:val="nil"/>
              <w:right w:val="single" w:sz="4" w:space="0" w:color="auto"/>
            </w:tcBorders>
            <w:shd w:val="clear" w:color="auto" w:fill="auto"/>
            <w:noWrap/>
            <w:vAlign w:val="bottom"/>
            <w:hideMark/>
          </w:tcPr>
          <w:p w14:paraId="66F1FD91"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51</w:t>
            </w:r>
          </w:p>
        </w:tc>
        <w:tc>
          <w:tcPr>
            <w:tcW w:w="2293" w:type="dxa"/>
            <w:tcBorders>
              <w:top w:val="single" w:sz="4" w:space="0" w:color="auto"/>
              <w:left w:val="nil"/>
              <w:right w:val="single" w:sz="4" w:space="0" w:color="auto"/>
            </w:tcBorders>
            <w:shd w:val="clear" w:color="auto" w:fill="auto"/>
            <w:noWrap/>
            <w:vAlign w:val="bottom"/>
            <w:hideMark/>
          </w:tcPr>
          <w:p w14:paraId="6C9986CE"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64</w:t>
            </w:r>
          </w:p>
        </w:tc>
        <w:tc>
          <w:tcPr>
            <w:tcW w:w="1223" w:type="dxa"/>
            <w:tcBorders>
              <w:top w:val="single" w:sz="4" w:space="0" w:color="auto"/>
              <w:left w:val="nil"/>
              <w:right w:val="single" w:sz="4" w:space="0" w:color="auto"/>
            </w:tcBorders>
            <w:shd w:val="clear" w:color="auto" w:fill="auto"/>
            <w:noWrap/>
            <w:vAlign w:val="bottom"/>
            <w:hideMark/>
          </w:tcPr>
          <w:p w14:paraId="58D57296"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17</w:t>
            </w:r>
          </w:p>
        </w:tc>
        <w:tc>
          <w:tcPr>
            <w:tcW w:w="1091" w:type="dxa"/>
            <w:tcBorders>
              <w:top w:val="single" w:sz="4" w:space="0" w:color="auto"/>
              <w:left w:val="nil"/>
              <w:right w:val="single" w:sz="4" w:space="0" w:color="auto"/>
            </w:tcBorders>
            <w:shd w:val="clear" w:color="auto" w:fill="auto"/>
            <w:noWrap/>
            <w:vAlign w:val="bottom"/>
            <w:hideMark/>
          </w:tcPr>
          <w:p w14:paraId="0F99D81C"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40</w:t>
            </w:r>
          </w:p>
        </w:tc>
      </w:tr>
      <w:tr w:rsidR="001E3D87" w:rsidRPr="000E0481" w14:paraId="0AA07255" w14:textId="77777777" w:rsidTr="001E3D87">
        <w:trPr>
          <w:trHeight w:val="260"/>
        </w:trPr>
        <w:tc>
          <w:tcPr>
            <w:tcW w:w="9344" w:type="dxa"/>
            <w:gridSpan w:val="7"/>
            <w:tcBorders>
              <w:bottom w:val="single" w:sz="4" w:space="0" w:color="auto"/>
            </w:tcBorders>
            <w:shd w:val="clear" w:color="auto" w:fill="auto"/>
            <w:noWrap/>
            <w:vAlign w:val="bottom"/>
          </w:tcPr>
          <w:p w14:paraId="6D27512A" w14:textId="77777777" w:rsidR="00E7456A" w:rsidRDefault="00E7456A" w:rsidP="001E3D87">
            <w:pPr>
              <w:spacing w:after="0" w:line="240" w:lineRule="auto"/>
              <w:rPr>
                <w:rFonts w:ascii="Times New Roman" w:eastAsia="Times New Roman" w:hAnsi="Times New Roman" w:cs="Times New Roman"/>
                <w:sz w:val="28"/>
                <w:szCs w:val="28"/>
                <w:lang w:val="en-US"/>
              </w:rPr>
            </w:pPr>
          </w:p>
          <w:p w14:paraId="506AD9A5" w14:textId="69CBF485" w:rsidR="001E3D87" w:rsidRDefault="001E3D87" w:rsidP="001E3D87">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Continuation of the table </w:t>
            </w:r>
            <w:r w:rsidR="008E6E5F">
              <w:rPr>
                <w:rFonts w:ascii="Times New Roman" w:eastAsia="Times New Roman" w:hAnsi="Times New Roman" w:cs="Times New Roman"/>
                <w:sz w:val="28"/>
                <w:szCs w:val="28"/>
                <w:lang w:val="en-US"/>
              </w:rPr>
              <w:t>B</w:t>
            </w:r>
            <w:r>
              <w:rPr>
                <w:rFonts w:ascii="Times New Roman" w:eastAsia="Times New Roman" w:hAnsi="Times New Roman" w:cs="Times New Roman"/>
                <w:sz w:val="28"/>
                <w:szCs w:val="28"/>
                <w:lang w:val="en-US"/>
              </w:rPr>
              <w:t>.2</w:t>
            </w:r>
          </w:p>
          <w:p w14:paraId="6446C92B" w14:textId="37BFB40B" w:rsidR="001E3D87" w:rsidRPr="001E3D87" w:rsidRDefault="001E3D87" w:rsidP="001E3D87">
            <w:pPr>
              <w:spacing w:after="0" w:line="240" w:lineRule="auto"/>
              <w:rPr>
                <w:rFonts w:ascii="Times New Roman" w:eastAsia="Times New Roman" w:hAnsi="Times New Roman" w:cs="Times New Roman"/>
                <w:sz w:val="28"/>
                <w:szCs w:val="28"/>
                <w:lang w:val="en-US"/>
              </w:rPr>
            </w:pPr>
          </w:p>
        </w:tc>
      </w:tr>
      <w:tr w:rsidR="0001723B" w:rsidRPr="00244343" w14:paraId="0D3AE99D" w14:textId="77777777" w:rsidTr="001E3D87">
        <w:trPr>
          <w:trHeight w:val="260"/>
        </w:trPr>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908FF"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2014</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14:paraId="0B7B2104"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29</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0DAE4C08"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35</w:t>
            </w:r>
          </w:p>
        </w:tc>
        <w:tc>
          <w:tcPr>
            <w:tcW w:w="1121" w:type="dxa"/>
            <w:tcBorders>
              <w:top w:val="single" w:sz="4" w:space="0" w:color="auto"/>
              <w:left w:val="nil"/>
              <w:bottom w:val="single" w:sz="4" w:space="0" w:color="auto"/>
              <w:right w:val="single" w:sz="4" w:space="0" w:color="auto"/>
            </w:tcBorders>
            <w:shd w:val="clear" w:color="auto" w:fill="auto"/>
            <w:noWrap/>
            <w:vAlign w:val="bottom"/>
            <w:hideMark/>
          </w:tcPr>
          <w:p w14:paraId="72A77D82"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58</w:t>
            </w:r>
          </w:p>
        </w:tc>
        <w:tc>
          <w:tcPr>
            <w:tcW w:w="2293" w:type="dxa"/>
            <w:tcBorders>
              <w:top w:val="single" w:sz="4" w:space="0" w:color="auto"/>
              <w:left w:val="nil"/>
              <w:bottom w:val="single" w:sz="4" w:space="0" w:color="auto"/>
              <w:right w:val="single" w:sz="4" w:space="0" w:color="auto"/>
            </w:tcBorders>
            <w:shd w:val="clear" w:color="auto" w:fill="auto"/>
            <w:noWrap/>
            <w:vAlign w:val="bottom"/>
            <w:hideMark/>
          </w:tcPr>
          <w:p w14:paraId="1E86E3AF"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57</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14:paraId="37D96300"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14:paraId="29B7DA35"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46</w:t>
            </w:r>
          </w:p>
        </w:tc>
      </w:tr>
      <w:tr w:rsidR="0001723B" w:rsidRPr="00244343" w14:paraId="2CAECD16" w14:textId="77777777" w:rsidTr="001E3D87">
        <w:trPr>
          <w:trHeight w:val="260"/>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2820F504"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2015</w:t>
            </w:r>
          </w:p>
        </w:tc>
        <w:tc>
          <w:tcPr>
            <w:tcW w:w="691" w:type="dxa"/>
            <w:tcBorders>
              <w:top w:val="nil"/>
              <w:left w:val="nil"/>
              <w:bottom w:val="single" w:sz="4" w:space="0" w:color="auto"/>
              <w:right w:val="single" w:sz="4" w:space="0" w:color="auto"/>
            </w:tcBorders>
            <w:shd w:val="clear" w:color="auto" w:fill="auto"/>
            <w:noWrap/>
            <w:vAlign w:val="bottom"/>
            <w:hideMark/>
          </w:tcPr>
          <w:p w14:paraId="13647126"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31</w:t>
            </w:r>
          </w:p>
        </w:tc>
        <w:tc>
          <w:tcPr>
            <w:tcW w:w="1700" w:type="dxa"/>
            <w:tcBorders>
              <w:top w:val="nil"/>
              <w:left w:val="nil"/>
              <w:bottom w:val="single" w:sz="4" w:space="0" w:color="auto"/>
              <w:right w:val="single" w:sz="4" w:space="0" w:color="auto"/>
            </w:tcBorders>
            <w:shd w:val="clear" w:color="auto" w:fill="auto"/>
            <w:noWrap/>
            <w:vAlign w:val="bottom"/>
            <w:hideMark/>
          </w:tcPr>
          <w:p w14:paraId="0F55785A"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39</w:t>
            </w:r>
          </w:p>
        </w:tc>
        <w:tc>
          <w:tcPr>
            <w:tcW w:w="1121" w:type="dxa"/>
            <w:tcBorders>
              <w:top w:val="nil"/>
              <w:left w:val="nil"/>
              <w:bottom w:val="single" w:sz="4" w:space="0" w:color="auto"/>
              <w:right w:val="single" w:sz="4" w:space="0" w:color="auto"/>
            </w:tcBorders>
            <w:shd w:val="clear" w:color="auto" w:fill="auto"/>
            <w:noWrap/>
            <w:vAlign w:val="bottom"/>
            <w:hideMark/>
          </w:tcPr>
          <w:p w14:paraId="5CF6DB5A"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40</w:t>
            </w:r>
          </w:p>
        </w:tc>
        <w:tc>
          <w:tcPr>
            <w:tcW w:w="2293" w:type="dxa"/>
            <w:tcBorders>
              <w:top w:val="nil"/>
              <w:left w:val="nil"/>
              <w:bottom w:val="single" w:sz="4" w:space="0" w:color="auto"/>
              <w:right w:val="single" w:sz="4" w:space="0" w:color="auto"/>
            </w:tcBorders>
            <w:shd w:val="clear" w:color="auto" w:fill="auto"/>
            <w:noWrap/>
            <w:vAlign w:val="bottom"/>
            <w:hideMark/>
          </w:tcPr>
          <w:p w14:paraId="0549F08D"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57</w:t>
            </w:r>
          </w:p>
        </w:tc>
        <w:tc>
          <w:tcPr>
            <w:tcW w:w="1223" w:type="dxa"/>
            <w:tcBorders>
              <w:top w:val="nil"/>
              <w:left w:val="nil"/>
              <w:bottom w:val="single" w:sz="4" w:space="0" w:color="auto"/>
              <w:right w:val="single" w:sz="4" w:space="0" w:color="auto"/>
            </w:tcBorders>
            <w:shd w:val="clear" w:color="auto" w:fill="auto"/>
            <w:noWrap/>
            <w:vAlign w:val="bottom"/>
            <w:hideMark/>
          </w:tcPr>
          <w:p w14:paraId="009E176F"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w:t>
            </w:r>
          </w:p>
        </w:tc>
        <w:tc>
          <w:tcPr>
            <w:tcW w:w="1091" w:type="dxa"/>
            <w:tcBorders>
              <w:top w:val="nil"/>
              <w:left w:val="nil"/>
              <w:bottom w:val="single" w:sz="4" w:space="0" w:color="auto"/>
              <w:right w:val="single" w:sz="4" w:space="0" w:color="auto"/>
            </w:tcBorders>
            <w:shd w:val="clear" w:color="auto" w:fill="auto"/>
            <w:noWrap/>
            <w:vAlign w:val="bottom"/>
            <w:hideMark/>
          </w:tcPr>
          <w:p w14:paraId="4BF5B85E"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43</w:t>
            </w:r>
          </w:p>
        </w:tc>
      </w:tr>
      <w:tr w:rsidR="0001723B" w:rsidRPr="00244343" w14:paraId="7FBA25C3" w14:textId="77777777" w:rsidTr="001E3D87">
        <w:trPr>
          <w:trHeight w:val="260"/>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48FE8940"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2016</w:t>
            </w:r>
          </w:p>
        </w:tc>
        <w:tc>
          <w:tcPr>
            <w:tcW w:w="691" w:type="dxa"/>
            <w:tcBorders>
              <w:top w:val="nil"/>
              <w:left w:val="nil"/>
              <w:bottom w:val="single" w:sz="4" w:space="0" w:color="auto"/>
              <w:right w:val="single" w:sz="4" w:space="0" w:color="auto"/>
            </w:tcBorders>
            <w:shd w:val="clear" w:color="auto" w:fill="auto"/>
            <w:noWrap/>
            <w:vAlign w:val="bottom"/>
            <w:hideMark/>
          </w:tcPr>
          <w:p w14:paraId="67E4484B"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31</w:t>
            </w:r>
          </w:p>
        </w:tc>
        <w:tc>
          <w:tcPr>
            <w:tcW w:w="1700" w:type="dxa"/>
            <w:tcBorders>
              <w:top w:val="nil"/>
              <w:left w:val="nil"/>
              <w:bottom w:val="single" w:sz="4" w:space="0" w:color="auto"/>
              <w:right w:val="single" w:sz="4" w:space="0" w:color="auto"/>
            </w:tcBorders>
            <w:shd w:val="clear" w:color="auto" w:fill="auto"/>
            <w:noWrap/>
            <w:vAlign w:val="bottom"/>
            <w:hideMark/>
          </w:tcPr>
          <w:p w14:paraId="3BB6629A"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36</w:t>
            </w:r>
          </w:p>
        </w:tc>
        <w:tc>
          <w:tcPr>
            <w:tcW w:w="1121" w:type="dxa"/>
            <w:tcBorders>
              <w:top w:val="nil"/>
              <w:left w:val="nil"/>
              <w:bottom w:val="single" w:sz="4" w:space="0" w:color="auto"/>
              <w:right w:val="single" w:sz="4" w:space="0" w:color="auto"/>
            </w:tcBorders>
            <w:shd w:val="clear" w:color="auto" w:fill="auto"/>
            <w:noWrap/>
            <w:vAlign w:val="bottom"/>
            <w:hideMark/>
          </w:tcPr>
          <w:p w14:paraId="5EF1835D"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42</w:t>
            </w:r>
          </w:p>
        </w:tc>
        <w:tc>
          <w:tcPr>
            <w:tcW w:w="2293" w:type="dxa"/>
            <w:tcBorders>
              <w:top w:val="nil"/>
              <w:left w:val="nil"/>
              <w:bottom w:val="single" w:sz="4" w:space="0" w:color="auto"/>
              <w:right w:val="single" w:sz="4" w:space="0" w:color="auto"/>
            </w:tcBorders>
            <w:shd w:val="clear" w:color="auto" w:fill="auto"/>
            <w:noWrap/>
            <w:vAlign w:val="bottom"/>
            <w:hideMark/>
          </w:tcPr>
          <w:p w14:paraId="72496352"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57</w:t>
            </w:r>
          </w:p>
        </w:tc>
        <w:tc>
          <w:tcPr>
            <w:tcW w:w="1223" w:type="dxa"/>
            <w:tcBorders>
              <w:top w:val="nil"/>
              <w:left w:val="nil"/>
              <w:bottom w:val="single" w:sz="4" w:space="0" w:color="auto"/>
              <w:right w:val="single" w:sz="4" w:space="0" w:color="auto"/>
            </w:tcBorders>
            <w:shd w:val="clear" w:color="auto" w:fill="auto"/>
            <w:noWrap/>
            <w:vAlign w:val="bottom"/>
            <w:hideMark/>
          </w:tcPr>
          <w:p w14:paraId="04742725"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w:t>
            </w:r>
          </w:p>
        </w:tc>
        <w:tc>
          <w:tcPr>
            <w:tcW w:w="1091" w:type="dxa"/>
            <w:tcBorders>
              <w:top w:val="nil"/>
              <w:left w:val="nil"/>
              <w:bottom w:val="single" w:sz="4" w:space="0" w:color="auto"/>
              <w:right w:val="single" w:sz="4" w:space="0" w:color="auto"/>
            </w:tcBorders>
            <w:shd w:val="clear" w:color="auto" w:fill="auto"/>
            <w:noWrap/>
            <w:vAlign w:val="bottom"/>
            <w:hideMark/>
          </w:tcPr>
          <w:p w14:paraId="770E6EB6"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42</w:t>
            </w:r>
          </w:p>
        </w:tc>
      </w:tr>
      <w:tr w:rsidR="0001723B" w:rsidRPr="00244343" w14:paraId="378BCCDA" w14:textId="77777777" w:rsidTr="001E3D87">
        <w:trPr>
          <w:trHeight w:val="260"/>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2347AE8A"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2017</w:t>
            </w:r>
          </w:p>
        </w:tc>
        <w:tc>
          <w:tcPr>
            <w:tcW w:w="691" w:type="dxa"/>
            <w:tcBorders>
              <w:top w:val="nil"/>
              <w:left w:val="nil"/>
              <w:bottom w:val="single" w:sz="4" w:space="0" w:color="auto"/>
              <w:right w:val="single" w:sz="4" w:space="0" w:color="auto"/>
            </w:tcBorders>
            <w:shd w:val="clear" w:color="auto" w:fill="auto"/>
            <w:noWrap/>
            <w:vAlign w:val="bottom"/>
            <w:hideMark/>
          </w:tcPr>
          <w:p w14:paraId="0FFFB1FD"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29</w:t>
            </w:r>
          </w:p>
        </w:tc>
        <w:tc>
          <w:tcPr>
            <w:tcW w:w="1700" w:type="dxa"/>
            <w:tcBorders>
              <w:top w:val="nil"/>
              <w:left w:val="nil"/>
              <w:bottom w:val="single" w:sz="4" w:space="0" w:color="auto"/>
              <w:right w:val="single" w:sz="4" w:space="0" w:color="auto"/>
            </w:tcBorders>
            <w:shd w:val="clear" w:color="auto" w:fill="auto"/>
            <w:noWrap/>
            <w:vAlign w:val="bottom"/>
            <w:hideMark/>
          </w:tcPr>
          <w:p w14:paraId="5F5BDFD2"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35</w:t>
            </w:r>
          </w:p>
        </w:tc>
        <w:tc>
          <w:tcPr>
            <w:tcW w:w="1121" w:type="dxa"/>
            <w:tcBorders>
              <w:top w:val="nil"/>
              <w:left w:val="nil"/>
              <w:bottom w:val="single" w:sz="4" w:space="0" w:color="auto"/>
              <w:right w:val="single" w:sz="4" w:space="0" w:color="auto"/>
            </w:tcBorders>
            <w:shd w:val="clear" w:color="auto" w:fill="auto"/>
            <w:noWrap/>
            <w:vAlign w:val="bottom"/>
            <w:hideMark/>
          </w:tcPr>
          <w:p w14:paraId="62A65BDF"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54</w:t>
            </w:r>
          </w:p>
        </w:tc>
        <w:tc>
          <w:tcPr>
            <w:tcW w:w="2293" w:type="dxa"/>
            <w:tcBorders>
              <w:top w:val="nil"/>
              <w:left w:val="nil"/>
              <w:bottom w:val="single" w:sz="4" w:space="0" w:color="auto"/>
              <w:right w:val="single" w:sz="4" w:space="0" w:color="auto"/>
            </w:tcBorders>
            <w:shd w:val="clear" w:color="auto" w:fill="auto"/>
            <w:noWrap/>
            <w:vAlign w:val="bottom"/>
            <w:hideMark/>
          </w:tcPr>
          <w:p w14:paraId="231F5906"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43</w:t>
            </w:r>
          </w:p>
        </w:tc>
        <w:tc>
          <w:tcPr>
            <w:tcW w:w="1223" w:type="dxa"/>
            <w:tcBorders>
              <w:top w:val="nil"/>
              <w:left w:val="nil"/>
              <w:bottom w:val="single" w:sz="4" w:space="0" w:color="auto"/>
              <w:right w:val="single" w:sz="4" w:space="0" w:color="auto"/>
            </w:tcBorders>
            <w:shd w:val="clear" w:color="auto" w:fill="auto"/>
            <w:noWrap/>
            <w:vAlign w:val="bottom"/>
            <w:hideMark/>
          </w:tcPr>
          <w:p w14:paraId="04A6FAF3"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w:t>
            </w:r>
          </w:p>
        </w:tc>
        <w:tc>
          <w:tcPr>
            <w:tcW w:w="1091" w:type="dxa"/>
            <w:tcBorders>
              <w:top w:val="nil"/>
              <w:left w:val="nil"/>
              <w:bottom w:val="single" w:sz="4" w:space="0" w:color="auto"/>
              <w:right w:val="single" w:sz="4" w:space="0" w:color="auto"/>
            </w:tcBorders>
            <w:shd w:val="clear" w:color="auto" w:fill="auto"/>
            <w:noWrap/>
            <w:vAlign w:val="bottom"/>
            <w:hideMark/>
          </w:tcPr>
          <w:p w14:paraId="14F5DF7F"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46</w:t>
            </w:r>
          </w:p>
        </w:tc>
      </w:tr>
      <w:tr w:rsidR="0001723B" w:rsidRPr="00244343" w14:paraId="34AC4F81" w14:textId="77777777" w:rsidTr="001E3D87">
        <w:trPr>
          <w:trHeight w:val="260"/>
        </w:trPr>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07B31"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2018</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14:paraId="19B3098E"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29</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04823EB8"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34</w:t>
            </w:r>
          </w:p>
        </w:tc>
        <w:tc>
          <w:tcPr>
            <w:tcW w:w="1121" w:type="dxa"/>
            <w:tcBorders>
              <w:top w:val="single" w:sz="4" w:space="0" w:color="auto"/>
              <w:left w:val="nil"/>
              <w:bottom w:val="single" w:sz="4" w:space="0" w:color="auto"/>
              <w:right w:val="single" w:sz="4" w:space="0" w:color="auto"/>
            </w:tcBorders>
            <w:shd w:val="clear" w:color="auto" w:fill="auto"/>
            <w:noWrap/>
            <w:vAlign w:val="bottom"/>
            <w:hideMark/>
          </w:tcPr>
          <w:p w14:paraId="13ACB9D1"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56</w:t>
            </w:r>
          </w:p>
        </w:tc>
        <w:tc>
          <w:tcPr>
            <w:tcW w:w="2293" w:type="dxa"/>
            <w:tcBorders>
              <w:top w:val="single" w:sz="4" w:space="0" w:color="auto"/>
              <w:left w:val="nil"/>
              <w:bottom w:val="single" w:sz="4" w:space="0" w:color="auto"/>
              <w:right w:val="single" w:sz="4" w:space="0" w:color="auto"/>
            </w:tcBorders>
            <w:shd w:val="clear" w:color="auto" w:fill="auto"/>
            <w:noWrap/>
            <w:vAlign w:val="bottom"/>
            <w:hideMark/>
          </w:tcPr>
          <w:p w14:paraId="64613767"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42</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14:paraId="00975844"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14:paraId="4921E71E"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46</w:t>
            </w:r>
          </w:p>
        </w:tc>
      </w:tr>
      <w:tr w:rsidR="0001723B" w:rsidRPr="00244343" w14:paraId="24951DC9" w14:textId="77777777" w:rsidTr="001E3D87">
        <w:trPr>
          <w:trHeight w:val="260"/>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5172D27E"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2019</w:t>
            </w:r>
          </w:p>
        </w:tc>
        <w:tc>
          <w:tcPr>
            <w:tcW w:w="691" w:type="dxa"/>
            <w:tcBorders>
              <w:top w:val="nil"/>
              <w:left w:val="nil"/>
              <w:bottom w:val="single" w:sz="4" w:space="0" w:color="auto"/>
              <w:right w:val="single" w:sz="4" w:space="0" w:color="auto"/>
            </w:tcBorders>
            <w:shd w:val="clear" w:color="auto" w:fill="auto"/>
            <w:noWrap/>
            <w:vAlign w:val="bottom"/>
            <w:hideMark/>
          </w:tcPr>
          <w:p w14:paraId="3D020251"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31</w:t>
            </w:r>
          </w:p>
        </w:tc>
        <w:tc>
          <w:tcPr>
            <w:tcW w:w="1700" w:type="dxa"/>
            <w:tcBorders>
              <w:top w:val="nil"/>
              <w:left w:val="nil"/>
              <w:bottom w:val="single" w:sz="4" w:space="0" w:color="auto"/>
              <w:right w:val="single" w:sz="4" w:space="0" w:color="auto"/>
            </w:tcBorders>
            <w:shd w:val="clear" w:color="auto" w:fill="auto"/>
            <w:noWrap/>
            <w:vAlign w:val="bottom"/>
            <w:hideMark/>
          </w:tcPr>
          <w:p w14:paraId="111FAF67"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29</w:t>
            </w:r>
          </w:p>
        </w:tc>
        <w:tc>
          <w:tcPr>
            <w:tcW w:w="1121" w:type="dxa"/>
            <w:tcBorders>
              <w:top w:val="nil"/>
              <w:left w:val="nil"/>
              <w:bottom w:val="single" w:sz="4" w:space="0" w:color="auto"/>
              <w:right w:val="single" w:sz="4" w:space="0" w:color="auto"/>
            </w:tcBorders>
            <w:shd w:val="clear" w:color="auto" w:fill="auto"/>
            <w:noWrap/>
            <w:vAlign w:val="bottom"/>
            <w:hideMark/>
          </w:tcPr>
          <w:p w14:paraId="0798AAF5"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57</w:t>
            </w:r>
          </w:p>
        </w:tc>
        <w:tc>
          <w:tcPr>
            <w:tcW w:w="2293" w:type="dxa"/>
            <w:tcBorders>
              <w:top w:val="nil"/>
              <w:left w:val="nil"/>
              <w:bottom w:val="single" w:sz="4" w:space="0" w:color="auto"/>
              <w:right w:val="single" w:sz="4" w:space="0" w:color="auto"/>
            </w:tcBorders>
            <w:shd w:val="clear" w:color="auto" w:fill="auto"/>
            <w:noWrap/>
            <w:vAlign w:val="bottom"/>
            <w:hideMark/>
          </w:tcPr>
          <w:p w14:paraId="06E336C0"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41</w:t>
            </w:r>
          </w:p>
        </w:tc>
        <w:tc>
          <w:tcPr>
            <w:tcW w:w="1223" w:type="dxa"/>
            <w:tcBorders>
              <w:top w:val="nil"/>
              <w:left w:val="nil"/>
              <w:bottom w:val="single" w:sz="4" w:space="0" w:color="auto"/>
              <w:right w:val="single" w:sz="4" w:space="0" w:color="auto"/>
            </w:tcBorders>
            <w:shd w:val="clear" w:color="auto" w:fill="auto"/>
            <w:noWrap/>
            <w:vAlign w:val="bottom"/>
            <w:hideMark/>
          </w:tcPr>
          <w:p w14:paraId="55B80AA3"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w:t>
            </w:r>
          </w:p>
        </w:tc>
        <w:tc>
          <w:tcPr>
            <w:tcW w:w="1091" w:type="dxa"/>
            <w:tcBorders>
              <w:top w:val="nil"/>
              <w:left w:val="nil"/>
              <w:bottom w:val="single" w:sz="4" w:space="0" w:color="auto"/>
              <w:right w:val="single" w:sz="4" w:space="0" w:color="auto"/>
            </w:tcBorders>
            <w:shd w:val="clear" w:color="auto" w:fill="auto"/>
            <w:noWrap/>
            <w:vAlign w:val="bottom"/>
            <w:hideMark/>
          </w:tcPr>
          <w:p w14:paraId="107CF379"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50</w:t>
            </w:r>
          </w:p>
        </w:tc>
      </w:tr>
      <w:tr w:rsidR="0001723B" w:rsidRPr="00244343" w14:paraId="49EE7698" w14:textId="77777777" w:rsidTr="001E3D87">
        <w:trPr>
          <w:trHeight w:val="260"/>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07A45DAC"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2020</w:t>
            </w:r>
          </w:p>
        </w:tc>
        <w:tc>
          <w:tcPr>
            <w:tcW w:w="691" w:type="dxa"/>
            <w:tcBorders>
              <w:top w:val="nil"/>
              <w:left w:val="nil"/>
              <w:bottom w:val="single" w:sz="4" w:space="0" w:color="auto"/>
              <w:right w:val="single" w:sz="4" w:space="0" w:color="auto"/>
            </w:tcBorders>
            <w:shd w:val="clear" w:color="auto" w:fill="auto"/>
            <w:noWrap/>
            <w:vAlign w:val="bottom"/>
            <w:hideMark/>
          </w:tcPr>
          <w:p w14:paraId="47AA450F"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30</w:t>
            </w:r>
          </w:p>
        </w:tc>
        <w:tc>
          <w:tcPr>
            <w:tcW w:w="1700" w:type="dxa"/>
            <w:tcBorders>
              <w:top w:val="nil"/>
              <w:left w:val="nil"/>
              <w:bottom w:val="single" w:sz="4" w:space="0" w:color="auto"/>
              <w:right w:val="single" w:sz="4" w:space="0" w:color="auto"/>
            </w:tcBorders>
            <w:shd w:val="clear" w:color="auto" w:fill="auto"/>
            <w:noWrap/>
            <w:vAlign w:val="bottom"/>
            <w:hideMark/>
          </w:tcPr>
          <w:p w14:paraId="6A28256A"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34</w:t>
            </w:r>
          </w:p>
        </w:tc>
        <w:tc>
          <w:tcPr>
            <w:tcW w:w="1121" w:type="dxa"/>
            <w:tcBorders>
              <w:top w:val="nil"/>
              <w:left w:val="nil"/>
              <w:bottom w:val="single" w:sz="4" w:space="0" w:color="auto"/>
              <w:right w:val="single" w:sz="4" w:space="0" w:color="auto"/>
            </w:tcBorders>
            <w:shd w:val="clear" w:color="auto" w:fill="auto"/>
            <w:noWrap/>
            <w:vAlign w:val="bottom"/>
            <w:hideMark/>
          </w:tcPr>
          <w:p w14:paraId="213052F7"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76</w:t>
            </w:r>
          </w:p>
        </w:tc>
        <w:tc>
          <w:tcPr>
            <w:tcW w:w="2293" w:type="dxa"/>
            <w:tcBorders>
              <w:top w:val="nil"/>
              <w:left w:val="nil"/>
              <w:bottom w:val="single" w:sz="4" w:space="0" w:color="auto"/>
              <w:right w:val="single" w:sz="4" w:space="0" w:color="auto"/>
            </w:tcBorders>
            <w:shd w:val="clear" w:color="auto" w:fill="auto"/>
            <w:noWrap/>
            <w:vAlign w:val="bottom"/>
            <w:hideMark/>
          </w:tcPr>
          <w:p w14:paraId="55EB8015"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40</w:t>
            </w:r>
          </w:p>
        </w:tc>
        <w:tc>
          <w:tcPr>
            <w:tcW w:w="1223" w:type="dxa"/>
            <w:tcBorders>
              <w:top w:val="nil"/>
              <w:left w:val="nil"/>
              <w:bottom w:val="single" w:sz="4" w:space="0" w:color="auto"/>
              <w:right w:val="single" w:sz="4" w:space="0" w:color="auto"/>
            </w:tcBorders>
            <w:shd w:val="clear" w:color="auto" w:fill="auto"/>
            <w:noWrap/>
            <w:vAlign w:val="bottom"/>
            <w:hideMark/>
          </w:tcPr>
          <w:p w14:paraId="469D81DE"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w:t>
            </w:r>
          </w:p>
        </w:tc>
        <w:tc>
          <w:tcPr>
            <w:tcW w:w="1091" w:type="dxa"/>
            <w:tcBorders>
              <w:top w:val="nil"/>
              <w:left w:val="nil"/>
              <w:bottom w:val="single" w:sz="4" w:space="0" w:color="auto"/>
              <w:right w:val="single" w:sz="4" w:space="0" w:color="auto"/>
            </w:tcBorders>
            <w:shd w:val="clear" w:color="auto" w:fill="auto"/>
            <w:noWrap/>
            <w:vAlign w:val="bottom"/>
            <w:hideMark/>
          </w:tcPr>
          <w:p w14:paraId="238BEC21"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59</w:t>
            </w:r>
          </w:p>
        </w:tc>
      </w:tr>
      <w:tr w:rsidR="0001723B" w:rsidRPr="00244343" w14:paraId="30E69B41" w14:textId="77777777" w:rsidTr="001E3D87">
        <w:trPr>
          <w:trHeight w:val="260"/>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5C487F6E"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2021</w:t>
            </w:r>
          </w:p>
        </w:tc>
        <w:tc>
          <w:tcPr>
            <w:tcW w:w="691" w:type="dxa"/>
            <w:tcBorders>
              <w:top w:val="nil"/>
              <w:left w:val="nil"/>
              <w:bottom w:val="single" w:sz="4" w:space="0" w:color="auto"/>
              <w:right w:val="single" w:sz="4" w:space="0" w:color="auto"/>
            </w:tcBorders>
            <w:shd w:val="clear" w:color="auto" w:fill="auto"/>
            <w:noWrap/>
            <w:vAlign w:val="bottom"/>
            <w:hideMark/>
          </w:tcPr>
          <w:p w14:paraId="644D9379"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28</w:t>
            </w:r>
          </w:p>
        </w:tc>
        <w:tc>
          <w:tcPr>
            <w:tcW w:w="1700" w:type="dxa"/>
            <w:tcBorders>
              <w:top w:val="nil"/>
              <w:left w:val="nil"/>
              <w:bottom w:val="single" w:sz="4" w:space="0" w:color="auto"/>
              <w:right w:val="single" w:sz="4" w:space="0" w:color="auto"/>
            </w:tcBorders>
            <w:shd w:val="clear" w:color="auto" w:fill="auto"/>
            <w:noWrap/>
            <w:vAlign w:val="bottom"/>
            <w:hideMark/>
          </w:tcPr>
          <w:p w14:paraId="0F1F741C"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32</w:t>
            </w:r>
          </w:p>
        </w:tc>
        <w:tc>
          <w:tcPr>
            <w:tcW w:w="1121" w:type="dxa"/>
            <w:tcBorders>
              <w:top w:val="nil"/>
              <w:left w:val="nil"/>
              <w:bottom w:val="single" w:sz="4" w:space="0" w:color="auto"/>
              <w:right w:val="single" w:sz="4" w:space="0" w:color="auto"/>
            </w:tcBorders>
            <w:shd w:val="clear" w:color="auto" w:fill="auto"/>
            <w:noWrap/>
            <w:vAlign w:val="bottom"/>
            <w:hideMark/>
          </w:tcPr>
          <w:p w14:paraId="44B5FFE8"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76</w:t>
            </w:r>
          </w:p>
        </w:tc>
        <w:tc>
          <w:tcPr>
            <w:tcW w:w="2293" w:type="dxa"/>
            <w:tcBorders>
              <w:top w:val="nil"/>
              <w:left w:val="nil"/>
              <w:bottom w:val="single" w:sz="4" w:space="0" w:color="auto"/>
              <w:right w:val="single" w:sz="4" w:space="0" w:color="auto"/>
            </w:tcBorders>
            <w:shd w:val="clear" w:color="auto" w:fill="auto"/>
            <w:noWrap/>
            <w:vAlign w:val="bottom"/>
            <w:hideMark/>
          </w:tcPr>
          <w:p w14:paraId="152747CB"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38</w:t>
            </w:r>
          </w:p>
        </w:tc>
        <w:tc>
          <w:tcPr>
            <w:tcW w:w="1223" w:type="dxa"/>
            <w:tcBorders>
              <w:top w:val="nil"/>
              <w:left w:val="nil"/>
              <w:bottom w:val="single" w:sz="4" w:space="0" w:color="auto"/>
              <w:right w:val="single" w:sz="4" w:space="0" w:color="auto"/>
            </w:tcBorders>
            <w:shd w:val="clear" w:color="auto" w:fill="auto"/>
            <w:noWrap/>
            <w:vAlign w:val="bottom"/>
            <w:hideMark/>
          </w:tcPr>
          <w:p w14:paraId="1EF9E86D"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w:t>
            </w:r>
          </w:p>
        </w:tc>
        <w:tc>
          <w:tcPr>
            <w:tcW w:w="1091" w:type="dxa"/>
            <w:tcBorders>
              <w:top w:val="nil"/>
              <w:left w:val="nil"/>
              <w:bottom w:val="single" w:sz="4" w:space="0" w:color="auto"/>
              <w:right w:val="single" w:sz="4" w:space="0" w:color="auto"/>
            </w:tcBorders>
            <w:shd w:val="clear" w:color="auto" w:fill="auto"/>
            <w:noWrap/>
            <w:vAlign w:val="bottom"/>
            <w:hideMark/>
          </w:tcPr>
          <w:p w14:paraId="7456617B"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60</w:t>
            </w:r>
          </w:p>
        </w:tc>
      </w:tr>
      <w:tr w:rsidR="0001723B" w:rsidRPr="00244343" w14:paraId="398FCBFE" w14:textId="77777777" w:rsidTr="001E3D87">
        <w:trPr>
          <w:trHeight w:val="260"/>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19DED1ED"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2022</w:t>
            </w:r>
          </w:p>
        </w:tc>
        <w:tc>
          <w:tcPr>
            <w:tcW w:w="691" w:type="dxa"/>
            <w:tcBorders>
              <w:top w:val="nil"/>
              <w:left w:val="nil"/>
              <w:bottom w:val="single" w:sz="4" w:space="0" w:color="auto"/>
              <w:right w:val="single" w:sz="4" w:space="0" w:color="auto"/>
            </w:tcBorders>
            <w:shd w:val="clear" w:color="auto" w:fill="auto"/>
            <w:noWrap/>
            <w:vAlign w:val="bottom"/>
            <w:hideMark/>
          </w:tcPr>
          <w:p w14:paraId="14282540"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28</w:t>
            </w:r>
          </w:p>
        </w:tc>
        <w:tc>
          <w:tcPr>
            <w:tcW w:w="1700" w:type="dxa"/>
            <w:tcBorders>
              <w:top w:val="nil"/>
              <w:left w:val="nil"/>
              <w:bottom w:val="single" w:sz="4" w:space="0" w:color="auto"/>
              <w:right w:val="single" w:sz="4" w:space="0" w:color="auto"/>
            </w:tcBorders>
            <w:shd w:val="clear" w:color="auto" w:fill="auto"/>
            <w:noWrap/>
            <w:vAlign w:val="bottom"/>
            <w:hideMark/>
          </w:tcPr>
          <w:p w14:paraId="6329CBE9"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33</w:t>
            </w:r>
          </w:p>
        </w:tc>
        <w:tc>
          <w:tcPr>
            <w:tcW w:w="1121" w:type="dxa"/>
            <w:tcBorders>
              <w:top w:val="nil"/>
              <w:left w:val="nil"/>
              <w:bottom w:val="single" w:sz="4" w:space="0" w:color="auto"/>
              <w:right w:val="single" w:sz="4" w:space="0" w:color="auto"/>
            </w:tcBorders>
            <w:shd w:val="clear" w:color="auto" w:fill="auto"/>
            <w:noWrap/>
            <w:vAlign w:val="bottom"/>
            <w:hideMark/>
          </w:tcPr>
          <w:p w14:paraId="5580844F"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93</w:t>
            </w:r>
          </w:p>
        </w:tc>
        <w:tc>
          <w:tcPr>
            <w:tcW w:w="2293" w:type="dxa"/>
            <w:tcBorders>
              <w:top w:val="nil"/>
              <w:left w:val="nil"/>
              <w:bottom w:val="single" w:sz="4" w:space="0" w:color="auto"/>
              <w:right w:val="single" w:sz="4" w:space="0" w:color="auto"/>
            </w:tcBorders>
            <w:shd w:val="clear" w:color="auto" w:fill="auto"/>
            <w:noWrap/>
            <w:vAlign w:val="bottom"/>
            <w:hideMark/>
          </w:tcPr>
          <w:p w14:paraId="3E609C4C"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24</w:t>
            </w:r>
          </w:p>
        </w:tc>
        <w:tc>
          <w:tcPr>
            <w:tcW w:w="1223" w:type="dxa"/>
            <w:tcBorders>
              <w:top w:val="nil"/>
              <w:left w:val="nil"/>
              <w:bottom w:val="single" w:sz="4" w:space="0" w:color="auto"/>
              <w:right w:val="single" w:sz="4" w:space="0" w:color="auto"/>
            </w:tcBorders>
            <w:shd w:val="clear" w:color="auto" w:fill="auto"/>
            <w:noWrap/>
            <w:vAlign w:val="bottom"/>
            <w:hideMark/>
          </w:tcPr>
          <w:p w14:paraId="1B58E208"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w:t>
            </w:r>
          </w:p>
        </w:tc>
        <w:tc>
          <w:tcPr>
            <w:tcW w:w="1091" w:type="dxa"/>
            <w:tcBorders>
              <w:top w:val="nil"/>
              <w:left w:val="nil"/>
              <w:bottom w:val="single" w:sz="4" w:space="0" w:color="auto"/>
              <w:right w:val="single" w:sz="4" w:space="0" w:color="auto"/>
            </w:tcBorders>
            <w:shd w:val="clear" w:color="auto" w:fill="auto"/>
            <w:noWrap/>
            <w:vAlign w:val="bottom"/>
            <w:hideMark/>
          </w:tcPr>
          <w:p w14:paraId="3BE41F41"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63</w:t>
            </w:r>
          </w:p>
        </w:tc>
      </w:tr>
      <w:tr w:rsidR="0001723B" w:rsidRPr="00244343" w14:paraId="221FC866" w14:textId="77777777" w:rsidTr="001E3D87">
        <w:trPr>
          <w:trHeight w:val="260"/>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5C919EC5"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2023</w:t>
            </w:r>
          </w:p>
        </w:tc>
        <w:tc>
          <w:tcPr>
            <w:tcW w:w="691" w:type="dxa"/>
            <w:tcBorders>
              <w:top w:val="nil"/>
              <w:left w:val="nil"/>
              <w:bottom w:val="single" w:sz="4" w:space="0" w:color="auto"/>
              <w:right w:val="single" w:sz="4" w:space="0" w:color="auto"/>
            </w:tcBorders>
            <w:shd w:val="clear" w:color="auto" w:fill="auto"/>
            <w:noWrap/>
            <w:vAlign w:val="bottom"/>
            <w:hideMark/>
          </w:tcPr>
          <w:p w14:paraId="5984E10D"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26</w:t>
            </w:r>
          </w:p>
        </w:tc>
        <w:tc>
          <w:tcPr>
            <w:tcW w:w="1700" w:type="dxa"/>
            <w:tcBorders>
              <w:top w:val="nil"/>
              <w:left w:val="nil"/>
              <w:bottom w:val="single" w:sz="4" w:space="0" w:color="auto"/>
              <w:right w:val="single" w:sz="4" w:space="0" w:color="auto"/>
            </w:tcBorders>
            <w:shd w:val="clear" w:color="auto" w:fill="auto"/>
            <w:noWrap/>
            <w:vAlign w:val="bottom"/>
            <w:hideMark/>
          </w:tcPr>
          <w:p w14:paraId="59BAA8BB"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33</w:t>
            </w:r>
          </w:p>
        </w:tc>
        <w:tc>
          <w:tcPr>
            <w:tcW w:w="1121" w:type="dxa"/>
            <w:tcBorders>
              <w:top w:val="nil"/>
              <w:left w:val="nil"/>
              <w:bottom w:val="single" w:sz="4" w:space="0" w:color="auto"/>
              <w:right w:val="single" w:sz="4" w:space="0" w:color="auto"/>
            </w:tcBorders>
            <w:shd w:val="clear" w:color="auto" w:fill="auto"/>
            <w:noWrap/>
            <w:vAlign w:val="bottom"/>
            <w:hideMark/>
          </w:tcPr>
          <w:p w14:paraId="68E7F52F"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87</w:t>
            </w:r>
          </w:p>
        </w:tc>
        <w:tc>
          <w:tcPr>
            <w:tcW w:w="2293" w:type="dxa"/>
            <w:tcBorders>
              <w:top w:val="nil"/>
              <w:left w:val="nil"/>
              <w:bottom w:val="single" w:sz="4" w:space="0" w:color="auto"/>
              <w:right w:val="single" w:sz="4" w:space="0" w:color="auto"/>
            </w:tcBorders>
            <w:shd w:val="clear" w:color="auto" w:fill="auto"/>
            <w:noWrap/>
            <w:vAlign w:val="bottom"/>
            <w:hideMark/>
          </w:tcPr>
          <w:p w14:paraId="25B5F174"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19</w:t>
            </w:r>
          </w:p>
        </w:tc>
        <w:tc>
          <w:tcPr>
            <w:tcW w:w="1223" w:type="dxa"/>
            <w:tcBorders>
              <w:top w:val="nil"/>
              <w:left w:val="nil"/>
              <w:bottom w:val="single" w:sz="4" w:space="0" w:color="auto"/>
              <w:right w:val="single" w:sz="4" w:space="0" w:color="auto"/>
            </w:tcBorders>
            <w:shd w:val="clear" w:color="auto" w:fill="auto"/>
            <w:noWrap/>
            <w:vAlign w:val="bottom"/>
            <w:hideMark/>
          </w:tcPr>
          <w:p w14:paraId="4FFCBFC3"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12</w:t>
            </w:r>
          </w:p>
        </w:tc>
        <w:tc>
          <w:tcPr>
            <w:tcW w:w="1091" w:type="dxa"/>
            <w:tcBorders>
              <w:top w:val="nil"/>
              <w:left w:val="nil"/>
              <w:bottom w:val="single" w:sz="4" w:space="0" w:color="auto"/>
              <w:right w:val="single" w:sz="4" w:space="0" w:color="auto"/>
            </w:tcBorders>
            <w:shd w:val="clear" w:color="auto" w:fill="auto"/>
            <w:noWrap/>
            <w:vAlign w:val="bottom"/>
            <w:hideMark/>
          </w:tcPr>
          <w:p w14:paraId="2E5586C4"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56</w:t>
            </w:r>
          </w:p>
        </w:tc>
      </w:tr>
    </w:tbl>
    <w:p w14:paraId="4FD1ADD3" w14:textId="2ABBFB4A" w:rsidR="00554A14" w:rsidRDefault="00554A14" w:rsidP="0001723B">
      <w:pPr>
        <w:spacing w:after="0" w:line="240" w:lineRule="auto"/>
        <w:contextualSpacing/>
        <w:jc w:val="both"/>
        <w:rPr>
          <w:rFonts w:ascii="Times New Roman" w:eastAsia="Times New Roman" w:hAnsi="Times New Roman" w:cs="Times New Roman"/>
          <w:sz w:val="28"/>
          <w:szCs w:val="28"/>
          <w:lang w:val="en-US"/>
        </w:rPr>
      </w:pPr>
    </w:p>
    <w:p w14:paraId="08A40E91" w14:textId="77777777" w:rsidR="00E7456A" w:rsidRDefault="00E7456A" w:rsidP="0001723B">
      <w:pPr>
        <w:spacing w:after="0" w:line="240" w:lineRule="auto"/>
        <w:contextualSpacing/>
        <w:jc w:val="both"/>
        <w:rPr>
          <w:rFonts w:ascii="Times New Roman" w:eastAsia="Times New Roman" w:hAnsi="Times New Roman" w:cs="Times New Roman"/>
          <w:sz w:val="28"/>
          <w:szCs w:val="28"/>
          <w:lang w:val="en-US"/>
        </w:rPr>
      </w:pPr>
    </w:p>
    <w:p w14:paraId="1829E63B" w14:textId="08320B38" w:rsidR="0001723B" w:rsidRDefault="0001723B" w:rsidP="0001723B">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t xml:space="preserve">Table </w:t>
      </w:r>
      <w:r w:rsidR="008E6E5F">
        <w:rPr>
          <w:rFonts w:ascii="Times New Roman" w:eastAsia="Times New Roman" w:hAnsi="Times New Roman" w:cs="Times New Roman"/>
          <w:sz w:val="28"/>
          <w:szCs w:val="28"/>
          <w:lang w:val="en-US"/>
        </w:rPr>
        <w:t>B</w:t>
      </w:r>
      <w:r w:rsidRPr="00244343">
        <w:rPr>
          <w:rFonts w:ascii="Times New Roman" w:eastAsia="Times New Roman" w:hAnsi="Times New Roman" w:cs="Times New Roman"/>
          <w:sz w:val="28"/>
          <w:szCs w:val="28"/>
          <w:lang w:val="en-US"/>
        </w:rPr>
        <w:t>.3 - Global Innovation Index pillars rank: Japan</w:t>
      </w:r>
    </w:p>
    <w:p w14:paraId="225C7ED3" w14:textId="77777777" w:rsidR="00554A14" w:rsidRPr="00244343" w:rsidRDefault="00554A14" w:rsidP="0001723B">
      <w:pPr>
        <w:spacing w:after="0" w:line="240" w:lineRule="auto"/>
        <w:contextualSpacing/>
        <w:jc w:val="both"/>
        <w:rPr>
          <w:rFonts w:ascii="Times New Roman" w:eastAsia="Times New Roman" w:hAnsi="Times New Roman" w:cs="Times New Roman"/>
          <w:sz w:val="28"/>
          <w:szCs w:val="28"/>
          <w:lang w:val="en-US"/>
        </w:rPr>
      </w:pPr>
    </w:p>
    <w:p w14:paraId="1A7233E3" w14:textId="77777777" w:rsidR="0001723B" w:rsidRPr="00244343" w:rsidRDefault="0001723B" w:rsidP="0001723B">
      <w:pPr>
        <w:spacing w:after="0" w:line="240" w:lineRule="auto"/>
        <w:contextualSpacing/>
        <w:jc w:val="both"/>
        <w:rPr>
          <w:rFonts w:ascii="Times New Roman" w:hAnsi="Times New Roman" w:cs="Times New Roman"/>
          <w:sz w:val="28"/>
          <w:szCs w:val="28"/>
          <w:lang w:val="en-US"/>
        </w:rPr>
      </w:pPr>
    </w:p>
    <w:tbl>
      <w:tblPr>
        <w:tblW w:w="9344" w:type="dxa"/>
        <w:tblLook w:val="04A0" w:firstRow="1" w:lastRow="0" w:firstColumn="1" w:lastColumn="0" w:noHBand="0" w:noVBand="1"/>
      </w:tblPr>
      <w:tblGrid>
        <w:gridCol w:w="1184"/>
        <w:gridCol w:w="1097"/>
        <w:gridCol w:w="1509"/>
        <w:gridCol w:w="1004"/>
        <w:gridCol w:w="2025"/>
        <w:gridCol w:w="1546"/>
        <w:gridCol w:w="979"/>
      </w:tblGrid>
      <w:tr w:rsidR="0001723B" w:rsidRPr="00244343" w14:paraId="77752E2D" w14:textId="77777777" w:rsidTr="00DC6FB6">
        <w:trPr>
          <w:trHeight w:val="1561"/>
        </w:trPr>
        <w:tc>
          <w:tcPr>
            <w:tcW w:w="12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3D45C3" w14:textId="77777777" w:rsidR="0001723B" w:rsidRPr="00244343" w:rsidRDefault="0001723B" w:rsidP="00FC4291">
            <w:pPr>
              <w:spacing w:after="0" w:line="240" w:lineRule="auto"/>
              <w:rPr>
                <w:rFonts w:ascii="Times New Roman" w:eastAsia="Times New Roman" w:hAnsi="Times New Roman" w:cs="Times New Roman"/>
                <w:sz w:val="28"/>
                <w:szCs w:val="28"/>
              </w:rPr>
            </w:pPr>
            <w:proofErr w:type="spellStart"/>
            <w:r w:rsidRPr="00244343">
              <w:rPr>
                <w:rFonts w:ascii="Times New Roman" w:eastAsia="Times New Roman" w:hAnsi="Times New Roman" w:cs="Times New Roman"/>
                <w:sz w:val="28"/>
                <w:szCs w:val="28"/>
              </w:rPr>
              <w:t>japan</w:t>
            </w:r>
            <w:proofErr w:type="spellEnd"/>
            <w:r w:rsidRPr="00244343">
              <w:rPr>
                <w:rFonts w:ascii="Times New Roman" w:eastAsia="Times New Roman" w:hAnsi="Times New Roman" w:cs="Times New Roman"/>
                <w:sz w:val="28"/>
                <w:szCs w:val="28"/>
              </w:rPr>
              <w:t>/</w:t>
            </w:r>
            <w:proofErr w:type="spellStart"/>
            <w:r w:rsidRPr="00244343">
              <w:rPr>
                <w:rFonts w:ascii="Times New Roman" w:eastAsia="Times New Roman" w:hAnsi="Times New Roman" w:cs="Times New Roman"/>
                <w:sz w:val="28"/>
                <w:szCs w:val="28"/>
              </w:rPr>
              <w:t>year</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BAA0975" w14:textId="77777777" w:rsidR="0001723B" w:rsidRPr="00244343" w:rsidRDefault="0001723B" w:rsidP="00FC4291">
            <w:pPr>
              <w:spacing w:after="0" w:line="240" w:lineRule="auto"/>
              <w:rPr>
                <w:rFonts w:ascii="Times New Roman" w:eastAsia="Times New Roman" w:hAnsi="Times New Roman" w:cs="Times New Roman"/>
                <w:sz w:val="28"/>
                <w:szCs w:val="28"/>
              </w:rPr>
            </w:pPr>
            <w:proofErr w:type="spellStart"/>
            <w:r w:rsidRPr="00244343">
              <w:rPr>
                <w:rFonts w:ascii="Times New Roman" w:eastAsia="Times New Roman" w:hAnsi="Times New Roman" w:cs="Times New Roman"/>
                <w:sz w:val="28"/>
                <w:szCs w:val="28"/>
              </w:rPr>
              <w:t>rank</w:t>
            </w:r>
            <w:proofErr w:type="spellEnd"/>
          </w:p>
        </w:tc>
        <w:tc>
          <w:tcPr>
            <w:tcW w:w="1564" w:type="dxa"/>
            <w:tcBorders>
              <w:top w:val="single" w:sz="4" w:space="0" w:color="auto"/>
              <w:left w:val="nil"/>
              <w:bottom w:val="single" w:sz="4" w:space="0" w:color="auto"/>
              <w:right w:val="single" w:sz="4" w:space="0" w:color="auto"/>
            </w:tcBorders>
            <w:shd w:val="clear" w:color="auto" w:fill="auto"/>
            <w:noWrap/>
            <w:vAlign w:val="bottom"/>
            <w:hideMark/>
          </w:tcPr>
          <w:p w14:paraId="15398926" w14:textId="77777777" w:rsidR="0001723B" w:rsidRPr="00244343" w:rsidRDefault="0001723B" w:rsidP="00FC4291">
            <w:pPr>
              <w:spacing w:after="0" w:line="240" w:lineRule="auto"/>
              <w:rPr>
                <w:rFonts w:ascii="Times New Roman" w:eastAsia="Times New Roman" w:hAnsi="Times New Roman" w:cs="Times New Roman"/>
                <w:sz w:val="28"/>
                <w:szCs w:val="28"/>
              </w:rPr>
            </w:pPr>
            <w:proofErr w:type="spellStart"/>
            <w:r w:rsidRPr="00244343">
              <w:rPr>
                <w:rFonts w:ascii="Times New Roman" w:eastAsia="Times New Roman" w:hAnsi="Times New Roman" w:cs="Times New Roman"/>
                <w:sz w:val="28"/>
                <w:szCs w:val="28"/>
              </w:rPr>
              <w:t>business</w:t>
            </w:r>
            <w:proofErr w:type="spellEnd"/>
            <w:r w:rsidRPr="00244343">
              <w:rPr>
                <w:rFonts w:ascii="Times New Roman" w:eastAsia="Times New Roman" w:hAnsi="Times New Roman" w:cs="Times New Roman"/>
                <w:sz w:val="28"/>
                <w:szCs w:val="28"/>
              </w:rPr>
              <w:t xml:space="preserve"> </w:t>
            </w:r>
            <w:proofErr w:type="spellStart"/>
            <w:r w:rsidRPr="00244343">
              <w:rPr>
                <w:rFonts w:ascii="Times New Roman" w:eastAsia="Times New Roman" w:hAnsi="Times New Roman" w:cs="Times New Roman"/>
                <w:sz w:val="28"/>
                <w:szCs w:val="28"/>
              </w:rPr>
              <w:t>sophistication</w:t>
            </w:r>
            <w:proofErr w:type="spellEnd"/>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5B4F40C2" w14:textId="77777777" w:rsidR="0001723B" w:rsidRPr="00244343" w:rsidRDefault="0001723B" w:rsidP="00FC4291">
            <w:pPr>
              <w:spacing w:after="0" w:line="240" w:lineRule="auto"/>
              <w:rPr>
                <w:rFonts w:ascii="Times New Roman" w:eastAsia="Times New Roman" w:hAnsi="Times New Roman" w:cs="Times New Roman"/>
                <w:sz w:val="28"/>
                <w:szCs w:val="28"/>
              </w:rPr>
            </w:pPr>
            <w:proofErr w:type="spellStart"/>
            <w:r w:rsidRPr="00244343">
              <w:rPr>
                <w:rFonts w:ascii="Times New Roman" w:eastAsia="Times New Roman" w:hAnsi="Times New Roman" w:cs="Times New Roman"/>
                <w:sz w:val="28"/>
                <w:szCs w:val="28"/>
              </w:rPr>
              <w:t>starting</w:t>
            </w:r>
            <w:proofErr w:type="spellEnd"/>
            <w:r w:rsidRPr="00244343">
              <w:rPr>
                <w:rFonts w:ascii="Times New Roman" w:eastAsia="Times New Roman" w:hAnsi="Times New Roman" w:cs="Times New Roman"/>
                <w:sz w:val="28"/>
                <w:szCs w:val="28"/>
              </w:rPr>
              <w:t xml:space="preserve"> a </w:t>
            </w:r>
            <w:proofErr w:type="spellStart"/>
            <w:r w:rsidRPr="00244343">
              <w:rPr>
                <w:rFonts w:ascii="Times New Roman" w:eastAsia="Times New Roman" w:hAnsi="Times New Roman" w:cs="Times New Roman"/>
                <w:sz w:val="28"/>
                <w:szCs w:val="28"/>
              </w:rPr>
              <w:t>business</w:t>
            </w:r>
            <w:proofErr w:type="spellEnd"/>
          </w:p>
        </w:tc>
        <w:tc>
          <w:tcPr>
            <w:tcW w:w="1411" w:type="dxa"/>
            <w:tcBorders>
              <w:top w:val="single" w:sz="4" w:space="0" w:color="auto"/>
              <w:left w:val="nil"/>
              <w:bottom w:val="single" w:sz="4" w:space="0" w:color="auto"/>
              <w:right w:val="single" w:sz="4" w:space="0" w:color="auto"/>
            </w:tcBorders>
            <w:shd w:val="clear" w:color="auto" w:fill="auto"/>
            <w:vAlign w:val="bottom"/>
            <w:hideMark/>
          </w:tcPr>
          <w:p w14:paraId="0A743709" w14:textId="77777777" w:rsidR="0001723B" w:rsidRPr="00244343" w:rsidRDefault="0001723B" w:rsidP="00FC4291">
            <w:pPr>
              <w:spacing w:after="0" w:line="240" w:lineRule="auto"/>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University/</w:t>
            </w:r>
            <w:proofErr w:type="spellStart"/>
            <w:r w:rsidRPr="00244343">
              <w:rPr>
                <w:rFonts w:ascii="Times New Roman" w:eastAsia="Times New Roman" w:hAnsi="Times New Roman" w:cs="Times New Roman"/>
                <w:sz w:val="28"/>
                <w:szCs w:val="28"/>
              </w:rPr>
              <w:t>industry</w:t>
            </w:r>
            <w:proofErr w:type="spellEnd"/>
            <w:r w:rsidRPr="00244343">
              <w:rPr>
                <w:rFonts w:ascii="Times New Roman" w:eastAsia="Times New Roman" w:hAnsi="Times New Roman" w:cs="Times New Roman"/>
                <w:sz w:val="28"/>
                <w:szCs w:val="28"/>
              </w:rPr>
              <w:t xml:space="preserve"> </w:t>
            </w:r>
            <w:proofErr w:type="spellStart"/>
            <w:r w:rsidRPr="00244343">
              <w:rPr>
                <w:rFonts w:ascii="Times New Roman" w:eastAsia="Times New Roman" w:hAnsi="Times New Roman" w:cs="Times New Roman"/>
                <w:sz w:val="28"/>
                <w:szCs w:val="28"/>
              </w:rPr>
              <w:t>research</w:t>
            </w:r>
            <w:proofErr w:type="spellEnd"/>
            <w:r w:rsidRPr="00244343">
              <w:rPr>
                <w:rFonts w:ascii="Times New Roman" w:eastAsia="Times New Roman" w:hAnsi="Times New Roman" w:cs="Times New Roman"/>
                <w:sz w:val="28"/>
                <w:szCs w:val="28"/>
              </w:rPr>
              <w:br/>
            </w:r>
            <w:proofErr w:type="spellStart"/>
            <w:r w:rsidRPr="00244343">
              <w:rPr>
                <w:rFonts w:ascii="Times New Roman" w:eastAsia="Times New Roman" w:hAnsi="Times New Roman" w:cs="Times New Roman"/>
                <w:sz w:val="28"/>
                <w:szCs w:val="28"/>
              </w:rPr>
              <w:t>collaboration</w:t>
            </w:r>
            <w:proofErr w:type="spellEnd"/>
          </w:p>
        </w:tc>
        <w:tc>
          <w:tcPr>
            <w:tcW w:w="1817" w:type="dxa"/>
            <w:tcBorders>
              <w:top w:val="single" w:sz="4" w:space="0" w:color="auto"/>
              <w:left w:val="nil"/>
              <w:bottom w:val="single" w:sz="4" w:space="0" w:color="auto"/>
              <w:right w:val="single" w:sz="4" w:space="0" w:color="auto"/>
            </w:tcBorders>
            <w:shd w:val="clear" w:color="auto" w:fill="auto"/>
            <w:noWrap/>
            <w:vAlign w:val="bottom"/>
            <w:hideMark/>
          </w:tcPr>
          <w:p w14:paraId="276FFE9B" w14:textId="77777777" w:rsidR="0001723B" w:rsidRPr="00244343" w:rsidRDefault="0001723B" w:rsidP="00FC4291">
            <w:pPr>
              <w:spacing w:after="0" w:line="240" w:lineRule="auto"/>
              <w:rPr>
                <w:rFonts w:ascii="Times New Roman" w:eastAsia="Times New Roman" w:hAnsi="Times New Roman" w:cs="Times New Roman"/>
                <w:sz w:val="28"/>
                <w:szCs w:val="28"/>
              </w:rPr>
            </w:pPr>
            <w:proofErr w:type="spellStart"/>
            <w:r w:rsidRPr="00244343">
              <w:rPr>
                <w:rFonts w:ascii="Times New Roman" w:eastAsia="Times New Roman" w:hAnsi="Times New Roman" w:cs="Times New Roman"/>
                <w:sz w:val="28"/>
                <w:szCs w:val="28"/>
              </w:rPr>
              <w:t>Presence</w:t>
            </w:r>
            <w:proofErr w:type="spellEnd"/>
            <w:r w:rsidRPr="00244343">
              <w:rPr>
                <w:rFonts w:ascii="Times New Roman" w:eastAsia="Times New Roman" w:hAnsi="Times New Roman" w:cs="Times New Roman"/>
                <w:sz w:val="28"/>
                <w:szCs w:val="28"/>
              </w:rPr>
              <w:t xml:space="preserve"> </w:t>
            </w:r>
            <w:proofErr w:type="spellStart"/>
            <w:r w:rsidRPr="00244343">
              <w:rPr>
                <w:rFonts w:ascii="Times New Roman" w:eastAsia="Times New Roman" w:hAnsi="Times New Roman" w:cs="Times New Roman"/>
                <w:sz w:val="28"/>
                <w:szCs w:val="28"/>
              </w:rPr>
              <w:t>of</w:t>
            </w:r>
            <w:proofErr w:type="spellEnd"/>
            <w:r w:rsidRPr="00244343">
              <w:rPr>
                <w:rFonts w:ascii="Times New Roman" w:eastAsia="Times New Roman" w:hAnsi="Times New Roman" w:cs="Times New Roman"/>
                <w:sz w:val="28"/>
                <w:szCs w:val="28"/>
              </w:rPr>
              <w:t xml:space="preserve"> </w:t>
            </w:r>
            <w:proofErr w:type="spellStart"/>
            <w:r w:rsidRPr="00244343">
              <w:rPr>
                <w:rFonts w:ascii="Times New Roman" w:eastAsia="Times New Roman" w:hAnsi="Times New Roman" w:cs="Times New Roman"/>
                <w:sz w:val="28"/>
                <w:szCs w:val="28"/>
              </w:rPr>
              <w:t>clusters</w:t>
            </w:r>
            <w:proofErr w:type="spellEnd"/>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6CFC7BFD" w14:textId="77777777" w:rsidR="0001723B" w:rsidRDefault="0001723B" w:rsidP="00FC4291">
            <w:pPr>
              <w:spacing w:after="0" w:line="240" w:lineRule="auto"/>
              <w:rPr>
                <w:rFonts w:ascii="Times New Roman" w:eastAsia="Times New Roman" w:hAnsi="Times New Roman" w:cs="Times New Roman"/>
                <w:sz w:val="28"/>
                <w:szCs w:val="28"/>
              </w:rPr>
            </w:pPr>
            <w:proofErr w:type="spellStart"/>
            <w:r w:rsidRPr="00244343">
              <w:rPr>
                <w:rFonts w:ascii="Times New Roman" w:eastAsia="Times New Roman" w:hAnsi="Times New Roman" w:cs="Times New Roman"/>
                <w:sz w:val="28"/>
                <w:szCs w:val="28"/>
              </w:rPr>
              <w:t>political</w:t>
            </w:r>
            <w:proofErr w:type="spellEnd"/>
            <w:r w:rsidRPr="00244343">
              <w:rPr>
                <w:rFonts w:ascii="Times New Roman" w:eastAsia="Times New Roman" w:hAnsi="Times New Roman" w:cs="Times New Roman"/>
                <w:sz w:val="28"/>
                <w:szCs w:val="28"/>
              </w:rPr>
              <w:t xml:space="preserve"> </w:t>
            </w:r>
            <w:proofErr w:type="spellStart"/>
            <w:r w:rsidRPr="00244343">
              <w:rPr>
                <w:rFonts w:ascii="Times New Roman" w:eastAsia="Times New Roman" w:hAnsi="Times New Roman" w:cs="Times New Roman"/>
                <w:sz w:val="28"/>
                <w:szCs w:val="28"/>
              </w:rPr>
              <w:t>stability</w:t>
            </w:r>
            <w:proofErr w:type="spellEnd"/>
          </w:p>
          <w:p w14:paraId="0E874BD7" w14:textId="2B300A00" w:rsidR="00E43078" w:rsidRPr="00244343" w:rsidRDefault="00E43078" w:rsidP="00FC4291">
            <w:pPr>
              <w:spacing w:after="0" w:line="240" w:lineRule="auto"/>
              <w:rPr>
                <w:rFonts w:ascii="Times New Roman" w:eastAsia="Times New Roman" w:hAnsi="Times New Roman" w:cs="Times New Roman"/>
                <w:sz w:val="28"/>
                <w:szCs w:val="28"/>
              </w:rPr>
            </w:pPr>
          </w:p>
        </w:tc>
      </w:tr>
      <w:tr w:rsidR="0001723B" w:rsidRPr="00244343" w14:paraId="34D85D42" w14:textId="77777777" w:rsidTr="00DC6FB6">
        <w:trPr>
          <w:trHeight w:val="2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65796197"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2007</w:t>
            </w:r>
          </w:p>
        </w:tc>
        <w:tc>
          <w:tcPr>
            <w:tcW w:w="1276" w:type="dxa"/>
            <w:tcBorders>
              <w:top w:val="nil"/>
              <w:left w:val="nil"/>
              <w:bottom w:val="single" w:sz="4" w:space="0" w:color="auto"/>
              <w:right w:val="single" w:sz="4" w:space="0" w:color="auto"/>
            </w:tcBorders>
            <w:shd w:val="clear" w:color="auto" w:fill="auto"/>
            <w:noWrap/>
            <w:vAlign w:val="bottom"/>
            <w:hideMark/>
          </w:tcPr>
          <w:p w14:paraId="7CA1D7C3"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w:t>
            </w:r>
          </w:p>
        </w:tc>
        <w:tc>
          <w:tcPr>
            <w:tcW w:w="1564" w:type="dxa"/>
            <w:tcBorders>
              <w:top w:val="nil"/>
              <w:left w:val="nil"/>
              <w:bottom w:val="single" w:sz="4" w:space="0" w:color="auto"/>
              <w:right w:val="single" w:sz="4" w:space="0" w:color="auto"/>
            </w:tcBorders>
            <w:shd w:val="clear" w:color="auto" w:fill="auto"/>
            <w:noWrap/>
            <w:vAlign w:val="bottom"/>
            <w:hideMark/>
          </w:tcPr>
          <w:p w14:paraId="67DF41FB" w14:textId="77777777" w:rsidR="0001723B" w:rsidRPr="00244343" w:rsidRDefault="0001723B" w:rsidP="00FC4291">
            <w:pPr>
              <w:spacing w:after="0" w:line="240" w:lineRule="auto"/>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 </w:t>
            </w:r>
          </w:p>
        </w:tc>
        <w:tc>
          <w:tcPr>
            <w:tcW w:w="1038" w:type="dxa"/>
            <w:tcBorders>
              <w:top w:val="nil"/>
              <w:left w:val="nil"/>
              <w:bottom w:val="single" w:sz="4" w:space="0" w:color="auto"/>
              <w:right w:val="single" w:sz="4" w:space="0" w:color="auto"/>
            </w:tcBorders>
            <w:shd w:val="clear" w:color="auto" w:fill="auto"/>
            <w:noWrap/>
            <w:vAlign w:val="bottom"/>
            <w:hideMark/>
          </w:tcPr>
          <w:p w14:paraId="7AF33AFB" w14:textId="77777777" w:rsidR="0001723B" w:rsidRPr="00244343" w:rsidRDefault="0001723B" w:rsidP="00FC4291">
            <w:pPr>
              <w:spacing w:after="0" w:line="240" w:lineRule="auto"/>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 </w:t>
            </w:r>
          </w:p>
        </w:tc>
        <w:tc>
          <w:tcPr>
            <w:tcW w:w="1411" w:type="dxa"/>
            <w:tcBorders>
              <w:top w:val="nil"/>
              <w:left w:val="nil"/>
              <w:bottom w:val="single" w:sz="4" w:space="0" w:color="auto"/>
              <w:right w:val="single" w:sz="4" w:space="0" w:color="auto"/>
            </w:tcBorders>
            <w:shd w:val="clear" w:color="auto" w:fill="auto"/>
            <w:noWrap/>
            <w:vAlign w:val="bottom"/>
            <w:hideMark/>
          </w:tcPr>
          <w:p w14:paraId="602AB89A" w14:textId="77777777" w:rsidR="0001723B" w:rsidRPr="00244343" w:rsidRDefault="0001723B" w:rsidP="00FC4291">
            <w:pPr>
              <w:spacing w:after="0" w:line="240" w:lineRule="auto"/>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 </w:t>
            </w:r>
          </w:p>
        </w:tc>
        <w:tc>
          <w:tcPr>
            <w:tcW w:w="1817" w:type="dxa"/>
            <w:tcBorders>
              <w:top w:val="nil"/>
              <w:left w:val="nil"/>
              <w:bottom w:val="single" w:sz="4" w:space="0" w:color="auto"/>
              <w:right w:val="single" w:sz="4" w:space="0" w:color="auto"/>
            </w:tcBorders>
            <w:shd w:val="clear" w:color="auto" w:fill="auto"/>
            <w:noWrap/>
            <w:vAlign w:val="bottom"/>
            <w:hideMark/>
          </w:tcPr>
          <w:p w14:paraId="61F8CAE1" w14:textId="77777777" w:rsidR="0001723B" w:rsidRPr="00244343" w:rsidRDefault="0001723B" w:rsidP="00FC4291">
            <w:pPr>
              <w:spacing w:after="0" w:line="240" w:lineRule="auto"/>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 </w:t>
            </w:r>
          </w:p>
        </w:tc>
        <w:tc>
          <w:tcPr>
            <w:tcW w:w="1011" w:type="dxa"/>
            <w:tcBorders>
              <w:top w:val="nil"/>
              <w:left w:val="nil"/>
              <w:bottom w:val="single" w:sz="4" w:space="0" w:color="auto"/>
              <w:right w:val="single" w:sz="4" w:space="0" w:color="auto"/>
            </w:tcBorders>
            <w:shd w:val="clear" w:color="auto" w:fill="auto"/>
            <w:noWrap/>
            <w:vAlign w:val="bottom"/>
            <w:hideMark/>
          </w:tcPr>
          <w:p w14:paraId="208BF8E6" w14:textId="77777777" w:rsidR="0001723B" w:rsidRPr="00244343" w:rsidRDefault="0001723B" w:rsidP="00FC4291">
            <w:pPr>
              <w:spacing w:after="0" w:line="240" w:lineRule="auto"/>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 </w:t>
            </w:r>
          </w:p>
        </w:tc>
      </w:tr>
      <w:tr w:rsidR="0001723B" w:rsidRPr="00244343" w14:paraId="77FFAE36" w14:textId="77777777" w:rsidTr="00DC6FB6">
        <w:trPr>
          <w:trHeight w:val="2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6B7E6E50"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2008</w:t>
            </w:r>
          </w:p>
        </w:tc>
        <w:tc>
          <w:tcPr>
            <w:tcW w:w="1276" w:type="dxa"/>
            <w:tcBorders>
              <w:top w:val="nil"/>
              <w:left w:val="nil"/>
              <w:bottom w:val="single" w:sz="4" w:space="0" w:color="auto"/>
              <w:right w:val="single" w:sz="4" w:space="0" w:color="auto"/>
            </w:tcBorders>
            <w:shd w:val="clear" w:color="auto" w:fill="auto"/>
            <w:noWrap/>
            <w:vAlign w:val="bottom"/>
            <w:hideMark/>
          </w:tcPr>
          <w:p w14:paraId="6C5ADBE3"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9</w:t>
            </w:r>
          </w:p>
        </w:tc>
        <w:tc>
          <w:tcPr>
            <w:tcW w:w="1564" w:type="dxa"/>
            <w:tcBorders>
              <w:top w:val="nil"/>
              <w:left w:val="nil"/>
              <w:bottom w:val="single" w:sz="4" w:space="0" w:color="auto"/>
              <w:right w:val="single" w:sz="4" w:space="0" w:color="auto"/>
            </w:tcBorders>
            <w:shd w:val="clear" w:color="auto" w:fill="auto"/>
            <w:noWrap/>
            <w:vAlign w:val="bottom"/>
            <w:hideMark/>
          </w:tcPr>
          <w:p w14:paraId="74B271CC"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16</w:t>
            </w:r>
          </w:p>
        </w:tc>
        <w:tc>
          <w:tcPr>
            <w:tcW w:w="1038" w:type="dxa"/>
            <w:tcBorders>
              <w:top w:val="nil"/>
              <w:left w:val="nil"/>
              <w:bottom w:val="single" w:sz="4" w:space="0" w:color="auto"/>
              <w:right w:val="single" w:sz="4" w:space="0" w:color="auto"/>
            </w:tcBorders>
            <w:shd w:val="clear" w:color="auto" w:fill="auto"/>
            <w:noWrap/>
            <w:vAlign w:val="bottom"/>
            <w:hideMark/>
          </w:tcPr>
          <w:p w14:paraId="7CC49352"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22</w:t>
            </w:r>
          </w:p>
        </w:tc>
        <w:tc>
          <w:tcPr>
            <w:tcW w:w="1411" w:type="dxa"/>
            <w:tcBorders>
              <w:top w:val="nil"/>
              <w:left w:val="nil"/>
              <w:bottom w:val="single" w:sz="4" w:space="0" w:color="auto"/>
              <w:right w:val="single" w:sz="4" w:space="0" w:color="auto"/>
            </w:tcBorders>
            <w:shd w:val="clear" w:color="auto" w:fill="auto"/>
            <w:noWrap/>
            <w:vAlign w:val="bottom"/>
            <w:hideMark/>
          </w:tcPr>
          <w:p w14:paraId="1C54A681"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19</w:t>
            </w:r>
          </w:p>
        </w:tc>
        <w:tc>
          <w:tcPr>
            <w:tcW w:w="1817" w:type="dxa"/>
            <w:tcBorders>
              <w:top w:val="nil"/>
              <w:left w:val="nil"/>
              <w:bottom w:val="single" w:sz="4" w:space="0" w:color="auto"/>
              <w:right w:val="single" w:sz="4" w:space="0" w:color="auto"/>
            </w:tcBorders>
            <w:shd w:val="clear" w:color="auto" w:fill="auto"/>
            <w:noWrap/>
            <w:vAlign w:val="bottom"/>
            <w:hideMark/>
          </w:tcPr>
          <w:p w14:paraId="7684641F"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w:t>
            </w:r>
          </w:p>
        </w:tc>
        <w:tc>
          <w:tcPr>
            <w:tcW w:w="1011" w:type="dxa"/>
            <w:tcBorders>
              <w:top w:val="nil"/>
              <w:left w:val="nil"/>
              <w:bottom w:val="single" w:sz="4" w:space="0" w:color="auto"/>
              <w:right w:val="single" w:sz="4" w:space="0" w:color="auto"/>
            </w:tcBorders>
            <w:shd w:val="clear" w:color="auto" w:fill="auto"/>
            <w:noWrap/>
            <w:vAlign w:val="bottom"/>
            <w:hideMark/>
          </w:tcPr>
          <w:p w14:paraId="5002017B"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12</w:t>
            </w:r>
          </w:p>
        </w:tc>
      </w:tr>
      <w:tr w:rsidR="0001723B" w:rsidRPr="00244343" w14:paraId="5F528E8E" w14:textId="77777777" w:rsidTr="00DC6FB6">
        <w:trPr>
          <w:trHeight w:val="2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26CB485A"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2009</w:t>
            </w:r>
          </w:p>
        </w:tc>
        <w:tc>
          <w:tcPr>
            <w:tcW w:w="1276" w:type="dxa"/>
            <w:tcBorders>
              <w:top w:val="nil"/>
              <w:left w:val="nil"/>
              <w:bottom w:val="single" w:sz="4" w:space="0" w:color="auto"/>
              <w:right w:val="single" w:sz="4" w:space="0" w:color="auto"/>
            </w:tcBorders>
            <w:shd w:val="clear" w:color="auto" w:fill="auto"/>
            <w:noWrap/>
            <w:vAlign w:val="bottom"/>
            <w:hideMark/>
          </w:tcPr>
          <w:p w14:paraId="5FA36C8D"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9</w:t>
            </w:r>
          </w:p>
        </w:tc>
        <w:tc>
          <w:tcPr>
            <w:tcW w:w="1564" w:type="dxa"/>
            <w:tcBorders>
              <w:top w:val="nil"/>
              <w:left w:val="nil"/>
              <w:bottom w:val="single" w:sz="4" w:space="0" w:color="auto"/>
              <w:right w:val="single" w:sz="4" w:space="0" w:color="auto"/>
            </w:tcBorders>
            <w:shd w:val="clear" w:color="auto" w:fill="auto"/>
            <w:noWrap/>
            <w:vAlign w:val="bottom"/>
            <w:hideMark/>
          </w:tcPr>
          <w:p w14:paraId="1B883E7B"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16</w:t>
            </w:r>
          </w:p>
        </w:tc>
        <w:tc>
          <w:tcPr>
            <w:tcW w:w="1038" w:type="dxa"/>
            <w:tcBorders>
              <w:top w:val="nil"/>
              <w:left w:val="nil"/>
              <w:bottom w:val="single" w:sz="4" w:space="0" w:color="auto"/>
              <w:right w:val="single" w:sz="4" w:space="0" w:color="auto"/>
            </w:tcBorders>
            <w:shd w:val="clear" w:color="auto" w:fill="auto"/>
            <w:noWrap/>
            <w:vAlign w:val="bottom"/>
            <w:hideMark/>
          </w:tcPr>
          <w:p w14:paraId="54D1C5AE"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22</w:t>
            </w:r>
          </w:p>
        </w:tc>
        <w:tc>
          <w:tcPr>
            <w:tcW w:w="1411" w:type="dxa"/>
            <w:tcBorders>
              <w:top w:val="nil"/>
              <w:left w:val="nil"/>
              <w:bottom w:val="single" w:sz="4" w:space="0" w:color="auto"/>
              <w:right w:val="single" w:sz="4" w:space="0" w:color="auto"/>
            </w:tcBorders>
            <w:shd w:val="clear" w:color="auto" w:fill="auto"/>
            <w:noWrap/>
            <w:vAlign w:val="bottom"/>
            <w:hideMark/>
          </w:tcPr>
          <w:p w14:paraId="0E998B9E"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19</w:t>
            </w:r>
          </w:p>
        </w:tc>
        <w:tc>
          <w:tcPr>
            <w:tcW w:w="1817" w:type="dxa"/>
            <w:tcBorders>
              <w:top w:val="nil"/>
              <w:left w:val="nil"/>
              <w:bottom w:val="single" w:sz="4" w:space="0" w:color="auto"/>
              <w:right w:val="single" w:sz="4" w:space="0" w:color="auto"/>
            </w:tcBorders>
            <w:shd w:val="clear" w:color="auto" w:fill="auto"/>
            <w:noWrap/>
            <w:vAlign w:val="bottom"/>
            <w:hideMark/>
          </w:tcPr>
          <w:p w14:paraId="338DD2FD"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w:t>
            </w:r>
          </w:p>
        </w:tc>
        <w:tc>
          <w:tcPr>
            <w:tcW w:w="1011" w:type="dxa"/>
            <w:tcBorders>
              <w:top w:val="nil"/>
              <w:left w:val="nil"/>
              <w:bottom w:val="single" w:sz="4" w:space="0" w:color="auto"/>
              <w:right w:val="single" w:sz="4" w:space="0" w:color="auto"/>
            </w:tcBorders>
            <w:shd w:val="clear" w:color="auto" w:fill="auto"/>
            <w:noWrap/>
            <w:vAlign w:val="bottom"/>
            <w:hideMark/>
          </w:tcPr>
          <w:p w14:paraId="62E3FC4A"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12</w:t>
            </w:r>
          </w:p>
        </w:tc>
      </w:tr>
      <w:tr w:rsidR="0001723B" w:rsidRPr="00244343" w14:paraId="2C3C3390" w14:textId="77777777" w:rsidTr="00DC6FB6">
        <w:trPr>
          <w:trHeight w:val="2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7D33B819"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2010</w:t>
            </w:r>
          </w:p>
        </w:tc>
        <w:tc>
          <w:tcPr>
            <w:tcW w:w="1276" w:type="dxa"/>
            <w:tcBorders>
              <w:top w:val="nil"/>
              <w:left w:val="nil"/>
              <w:bottom w:val="single" w:sz="4" w:space="0" w:color="auto"/>
              <w:right w:val="single" w:sz="4" w:space="0" w:color="auto"/>
            </w:tcBorders>
            <w:shd w:val="clear" w:color="auto" w:fill="auto"/>
            <w:noWrap/>
            <w:vAlign w:val="bottom"/>
            <w:hideMark/>
          </w:tcPr>
          <w:p w14:paraId="442A811B"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13</w:t>
            </w:r>
          </w:p>
        </w:tc>
        <w:tc>
          <w:tcPr>
            <w:tcW w:w="1564" w:type="dxa"/>
            <w:tcBorders>
              <w:top w:val="nil"/>
              <w:left w:val="nil"/>
              <w:bottom w:val="single" w:sz="4" w:space="0" w:color="auto"/>
              <w:right w:val="single" w:sz="4" w:space="0" w:color="auto"/>
            </w:tcBorders>
            <w:shd w:val="clear" w:color="auto" w:fill="auto"/>
            <w:noWrap/>
            <w:vAlign w:val="bottom"/>
            <w:hideMark/>
          </w:tcPr>
          <w:p w14:paraId="2DA7C38C"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w:t>
            </w:r>
          </w:p>
        </w:tc>
        <w:tc>
          <w:tcPr>
            <w:tcW w:w="1038" w:type="dxa"/>
            <w:tcBorders>
              <w:top w:val="nil"/>
              <w:left w:val="nil"/>
              <w:bottom w:val="single" w:sz="4" w:space="0" w:color="auto"/>
              <w:right w:val="single" w:sz="4" w:space="0" w:color="auto"/>
            </w:tcBorders>
            <w:shd w:val="clear" w:color="auto" w:fill="auto"/>
            <w:noWrap/>
            <w:vAlign w:val="bottom"/>
            <w:hideMark/>
          </w:tcPr>
          <w:p w14:paraId="1805AA6D"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64</w:t>
            </w:r>
          </w:p>
        </w:tc>
        <w:tc>
          <w:tcPr>
            <w:tcW w:w="1411" w:type="dxa"/>
            <w:tcBorders>
              <w:top w:val="nil"/>
              <w:left w:val="nil"/>
              <w:bottom w:val="single" w:sz="4" w:space="0" w:color="auto"/>
              <w:right w:val="single" w:sz="4" w:space="0" w:color="auto"/>
            </w:tcBorders>
            <w:shd w:val="clear" w:color="auto" w:fill="auto"/>
            <w:noWrap/>
            <w:vAlign w:val="bottom"/>
            <w:hideMark/>
          </w:tcPr>
          <w:p w14:paraId="2C67E5E6"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w:t>
            </w:r>
          </w:p>
        </w:tc>
        <w:tc>
          <w:tcPr>
            <w:tcW w:w="1817" w:type="dxa"/>
            <w:tcBorders>
              <w:top w:val="nil"/>
              <w:left w:val="nil"/>
              <w:bottom w:val="single" w:sz="4" w:space="0" w:color="auto"/>
              <w:right w:val="single" w:sz="4" w:space="0" w:color="auto"/>
            </w:tcBorders>
            <w:shd w:val="clear" w:color="auto" w:fill="auto"/>
            <w:noWrap/>
            <w:vAlign w:val="bottom"/>
            <w:hideMark/>
          </w:tcPr>
          <w:p w14:paraId="28EB7B47"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w:t>
            </w:r>
          </w:p>
        </w:tc>
        <w:tc>
          <w:tcPr>
            <w:tcW w:w="1011" w:type="dxa"/>
            <w:tcBorders>
              <w:top w:val="nil"/>
              <w:left w:val="nil"/>
              <w:bottom w:val="single" w:sz="4" w:space="0" w:color="auto"/>
              <w:right w:val="single" w:sz="4" w:space="0" w:color="auto"/>
            </w:tcBorders>
            <w:shd w:val="clear" w:color="auto" w:fill="auto"/>
            <w:noWrap/>
            <w:vAlign w:val="bottom"/>
            <w:hideMark/>
          </w:tcPr>
          <w:p w14:paraId="6CE51AA6"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26</w:t>
            </w:r>
          </w:p>
        </w:tc>
      </w:tr>
      <w:tr w:rsidR="0001723B" w:rsidRPr="00244343" w14:paraId="5B10B757" w14:textId="77777777" w:rsidTr="00DC6FB6">
        <w:trPr>
          <w:trHeight w:val="2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1C92EC76"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2011</w:t>
            </w:r>
          </w:p>
        </w:tc>
        <w:tc>
          <w:tcPr>
            <w:tcW w:w="1276" w:type="dxa"/>
            <w:tcBorders>
              <w:top w:val="nil"/>
              <w:left w:val="nil"/>
              <w:bottom w:val="single" w:sz="4" w:space="0" w:color="auto"/>
              <w:right w:val="single" w:sz="4" w:space="0" w:color="auto"/>
            </w:tcBorders>
            <w:shd w:val="clear" w:color="auto" w:fill="auto"/>
            <w:noWrap/>
            <w:vAlign w:val="bottom"/>
            <w:hideMark/>
          </w:tcPr>
          <w:p w14:paraId="4B8639D7"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w:t>
            </w:r>
          </w:p>
        </w:tc>
        <w:tc>
          <w:tcPr>
            <w:tcW w:w="1564" w:type="dxa"/>
            <w:tcBorders>
              <w:top w:val="nil"/>
              <w:left w:val="nil"/>
              <w:bottom w:val="single" w:sz="4" w:space="0" w:color="auto"/>
              <w:right w:val="single" w:sz="4" w:space="0" w:color="auto"/>
            </w:tcBorders>
            <w:shd w:val="clear" w:color="auto" w:fill="auto"/>
            <w:noWrap/>
            <w:vAlign w:val="bottom"/>
            <w:hideMark/>
          </w:tcPr>
          <w:p w14:paraId="7765D82D"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14</w:t>
            </w:r>
          </w:p>
        </w:tc>
        <w:tc>
          <w:tcPr>
            <w:tcW w:w="1038" w:type="dxa"/>
            <w:tcBorders>
              <w:top w:val="nil"/>
              <w:left w:val="nil"/>
              <w:bottom w:val="single" w:sz="4" w:space="0" w:color="auto"/>
              <w:right w:val="single" w:sz="4" w:space="0" w:color="auto"/>
            </w:tcBorders>
            <w:shd w:val="clear" w:color="auto" w:fill="auto"/>
            <w:noWrap/>
            <w:vAlign w:val="bottom"/>
            <w:hideMark/>
          </w:tcPr>
          <w:p w14:paraId="192325D8"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81</w:t>
            </w:r>
          </w:p>
        </w:tc>
        <w:tc>
          <w:tcPr>
            <w:tcW w:w="1411" w:type="dxa"/>
            <w:tcBorders>
              <w:top w:val="nil"/>
              <w:left w:val="nil"/>
              <w:bottom w:val="single" w:sz="4" w:space="0" w:color="auto"/>
              <w:right w:val="single" w:sz="4" w:space="0" w:color="auto"/>
            </w:tcBorders>
            <w:shd w:val="clear" w:color="auto" w:fill="auto"/>
            <w:noWrap/>
            <w:vAlign w:val="bottom"/>
            <w:hideMark/>
          </w:tcPr>
          <w:p w14:paraId="746F8DBB"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18</w:t>
            </w:r>
          </w:p>
        </w:tc>
        <w:tc>
          <w:tcPr>
            <w:tcW w:w="1817" w:type="dxa"/>
            <w:tcBorders>
              <w:top w:val="nil"/>
              <w:left w:val="nil"/>
              <w:bottom w:val="single" w:sz="4" w:space="0" w:color="auto"/>
              <w:right w:val="single" w:sz="4" w:space="0" w:color="auto"/>
            </w:tcBorders>
            <w:shd w:val="clear" w:color="auto" w:fill="auto"/>
            <w:noWrap/>
            <w:vAlign w:val="bottom"/>
            <w:hideMark/>
          </w:tcPr>
          <w:p w14:paraId="769D3CF6"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w:t>
            </w:r>
          </w:p>
        </w:tc>
        <w:tc>
          <w:tcPr>
            <w:tcW w:w="1011" w:type="dxa"/>
            <w:tcBorders>
              <w:top w:val="nil"/>
              <w:left w:val="nil"/>
              <w:bottom w:val="single" w:sz="4" w:space="0" w:color="auto"/>
              <w:right w:val="single" w:sz="4" w:space="0" w:color="auto"/>
            </w:tcBorders>
            <w:shd w:val="clear" w:color="auto" w:fill="auto"/>
            <w:noWrap/>
            <w:vAlign w:val="bottom"/>
            <w:hideMark/>
          </w:tcPr>
          <w:p w14:paraId="0938974A"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15</w:t>
            </w:r>
          </w:p>
        </w:tc>
      </w:tr>
      <w:tr w:rsidR="0001723B" w:rsidRPr="00244343" w14:paraId="371BD2C3" w14:textId="77777777" w:rsidTr="00DC6FB6">
        <w:trPr>
          <w:trHeight w:val="2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2B566D0F"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2012</w:t>
            </w:r>
          </w:p>
        </w:tc>
        <w:tc>
          <w:tcPr>
            <w:tcW w:w="1276" w:type="dxa"/>
            <w:tcBorders>
              <w:top w:val="nil"/>
              <w:left w:val="nil"/>
              <w:bottom w:val="single" w:sz="4" w:space="0" w:color="auto"/>
              <w:right w:val="single" w:sz="4" w:space="0" w:color="auto"/>
            </w:tcBorders>
            <w:shd w:val="clear" w:color="auto" w:fill="auto"/>
            <w:noWrap/>
            <w:vAlign w:val="bottom"/>
            <w:hideMark/>
          </w:tcPr>
          <w:p w14:paraId="2DA293DE"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25</w:t>
            </w:r>
          </w:p>
        </w:tc>
        <w:tc>
          <w:tcPr>
            <w:tcW w:w="1564" w:type="dxa"/>
            <w:tcBorders>
              <w:top w:val="nil"/>
              <w:left w:val="nil"/>
              <w:bottom w:val="single" w:sz="4" w:space="0" w:color="auto"/>
              <w:right w:val="single" w:sz="4" w:space="0" w:color="auto"/>
            </w:tcBorders>
            <w:shd w:val="clear" w:color="auto" w:fill="auto"/>
            <w:noWrap/>
            <w:vAlign w:val="bottom"/>
            <w:hideMark/>
          </w:tcPr>
          <w:p w14:paraId="510F870F"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21</w:t>
            </w:r>
          </w:p>
        </w:tc>
        <w:tc>
          <w:tcPr>
            <w:tcW w:w="1038" w:type="dxa"/>
            <w:tcBorders>
              <w:top w:val="nil"/>
              <w:left w:val="nil"/>
              <w:bottom w:val="single" w:sz="4" w:space="0" w:color="auto"/>
              <w:right w:val="single" w:sz="4" w:space="0" w:color="auto"/>
            </w:tcBorders>
            <w:shd w:val="clear" w:color="auto" w:fill="auto"/>
            <w:noWrap/>
            <w:vAlign w:val="bottom"/>
            <w:hideMark/>
          </w:tcPr>
          <w:p w14:paraId="5BBD3B5D"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80</w:t>
            </w:r>
          </w:p>
        </w:tc>
        <w:tc>
          <w:tcPr>
            <w:tcW w:w="1411" w:type="dxa"/>
            <w:tcBorders>
              <w:top w:val="nil"/>
              <w:left w:val="nil"/>
              <w:bottom w:val="single" w:sz="4" w:space="0" w:color="auto"/>
              <w:right w:val="single" w:sz="4" w:space="0" w:color="auto"/>
            </w:tcBorders>
            <w:shd w:val="clear" w:color="auto" w:fill="auto"/>
            <w:noWrap/>
            <w:vAlign w:val="bottom"/>
            <w:hideMark/>
          </w:tcPr>
          <w:p w14:paraId="059B54BA"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15</w:t>
            </w:r>
          </w:p>
        </w:tc>
        <w:tc>
          <w:tcPr>
            <w:tcW w:w="1817" w:type="dxa"/>
            <w:tcBorders>
              <w:top w:val="nil"/>
              <w:left w:val="nil"/>
              <w:bottom w:val="single" w:sz="4" w:space="0" w:color="auto"/>
              <w:right w:val="single" w:sz="4" w:space="0" w:color="auto"/>
            </w:tcBorders>
            <w:shd w:val="clear" w:color="auto" w:fill="auto"/>
            <w:noWrap/>
            <w:vAlign w:val="bottom"/>
            <w:hideMark/>
          </w:tcPr>
          <w:p w14:paraId="330E134D"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w:t>
            </w:r>
          </w:p>
        </w:tc>
        <w:tc>
          <w:tcPr>
            <w:tcW w:w="1011" w:type="dxa"/>
            <w:tcBorders>
              <w:top w:val="nil"/>
              <w:left w:val="nil"/>
              <w:bottom w:val="single" w:sz="4" w:space="0" w:color="auto"/>
              <w:right w:val="single" w:sz="4" w:space="0" w:color="auto"/>
            </w:tcBorders>
            <w:shd w:val="clear" w:color="auto" w:fill="auto"/>
            <w:noWrap/>
            <w:vAlign w:val="bottom"/>
            <w:hideMark/>
          </w:tcPr>
          <w:p w14:paraId="3E073F7F"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23</w:t>
            </w:r>
          </w:p>
        </w:tc>
      </w:tr>
      <w:tr w:rsidR="0001723B" w:rsidRPr="00244343" w14:paraId="4863C073" w14:textId="77777777" w:rsidTr="00DC6FB6">
        <w:trPr>
          <w:trHeight w:val="2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417164B2"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2013</w:t>
            </w:r>
          </w:p>
        </w:tc>
        <w:tc>
          <w:tcPr>
            <w:tcW w:w="1276" w:type="dxa"/>
            <w:tcBorders>
              <w:top w:val="nil"/>
              <w:left w:val="nil"/>
              <w:bottom w:val="single" w:sz="4" w:space="0" w:color="auto"/>
              <w:right w:val="single" w:sz="4" w:space="0" w:color="auto"/>
            </w:tcBorders>
            <w:shd w:val="clear" w:color="auto" w:fill="auto"/>
            <w:noWrap/>
            <w:vAlign w:val="bottom"/>
            <w:hideMark/>
          </w:tcPr>
          <w:p w14:paraId="3630E30C"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25</w:t>
            </w:r>
          </w:p>
        </w:tc>
        <w:tc>
          <w:tcPr>
            <w:tcW w:w="1564" w:type="dxa"/>
            <w:tcBorders>
              <w:top w:val="nil"/>
              <w:left w:val="nil"/>
              <w:bottom w:val="single" w:sz="4" w:space="0" w:color="auto"/>
              <w:right w:val="single" w:sz="4" w:space="0" w:color="auto"/>
            </w:tcBorders>
            <w:shd w:val="clear" w:color="auto" w:fill="auto"/>
            <w:noWrap/>
            <w:vAlign w:val="bottom"/>
            <w:hideMark/>
          </w:tcPr>
          <w:p w14:paraId="0C8309CC"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21</w:t>
            </w:r>
          </w:p>
        </w:tc>
        <w:tc>
          <w:tcPr>
            <w:tcW w:w="1038" w:type="dxa"/>
            <w:tcBorders>
              <w:top w:val="nil"/>
              <w:left w:val="nil"/>
              <w:bottom w:val="single" w:sz="4" w:space="0" w:color="auto"/>
              <w:right w:val="single" w:sz="4" w:space="0" w:color="auto"/>
            </w:tcBorders>
            <w:shd w:val="clear" w:color="auto" w:fill="auto"/>
            <w:noWrap/>
            <w:vAlign w:val="bottom"/>
            <w:hideMark/>
          </w:tcPr>
          <w:p w14:paraId="1A1B80B2"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77</w:t>
            </w:r>
          </w:p>
        </w:tc>
        <w:tc>
          <w:tcPr>
            <w:tcW w:w="1411" w:type="dxa"/>
            <w:tcBorders>
              <w:top w:val="nil"/>
              <w:left w:val="nil"/>
              <w:bottom w:val="single" w:sz="4" w:space="0" w:color="auto"/>
              <w:right w:val="single" w:sz="4" w:space="0" w:color="auto"/>
            </w:tcBorders>
            <w:shd w:val="clear" w:color="auto" w:fill="auto"/>
            <w:noWrap/>
            <w:vAlign w:val="bottom"/>
            <w:hideMark/>
          </w:tcPr>
          <w:p w14:paraId="2C24FF3D"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15</w:t>
            </w:r>
          </w:p>
        </w:tc>
        <w:tc>
          <w:tcPr>
            <w:tcW w:w="1817" w:type="dxa"/>
            <w:tcBorders>
              <w:top w:val="nil"/>
              <w:left w:val="nil"/>
              <w:bottom w:val="single" w:sz="4" w:space="0" w:color="auto"/>
              <w:right w:val="single" w:sz="4" w:space="0" w:color="auto"/>
            </w:tcBorders>
            <w:shd w:val="clear" w:color="auto" w:fill="auto"/>
            <w:noWrap/>
            <w:vAlign w:val="bottom"/>
            <w:hideMark/>
          </w:tcPr>
          <w:p w14:paraId="22608115"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w:t>
            </w:r>
          </w:p>
        </w:tc>
        <w:tc>
          <w:tcPr>
            <w:tcW w:w="1011" w:type="dxa"/>
            <w:tcBorders>
              <w:top w:val="nil"/>
              <w:left w:val="nil"/>
              <w:bottom w:val="single" w:sz="4" w:space="0" w:color="auto"/>
              <w:right w:val="single" w:sz="4" w:space="0" w:color="auto"/>
            </w:tcBorders>
            <w:shd w:val="clear" w:color="auto" w:fill="auto"/>
            <w:noWrap/>
            <w:vAlign w:val="bottom"/>
            <w:hideMark/>
          </w:tcPr>
          <w:p w14:paraId="6B44C5C3"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21</w:t>
            </w:r>
          </w:p>
        </w:tc>
      </w:tr>
      <w:tr w:rsidR="0001723B" w:rsidRPr="00244343" w14:paraId="56B5E424" w14:textId="77777777" w:rsidTr="00DC6FB6">
        <w:trPr>
          <w:trHeight w:val="2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35DAEA4C"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2014</w:t>
            </w:r>
          </w:p>
        </w:tc>
        <w:tc>
          <w:tcPr>
            <w:tcW w:w="1276" w:type="dxa"/>
            <w:tcBorders>
              <w:top w:val="nil"/>
              <w:left w:val="nil"/>
              <w:bottom w:val="single" w:sz="4" w:space="0" w:color="auto"/>
              <w:right w:val="single" w:sz="4" w:space="0" w:color="auto"/>
            </w:tcBorders>
            <w:shd w:val="clear" w:color="auto" w:fill="auto"/>
            <w:noWrap/>
            <w:vAlign w:val="bottom"/>
            <w:hideMark/>
          </w:tcPr>
          <w:p w14:paraId="2A5B3C61"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22</w:t>
            </w:r>
          </w:p>
        </w:tc>
        <w:tc>
          <w:tcPr>
            <w:tcW w:w="1564" w:type="dxa"/>
            <w:tcBorders>
              <w:top w:val="nil"/>
              <w:left w:val="nil"/>
              <w:bottom w:val="single" w:sz="4" w:space="0" w:color="auto"/>
              <w:right w:val="single" w:sz="4" w:space="0" w:color="auto"/>
            </w:tcBorders>
            <w:shd w:val="clear" w:color="auto" w:fill="auto"/>
            <w:noWrap/>
            <w:vAlign w:val="bottom"/>
            <w:hideMark/>
          </w:tcPr>
          <w:p w14:paraId="092815C1"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17</w:t>
            </w:r>
          </w:p>
        </w:tc>
        <w:tc>
          <w:tcPr>
            <w:tcW w:w="1038" w:type="dxa"/>
            <w:tcBorders>
              <w:top w:val="nil"/>
              <w:left w:val="nil"/>
              <w:bottom w:val="single" w:sz="4" w:space="0" w:color="auto"/>
              <w:right w:val="single" w:sz="4" w:space="0" w:color="auto"/>
            </w:tcBorders>
            <w:shd w:val="clear" w:color="auto" w:fill="auto"/>
            <w:noWrap/>
            <w:vAlign w:val="bottom"/>
            <w:hideMark/>
          </w:tcPr>
          <w:p w14:paraId="61D74FA6"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78</w:t>
            </w:r>
          </w:p>
        </w:tc>
        <w:tc>
          <w:tcPr>
            <w:tcW w:w="1411" w:type="dxa"/>
            <w:tcBorders>
              <w:top w:val="nil"/>
              <w:left w:val="nil"/>
              <w:bottom w:val="single" w:sz="4" w:space="0" w:color="auto"/>
              <w:right w:val="single" w:sz="4" w:space="0" w:color="auto"/>
            </w:tcBorders>
            <w:shd w:val="clear" w:color="auto" w:fill="auto"/>
            <w:noWrap/>
            <w:vAlign w:val="bottom"/>
            <w:hideMark/>
          </w:tcPr>
          <w:p w14:paraId="1C177889"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16</w:t>
            </w:r>
          </w:p>
        </w:tc>
        <w:tc>
          <w:tcPr>
            <w:tcW w:w="1817" w:type="dxa"/>
            <w:tcBorders>
              <w:top w:val="nil"/>
              <w:left w:val="nil"/>
              <w:bottom w:val="single" w:sz="4" w:space="0" w:color="auto"/>
              <w:right w:val="single" w:sz="4" w:space="0" w:color="auto"/>
            </w:tcBorders>
            <w:shd w:val="clear" w:color="auto" w:fill="auto"/>
            <w:noWrap/>
            <w:vAlign w:val="bottom"/>
            <w:hideMark/>
          </w:tcPr>
          <w:p w14:paraId="4B77E275"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w:t>
            </w:r>
          </w:p>
        </w:tc>
        <w:tc>
          <w:tcPr>
            <w:tcW w:w="1011" w:type="dxa"/>
            <w:tcBorders>
              <w:top w:val="nil"/>
              <w:left w:val="nil"/>
              <w:bottom w:val="single" w:sz="4" w:space="0" w:color="auto"/>
              <w:right w:val="single" w:sz="4" w:space="0" w:color="auto"/>
            </w:tcBorders>
            <w:shd w:val="clear" w:color="auto" w:fill="auto"/>
            <w:noWrap/>
            <w:vAlign w:val="bottom"/>
            <w:hideMark/>
          </w:tcPr>
          <w:p w14:paraId="51376F4E"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23</w:t>
            </w:r>
          </w:p>
        </w:tc>
      </w:tr>
      <w:tr w:rsidR="0001723B" w:rsidRPr="00244343" w14:paraId="08B3BAD1" w14:textId="77777777" w:rsidTr="00DC6FB6">
        <w:trPr>
          <w:trHeight w:val="2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1AFE2CFF"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2015</w:t>
            </w:r>
          </w:p>
        </w:tc>
        <w:tc>
          <w:tcPr>
            <w:tcW w:w="1276" w:type="dxa"/>
            <w:tcBorders>
              <w:top w:val="nil"/>
              <w:left w:val="nil"/>
              <w:bottom w:val="single" w:sz="4" w:space="0" w:color="auto"/>
              <w:right w:val="single" w:sz="4" w:space="0" w:color="auto"/>
            </w:tcBorders>
            <w:shd w:val="clear" w:color="auto" w:fill="auto"/>
            <w:noWrap/>
            <w:vAlign w:val="bottom"/>
            <w:hideMark/>
          </w:tcPr>
          <w:p w14:paraId="2410E60A"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21</w:t>
            </w:r>
          </w:p>
        </w:tc>
        <w:tc>
          <w:tcPr>
            <w:tcW w:w="1564" w:type="dxa"/>
            <w:tcBorders>
              <w:top w:val="nil"/>
              <w:left w:val="nil"/>
              <w:bottom w:val="single" w:sz="4" w:space="0" w:color="auto"/>
              <w:right w:val="single" w:sz="4" w:space="0" w:color="auto"/>
            </w:tcBorders>
            <w:shd w:val="clear" w:color="auto" w:fill="auto"/>
            <w:noWrap/>
            <w:vAlign w:val="bottom"/>
            <w:hideMark/>
          </w:tcPr>
          <w:p w14:paraId="3755D856"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16</w:t>
            </w:r>
          </w:p>
        </w:tc>
        <w:tc>
          <w:tcPr>
            <w:tcW w:w="1038" w:type="dxa"/>
            <w:tcBorders>
              <w:top w:val="nil"/>
              <w:left w:val="nil"/>
              <w:bottom w:val="single" w:sz="4" w:space="0" w:color="auto"/>
              <w:right w:val="single" w:sz="4" w:space="0" w:color="auto"/>
            </w:tcBorders>
            <w:shd w:val="clear" w:color="auto" w:fill="auto"/>
            <w:noWrap/>
            <w:vAlign w:val="bottom"/>
            <w:hideMark/>
          </w:tcPr>
          <w:p w14:paraId="735938C0"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69</w:t>
            </w:r>
          </w:p>
        </w:tc>
        <w:tc>
          <w:tcPr>
            <w:tcW w:w="1411" w:type="dxa"/>
            <w:tcBorders>
              <w:top w:val="nil"/>
              <w:left w:val="nil"/>
              <w:bottom w:val="single" w:sz="4" w:space="0" w:color="auto"/>
              <w:right w:val="single" w:sz="4" w:space="0" w:color="auto"/>
            </w:tcBorders>
            <w:shd w:val="clear" w:color="auto" w:fill="auto"/>
            <w:noWrap/>
            <w:vAlign w:val="bottom"/>
            <w:hideMark/>
          </w:tcPr>
          <w:p w14:paraId="40E311F7"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15</w:t>
            </w:r>
          </w:p>
        </w:tc>
        <w:tc>
          <w:tcPr>
            <w:tcW w:w="1817" w:type="dxa"/>
            <w:tcBorders>
              <w:top w:val="nil"/>
              <w:left w:val="nil"/>
              <w:bottom w:val="single" w:sz="4" w:space="0" w:color="auto"/>
              <w:right w:val="single" w:sz="4" w:space="0" w:color="auto"/>
            </w:tcBorders>
            <w:shd w:val="clear" w:color="auto" w:fill="auto"/>
            <w:noWrap/>
            <w:vAlign w:val="bottom"/>
            <w:hideMark/>
          </w:tcPr>
          <w:p w14:paraId="62350014"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w:t>
            </w:r>
          </w:p>
        </w:tc>
        <w:tc>
          <w:tcPr>
            <w:tcW w:w="1011" w:type="dxa"/>
            <w:tcBorders>
              <w:top w:val="nil"/>
              <w:left w:val="nil"/>
              <w:bottom w:val="single" w:sz="4" w:space="0" w:color="auto"/>
              <w:right w:val="single" w:sz="4" w:space="0" w:color="auto"/>
            </w:tcBorders>
            <w:shd w:val="clear" w:color="auto" w:fill="auto"/>
            <w:noWrap/>
            <w:vAlign w:val="bottom"/>
            <w:hideMark/>
          </w:tcPr>
          <w:p w14:paraId="2650E6D2"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19</w:t>
            </w:r>
          </w:p>
        </w:tc>
      </w:tr>
      <w:tr w:rsidR="0001723B" w:rsidRPr="00244343" w14:paraId="7A6ECCD6" w14:textId="77777777" w:rsidTr="00DC6FB6">
        <w:trPr>
          <w:trHeight w:val="2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7212A410"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2016</w:t>
            </w:r>
          </w:p>
        </w:tc>
        <w:tc>
          <w:tcPr>
            <w:tcW w:w="1276" w:type="dxa"/>
            <w:tcBorders>
              <w:top w:val="nil"/>
              <w:left w:val="nil"/>
              <w:bottom w:val="single" w:sz="4" w:space="0" w:color="auto"/>
              <w:right w:val="single" w:sz="4" w:space="0" w:color="auto"/>
            </w:tcBorders>
            <w:shd w:val="clear" w:color="auto" w:fill="auto"/>
            <w:noWrap/>
            <w:vAlign w:val="bottom"/>
            <w:hideMark/>
          </w:tcPr>
          <w:p w14:paraId="502CE63C"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19</w:t>
            </w:r>
          </w:p>
        </w:tc>
        <w:tc>
          <w:tcPr>
            <w:tcW w:w="1564" w:type="dxa"/>
            <w:tcBorders>
              <w:top w:val="nil"/>
              <w:left w:val="nil"/>
              <w:bottom w:val="single" w:sz="4" w:space="0" w:color="auto"/>
              <w:right w:val="single" w:sz="4" w:space="0" w:color="auto"/>
            </w:tcBorders>
            <w:shd w:val="clear" w:color="auto" w:fill="auto"/>
            <w:noWrap/>
            <w:vAlign w:val="bottom"/>
            <w:hideMark/>
          </w:tcPr>
          <w:p w14:paraId="65895F57"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10</w:t>
            </w:r>
          </w:p>
        </w:tc>
        <w:tc>
          <w:tcPr>
            <w:tcW w:w="1038" w:type="dxa"/>
            <w:tcBorders>
              <w:top w:val="nil"/>
              <w:left w:val="nil"/>
              <w:bottom w:val="single" w:sz="4" w:space="0" w:color="auto"/>
              <w:right w:val="single" w:sz="4" w:space="0" w:color="auto"/>
            </w:tcBorders>
            <w:shd w:val="clear" w:color="auto" w:fill="auto"/>
            <w:noWrap/>
            <w:vAlign w:val="bottom"/>
            <w:hideMark/>
          </w:tcPr>
          <w:p w14:paraId="621B7AC0"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62</w:t>
            </w:r>
          </w:p>
        </w:tc>
        <w:tc>
          <w:tcPr>
            <w:tcW w:w="1411" w:type="dxa"/>
            <w:tcBorders>
              <w:top w:val="nil"/>
              <w:left w:val="nil"/>
              <w:bottom w:val="single" w:sz="4" w:space="0" w:color="auto"/>
              <w:right w:val="single" w:sz="4" w:space="0" w:color="auto"/>
            </w:tcBorders>
            <w:shd w:val="clear" w:color="auto" w:fill="auto"/>
            <w:noWrap/>
            <w:vAlign w:val="bottom"/>
            <w:hideMark/>
          </w:tcPr>
          <w:p w14:paraId="5340F20A"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15</w:t>
            </w:r>
          </w:p>
        </w:tc>
        <w:tc>
          <w:tcPr>
            <w:tcW w:w="1817" w:type="dxa"/>
            <w:tcBorders>
              <w:top w:val="nil"/>
              <w:left w:val="nil"/>
              <w:bottom w:val="single" w:sz="4" w:space="0" w:color="auto"/>
              <w:right w:val="single" w:sz="4" w:space="0" w:color="auto"/>
            </w:tcBorders>
            <w:shd w:val="clear" w:color="auto" w:fill="auto"/>
            <w:noWrap/>
            <w:vAlign w:val="bottom"/>
            <w:hideMark/>
          </w:tcPr>
          <w:p w14:paraId="7D923EBF"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9</w:t>
            </w:r>
          </w:p>
        </w:tc>
        <w:tc>
          <w:tcPr>
            <w:tcW w:w="1011" w:type="dxa"/>
            <w:tcBorders>
              <w:top w:val="nil"/>
              <w:left w:val="nil"/>
              <w:bottom w:val="single" w:sz="4" w:space="0" w:color="auto"/>
              <w:right w:val="single" w:sz="4" w:space="0" w:color="auto"/>
            </w:tcBorders>
            <w:shd w:val="clear" w:color="auto" w:fill="auto"/>
            <w:noWrap/>
            <w:vAlign w:val="bottom"/>
            <w:hideMark/>
          </w:tcPr>
          <w:p w14:paraId="6E7E32C6"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18</w:t>
            </w:r>
          </w:p>
        </w:tc>
      </w:tr>
      <w:tr w:rsidR="0001723B" w:rsidRPr="00244343" w14:paraId="7B633DF3" w14:textId="77777777" w:rsidTr="00DC6FB6">
        <w:trPr>
          <w:trHeight w:val="2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07B53823"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4E375D12"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16</w:t>
            </w:r>
          </w:p>
        </w:tc>
        <w:tc>
          <w:tcPr>
            <w:tcW w:w="1564" w:type="dxa"/>
            <w:tcBorders>
              <w:top w:val="nil"/>
              <w:left w:val="nil"/>
              <w:bottom w:val="single" w:sz="4" w:space="0" w:color="auto"/>
              <w:right w:val="single" w:sz="4" w:space="0" w:color="auto"/>
            </w:tcBorders>
            <w:shd w:val="clear" w:color="auto" w:fill="auto"/>
            <w:noWrap/>
            <w:vAlign w:val="bottom"/>
            <w:hideMark/>
          </w:tcPr>
          <w:p w14:paraId="3CFA6AE2"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11</w:t>
            </w:r>
          </w:p>
        </w:tc>
        <w:tc>
          <w:tcPr>
            <w:tcW w:w="1038" w:type="dxa"/>
            <w:tcBorders>
              <w:top w:val="nil"/>
              <w:left w:val="nil"/>
              <w:bottom w:val="single" w:sz="4" w:space="0" w:color="auto"/>
              <w:right w:val="single" w:sz="4" w:space="0" w:color="auto"/>
            </w:tcBorders>
            <w:shd w:val="clear" w:color="auto" w:fill="auto"/>
            <w:noWrap/>
            <w:vAlign w:val="bottom"/>
            <w:hideMark/>
          </w:tcPr>
          <w:p w14:paraId="6DE336CB"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72</w:t>
            </w:r>
          </w:p>
        </w:tc>
        <w:tc>
          <w:tcPr>
            <w:tcW w:w="1411" w:type="dxa"/>
            <w:tcBorders>
              <w:top w:val="nil"/>
              <w:left w:val="nil"/>
              <w:bottom w:val="single" w:sz="4" w:space="0" w:color="auto"/>
              <w:right w:val="single" w:sz="4" w:space="0" w:color="auto"/>
            </w:tcBorders>
            <w:shd w:val="clear" w:color="auto" w:fill="auto"/>
            <w:noWrap/>
            <w:vAlign w:val="bottom"/>
            <w:hideMark/>
          </w:tcPr>
          <w:p w14:paraId="40B9E9A8"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17</w:t>
            </w:r>
          </w:p>
        </w:tc>
        <w:tc>
          <w:tcPr>
            <w:tcW w:w="1817" w:type="dxa"/>
            <w:tcBorders>
              <w:top w:val="nil"/>
              <w:left w:val="nil"/>
              <w:bottom w:val="single" w:sz="4" w:space="0" w:color="auto"/>
              <w:right w:val="single" w:sz="4" w:space="0" w:color="auto"/>
            </w:tcBorders>
            <w:shd w:val="clear" w:color="auto" w:fill="auto"/>
            <w:noWrap/>
            <w:vAlign w:val="bottom"/>
            <w:hideMark/>
          </w:tcPr>
          <w:p w14:paraId="374598B1"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w:t>
            </w:r>
          </w:p>
        </w:tc>
        <w:tc>
          <w:tcPr>
            <w:tcW w:w="1011" w:type="dxa"/>
            <w:tcBorders>
              <w:top w:val="nil"/>
              <w:left w:val="nil"/>
              <w:bottom w:val="single" w:sz="4" w:space="0" w:color="auto"/>
              <w:right w:val="single" w:sz="4" w:space="0" w:color="auto"/>
            </w:tcBorders>
            <w:shd w:val="clear" w:color="auto" w:fill="auto"/>
            <w:noWrap/>
            <w:vAlign w:val="bottom"/>
            <w:hideMark/>
          </w:tcPr>
          <w:p w14:paraId="03FF7CCC"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15</w:t>
            </w:r>
          </w:p>
        </w:tc>
      </w:tr>
      <w:tr w:rsidR="0001723B" w:rsidRPr="00244343" w14:paraId="79AF0356" w14:textId="77777777" w:rsidTr="00DC6FB6">
        <w:trPr>
          <w:trHeight w:val="2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294C9B0D"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7AE4FA4A"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14</w:t>
            </w:r>
          </w:p>
        </w:tc>
        <w:tc>
          <w:tcPr>
            <w:tcW w:w="1564" w:type="dxa"/>
            <w:tcBorders>
              <w:top w:val="nil"/>
              <w:left w:val="nil"/>
              <w:bottom w:val="single" w:sz="4" w:space="0" w:color="auto"/>
              <w:right w:val="single" w:sz="4" w:space="0" w:color="auto"/>
            </w:tcBorders>
            <w:shd w:val="clear" w:color="auto" w:fill="auto"/>
            <w:noWrap/>
            <w:vAlign w:val="bottom"/>
            <w:hideMark/>
          </w:tcPr>
          <w:p w14:paraId="3D62EE68"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11</w:t>
            </w:r>
          </w:p>
        </w:tc>
        <w:tc>
          <w:tcPr>
            <w:tcW w:w="1038" w:type="dxa"/>
            <w:tcBorders>
              <w:top w:val="nil"/>
              <w:left w:val="nil"/>
              <w:bottom w:val="single" w:sz="4" w:space="0" w:color="auto"/>
              <w:right w:val="single" w:sz="4" w:space="0" w:color="auto"/>
            </w:tcBorders>
            <w:shd w:val="clear" w:color="auto" w:fill="auto"/>
            <w:noWrap/>
            <w:vAlign w:val="bottom"/>
            <w:hideMark/>
          </w:tcPr>
          <w:p w14:paraId="1760D9A2"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83</w:t>
            </w:r>
          </w:p>
        </w:tc>
        <w:tc>
          <w:tcPr>
            <w:tcW w:w="1411" w:type="dxa"/>
            <w:tcBorders>
              <w:top w:val="nil"/>
              <w:left w:val="nil"/>
              <w:bottom w:val="single" w:sz="4" w:space="0" w:color="auto"/>
              <w:right w:val="single" w:sz="4" w:space="0" w:color="auto"/>
            </w:tcBorders>
            <w:shd w:val="clear" w:color="auto" w:fill="auto"/>
            <w:noWrap/>
            <w:vAlign w:val="bottom"/>
            <w:hideMark/>
          </w:tcPr>
          <w:p w14:paraId="7989EB1F"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22</w:t>
            </w:r>
          </w:p>
        </w:tc>
        <w:tc>
          <w:tcPr>
            <w:tcW w:w="1817" w:type="dxa"/>
            <w:tcBorders>
              <w:top w:val="nil"/>
              <w:left w:val="nil"/>
              <w:bottom w:val="single" w:sz="4" w:space="0" w:color="auto"/>
              <w:right w:val="single" w:sz="4" w:space="0" w:color="auto"/>
            </w:tcBorders>
            <w:shd w:val="clear" w:color="auto" w:fill="auto"/>
            <w:noWrap/>
            <w:vAlign w:val="bottom"/>
            <w:hideMark/>
          </w:tcPr>
          <w:p w14:paraId="3B0E0B35"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10</w:t>
            </w:r>
          </w:p>
        </w:tc>
        <w:tc>
          <w:tcPr>
            <w:tcW w:w="1011" w:type="dxa"/>
            <w:tcBorders>
              <w:top w:val="nil"/>
              <w:left w:val="nil"/>
              <w:bottom w:val="single" w:sz="4" w:space="0" w:color="auto"/>
              <w:right w:val="single" w:sz="4" w:space="0" w:color="auto"/>
            </w:tcBorders>
            <w:shd w:val="clear" w:color="auto" w:fill="auto"/>
            <w:noWrap/>
            <w:vAlign w:val="bottom"/>
            <w:hideMark/>
          </w:tcPr>
          <w:p w14:paraId="24D0CF57"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14</w:t>
            </w:r>
          </w:p>
        </w:tc>
      </w:tr>
      <w:tr w:rsidR="0001723B" w:rsidRPr="00244343" w14:paraId="0245EBD5" w14:textId="77777777" w:rsidTr="00DC6FB6">
        <w:trPr>
          <w:trHeight w:val="2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4A1FE610"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44C9DC56"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13</w:t>
            </w:r>
          </w:p>
        </w:tc>
        <w:tc>
          <w:tcPr>
            <w:tcW w:w="1564" w:type="dxa"/>
            <w:tcBorders>
              <w:top w:val="nil"/>
              <w:left w:val="nil"/>
              <w:bottom w:val="single" w:sz="4" w:space="0" w:color="auto"/>
              <w:right w:val="single" w:sz="4" w:space="0" w:color="auto"/>
            </w:tcBorders>
            <w:shd w:val="clear" w:color="auto" w:fill="auto"/>
            <w:noWrap/>
            <w:vAlign w:val="bottom"/>
            <w:hideMark/>
          </w:tcPr>
          <w:p w14:paraId="0F16B7FF"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11</w:t>
            </w:r>
          </w:p>
        </w:tc>
        <w:tc>
          <w:tcPr>
            <w:tcW w:w="1038" w:type="dxa"/>
            <w:tcBorders>
              <w:top w:val="nil"/>
              <w:left w:val="nil"/>
              <w:bottom w:val="single" w:sz="4" w:space="0" w:color="auto"/>
              <w:right w:val="single" w:sz="4" w:space="0" w:color="auto"/>
            </w:tcBorders>
            <w:shd w:val="clear" w:color="auto" w:fill="auto"/>
            <w:noWrap/>
            <w:vAlign w:val="bottom"/>
            <w:hideMark/>
          </w:tcPr>
          <w:p w14:paraId="759D6290"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74</w:t>
            </w:r>
          </w:p>
        </w:tc>
        <w:tc>
          <w:tcPr>
            <w:tcW w:w="1411" w:type="dxa"/>
            <w:tcBorders>
              <w:top w:val="nil"/>
              <w:left w:val="nil"/>
              <w:bottom w:val="single" w:sz="4" w:space="0" w:color="auto"/>
              <w:right w:val="single" w:sz="4" w:space="0" w:color="auto"/>
            </w:tcBorders>
            <w:shd w:val="clear" w:color="auto" w:fill="auto"/>
            <w:noWrap/>
            <w:vAlign w:val="bottom"/>
            <w:hideMark/>
          </w:tcPr>
          <w:p w14:paraId="31DB1F9B"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18</w:t>
            </w:r>
          </w:p>
        </w:tc>
        <w:tc>
          <w:tcPr>
            <w:tcW w:w="1817" w:type="dxa"/>
            <w:tcBorders>
              <w:top w:val="nil"/>
              <w:left w:val="nil"/>
              <w:bottom w:val="single" w:sz="4" w:space="0" w:color="auto"/>
              <w:right w:val="single" w:sz="4" w:space="0" w:color="auto"/>
            </w:tcBorders>
            <w:shd w:val="clear" w:color="auto" w:fill="auto"/>
            <w:noWrap/>
            <w:vAlign w:val="bottom"/>
            <w:hideMark/>
          </w:tcPr>
          <w:p w14:paraId="3E58495C"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w:t>
            </w:r>
          </w:p>
        </w:tc>
        <w:tc>
          <w:tcPr>
            <w:tcW w:w="1011" w:type="dxa"/>
            <w:tcBorders>
              <w:top w:val="nil"/>
              <w:left w:val="nil"/>
              <w:bottom w:val="single" w:sz="4" w:space="0" w:color="auto"/>
              <w:right w:val="single" w:sz="4" w:space="0" w:color="auto"/>
            </w:tcBorders>
            <w:shd w:val="clear" w:color="auto" w:fill="auto"/>
            <w:noWrap/>
            <w:vAlign w:val="bottom"/>
            <w:hideMark/>
          </w:tcPr>
          <w:p w14:paraId="5C033645"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w:t>
            </w:r>
          </w:p>
        </w:tc>
      </w:tr>
      <w:tr w:rsidR="0001723B" w:rsidRPr="00244343" w14:paraId="57E25E92" w14:textId="77777777" w:rsidTr="00DC6FB6">
        <w:trPr>
          <w:trHeight w:val="2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4F74FA08"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55A8F2D4"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15</w:t>
            </w:r>
          </w:p>
        </w:tc>
        <w:tc>
          <w:tcPr>
            <w:tcW w:w="1564" w:type="dxa"/>
            <w:tcBorders>
              <w:top w:val="nil"/>
              <w:left w:val="nil"/>
              <w:bottom w:val="single" w:sz="4" w:space="0" w:color="auto"/>
              <w:right w:val="single" w:sz="4" w:space="0" w:color="auto"/>
            </w:tcBorders>
            <w:shd w:val="clear" w:color="auto" w:fill="auto"/>
            <w:noWrap/>
            <w:vAlign w:val="bottom"/>
            <w:hideMark/>
          </w:tcPr>
          <w:p w14:paraId="4D788B67"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10</w:t>
            </w:r>
          </w:p>
        </w:tc>
        <w:tc>
          <w:tcPr>
            <w:tcW w:w="1038" w:type="dxa"/>
            <w:tcBorders>
              <w:top w:val="nil"/>
              <w:left w:val="nil"/>
              <w:bottom w:val="single" w:sz="4" w:space="0" w:color="auto"/>
              <w:right w:val="single" w:sz="4" w:space="0" w:color="auto"/>
            </w:tcBorders>
            <w:shd w:val="clear" w:color="auto" w:fill="auto"/>
            <w:noWrap/>
            <w:vAlign w:val="bottom"/>
            <w:hideMark/>
          </w:tcPr>
          <w:p w14:paraId="2488C6D6"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82</w:t>
            </w:r>
          </w:p>
        </w:tc>
        <w:tc>
          <w:tcPr>
            <w:tcW w:w="1411" w:type="dxa"/>
            <w:tcBorders>
              <w:top w:val="nil"/>
              <w:left w:val="nil"/>
              <w:bottom w:val="single" w:sz="4" w:space="0" w:color="auto"/>
              <w:right w:val="single" w:sz="4" w:space="0" w:color="auto"/>
            </w:tcBorders>
            <w:shd w:val="clear" w:color="auto" w:fill="auto"/>
            <w:noWrap/>
            <w:vAlign w:val="bottom"/>
            <w:hideMark/>
          </w:tcPr>
          <w:p w14:paraId="2E40C01B"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w:t>
            </w:r>
          </w:p>
        </w:tc>
        <w:tc>
          <w:tcPr>
            <w:tcW w:w="1817" w:type="dxa"/>
            <w:tcBorders>
              <w:top w:val="nil"/>
              <w:left w:val="nil"/>
              <w:bottom w:val="single" w:sz="4" w:space="0" w:color="auto"/>
              <w:right w:val="single" w:sz="4" w:space="0" w:color="auto"/>
            </w:tcBorders>
            <w:shd w:val="clear" w:color="auto" w:fill="auto"/>
            <w:noWrap/>
            <w:vAlign w:val="bottom"/>
            <w:hideMark/>
          </w:tcPr>
          <w:p w14:paraId="0516A6C7"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11</w:t>
            </w:r>
          </w:p>
        </w:tc>
        <w:tc>
          <w:tcPr>
            <w:tcW w:w="1011" w:type="dxa"/>
            <w:tcBorders>
              <w:top w:val="nil"/>
              <w:left w:val="nil"/>
              <w:bottom w:val="single" w:sz="4" w:space="0" w:color="auto"/>
              <w:right w:val="single" w:sz="4" w:space="0" w:color="auto"/>
            </w:tcBorders>
            <w:shd w:val="clear" w:color="auto" w:fill="auto"/>
            <w:noWrap/>
            <w:vAlign w:val="bottom"/>
            <w:hideMark/>
          </w:tcPr>
          <w:p w14:paraId="5108C109"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5</w:t>
            </w:r>
          </w:p>
        </w:tc>
      </w:tr>
      <w:tr w:rsidR="0001723B" w:rsidRPr="00244343" w14:paraId="42BC0504" w14:textId="77777777" w:rsidTr="00DC6FB6">
        <w:trPr>
          <w:trHeight w:val="2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2252DAE3"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2021</w:t>
            </w:r>
          </w:p>
        </w:tc>
        <w:tc>
          <w:tcPr>
            <w:tcW w:w="1276" w:type="dxa"/>
            <w:tcBorders>
              <w:top w:val="nil"/>
              <w:left w:val="nil"/>
              <w:bottom w:val="single" w:sz="4" w:space="0" w:color="auto"/>
              <w:right w:val="single" w:sz="4" w:space="0" w:color="auto"/>
            </w:tcBorders>
            <w:shd w:val="clear" w:color="auto" w:fill="auto"/>
            <w:noWrap/>
            <w:vAlign w:val="bottom"/>
            <w:hideMark/>
          </w:tcPr>
          <w:p w14:paraId="5FA3F3C1"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16</w:t>
            </w:r>
          </w:p>
        </w:tc>
        <w:tc>
          <w:tcPr>
            <w:tcW w:w="1564" w:type="dxa"/>
            <w:tcBorders>
              <w:top w:val="nil"/>
              <w:left w:val="nil"/>
              <w:bottom w:val="single" w:sz="4" w:space="0" w:color="auto"/>
              <w:right w:val="single" w:sz="4" w:space="0" w:color="auto"/>
            </w:tcBorders>
            <w:shd w:val="clear" w:color="auto" w:fill="auto"/>
            <w:noWrap/>
            <w:vAlign w:val="bottom"/>
            <w:hideMark/>
          </w:tcPr>
          <w:p w14:paraId="2FCB2348"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10</w:t>
            </w:r>
          </w:p>
        </w:tc>
        <w:tc>
          <w:tcPr>
            <w:tcW w:w="1038" w:type="dxa"/>
            <w:tcBorders>
              <w:top w:val="nil"/>
              <w:left w:val="nil"/>
              <w:bottom w:val="single" w:sz="4" w:space="0" w:color="auto"/>
              <w:right w:val="single" w:sz="4" w:space="0" w:color="auto"/>
            </w:tcBorders>
            <w:shd w:val="clear" w:color="auto" w:fill="auto"/>
            <w:noWrap/>
            <w:vAlign w:val="bottom"/>
            <w:hideMark/>
          </w:tcPr>
          <w:p w14:paraId="1F1557C7"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82</w:t>
            </w:r>
          </w:p>
        </w:tc>
        <w:tc>
          <w:tcPr>
            <w:tcW w:w="1411" w:type="dxa"/>
            <w:tcBorders>
              <w:top w:val="nil"/>
              <w:left w:val="nil"/>
              <w:bottom w:val="single" w:sz="4" w:space="0" w:color="auto"/>
              <w:right w:val="single" w:sz="4" w:space="0" w:color="auto"/>
            </w:tcBorders>
            <w:shd w:val="clear" w:color="auto" w:fill="auto"/>
            <w:noWrap/>
            <w:vAlign w:val="bottom"/>
            <w:hideMark/>
          </w:tcPr>
          <w:p w14:paraId="10D51FDF"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22</w:t>
            </w:r>
          </w:p>
        </w:tc>
        <w:tc>
          <w:tcPr>
            <w:tcW w:w="1817" w:type="dxa"/>
            <w:tcBorders>
              <w:top w:val="nil"/>
              <w:left w:val="nil"/>
              <w:bottom w:val="single" w:sz="4" w:space="0" w:color="auto"/>
              <w:right w:val="single" w:sz="4" w:space="0" w:color="auto"/>
            </w:tcBorders>
            <w:shd w:val="clear" w:color="auto" w:fill="auto"/>
            <w:noWrap/>
            <w:vAlign w:val="bottom"/>
            <w:hideMark/>
          </w:tcPr>
          <w:p w14:paraId="5B3478CA"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18</w:t>
            </w:r>
          </w:p>
        </w:tc>
        <w:tc>
          <w:tcPr>
            <w:tcW w:w="1011" w:type="dxa"/>
            <w:tcBorders>
              <w:top w:val="nil"/>
              <w:left w:val="nil"/>
              <w:bottom w:val="single" w:sz="4" w:space="0" w:color="auto"/>
              <w:right w:val="single" w:sz="4" w:space="0" w:color="auto"/>
            </w:tcBorders>
            <w:shd w:val="clear" w:color="auto" w:fill="auto"/>
            <w:noWrap/>
            <w:vAlign w:val="bottom"/>
            <w:hideMark/>
          </w:tcPr>
          <w:p w14:paraId="070AC1DE"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w:t>
            </w:r>
          </w:p>
        </w:tc>
      </w:tr>
      <w:tr w:rsidR="0001723B" w:rsidRPr="00244343" w14:paraId="488B58C7" w14:textId="77777777" w:rsidTr="00DC6FB6">
        <w:trPr>
          <w:trHeight w:val="279"/>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42193A1A"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2022</w:t>
            </w:r>
          </w:p>
        </w:tc>
        <w:tc>
          <w:tcPr>
            <w:tcW w:w="1276" w:type="dxa"/>
            <w:tcBorders>
              <w:top w:val="nil"/>
              <w:left w:val="nil"/>
              <w:bottom w:val="single" w:sz="4" w:space="0" w:color="auto"/>
              <w:right w:val="single" w:sz="4" w:space="0" w:color="auto"/>
            </w:tcBorders>
            <w:shd w:val="clear" w:color="auto" w:fill="auto"/>
            <w:noWrap/>
            <w:vAlign w:val="bottom"/>
            <w:hideMark/>
          </w:tcPr>
          <w:p w14:paraId="5CD6D481"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13</w:t>
            </w:r>
          </w:p>
        </w:tc>
        <w:tc>
          <w:tcPr>
            <w:tcW w:w="1564" w:type="dxa"/>
            <w:tcBorders>
              <w:top w:val="nil"/>
              <w:left w:val="nil"/>
              <w:bottom w:val="single" w:sz="4" w:space="0" w:color="auto"/>
              <w:right w:val="single" w:sz="4" w:space="0" w:color="auto"/>
            </w:tcBorders>
            <w:shd w:val="clear" w:color="auto" w:fill="auto"/>
            <w:noWrap/>
            <w:vAlign w:val="bottom"/>
            <w:hideMark/>
          </w:tcPr>
          <w:p w14:paraId="38A349A2"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w:t>
            </w:r>
          </w:p>
        </w:tc>
        <w:tc>
          <w:tcPr>
            <w:tcW w:w="1038" w:type="dxa"/>
            <w:tcBorders>
              <w:top w:val="nil"/>
              <w:left w:val="nil"/>
              <w:bottom w:val="single" w:sz="4" w:space="0" w:color="auto"/>
              <w:right w:val="single" w:sz="4" w:space="0" w:color="auto"/>
            </w:tcBorders>
            <w:shd w:val="clear" w:color="auto" w:fill="auto"/>
            <w:noWrap/>
            <w:vAlign w:val="bottom"/>
            <w:hideMark/>
          </w:tcPr>
          <w:p w14:paraId="6B4C8D7D"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60</w:t>
            </w:r>
          </w:p>
        </w:tc>
        <w:tc>
          <w:tcPr>
            <w:tcW w:w="1411" w:type="dxa"/>
            <w:tcBorders>
              <w:top w:val="nil"/>
              <w:left w:val="nil"/>
              <w:bottom w:val="single" w:sz="4" w:space="0" w:color="auto"/>
              <w:right w:val="single" w:sz="4" w:space="0" w:color="auto"/>
            </w:tcBorders>
            <w:shd w:val="clear" w:color="auto" w:fill="auto"/>
            <w:noWrap/>
            <w:vAlign w:val="bottom"/>
            <w:hideMark/>
          </w:tcPr>
          <w:p w14:paraId="72DCD2BE"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25</w:t>
            </w:r>
          </w:p>
        </w:tc>
        <w:tc>
          <w:tcPr>
            <w:tcW w:w="1817" w:type="dxa"/>
            <w:tcBorders>
              <w:top w:val="nil"/>
              <w:left w:val="nil"/>
              <w:bottom w:val="single" w:sz="4" w:space="0" w:color="auto"/>
              <w:right w:val="single" w:sz="4" w:space="0" w:color="auto"/>
            </w:tcBorders>
            <w:shd w:val="clear" w:color="auto" w:fill="auto"/>
            <w:noWrap/>
            <w:vAlign w:val="bottom"/>
            <w:hideMark/>
          </w:tcPr>
          <w:p w14:paraId="1C8DB73D"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17</w:t>
            </w:r>
          </w:p>
        </w:tc>
        <w:tc>
          <w:tcPr>
            <w:tcW w:w="1011" w:type="dxa"/>
            <w:tcBorders>
              <w:top w:val="nil"/>
              <w:left w:val="nil"/>
              <w:bottom w:val="single" w:sz="4" w:space="0" w:color="auto"/>
              <w:right w:val="single" w:sz="4" w:space="0" w:color="auto"/>
            </w:tcBorders>
            <w:shd w:val="clear" w:color="auto" w:fill="auto"/>
            <w:noWrap/>
            <w:vAlign w:val="bottom"/>
            <w:hideMark/>
          </w:tcPr>
          <w:p w14:paraId="03BB6E83"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w:t>
            </w:r>
          </w:p>
        </w:tc>
      </w:tr>
      <w:tr w:rsidR="0001723B" w:rsidRPr="00244343" w14:paraId="274C9732" w14:textId="77777777" w:rsidTr="00DC6FB6">
        <w:trPr>
          <w:trHeight w:val="397"/>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24D9A52F"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2023</w:t>
            </w:r>
          </w:p>
        </w:tc>
        <w:tc>
          <w:tcPr>
            <w:tcW w:w="1276" w:type="dxa"/>
            <w:tcBorders>
              <w:top w:val="nil"/>
              <w:left w:val="nil"/>
              <w:bottom w:val="single" w:sz="4" w:space="0" w:color="auto"/>
              <w:right w:val="single" w:sz="4" w:space="0" w:color="auto"/>
            </w:tcBorders>
            <w:shd w:val="clear" w:color="auto" w:fill="auto"/>
            <w:noWrap/>
            <w:vAlign w:val="bottom"/>
            <w:hideMark/>
          </w:tcPr>
          <w:p w14:paraId="4CA2BC36"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13</w:t>
            </w:r>
          </w:p>
        </w:tc>
        <w:tc>
          <w:tcPr>
            <w:tcW w:w="1564" w:type="dxa"/>
            <w:tcBorders>
              <w:top w:val="nil"/>
              <w:left w:val="nil"/>
              <w:bottom w:val="single" w:sz="4" w:space="0" w:color="auto"/>
              <w:right w:val="single" w:sz="4" w:space="0" w:color="auto"/>
            </w:tcBorders>
            <w:shd w:val="clear" w:color="auto" w:fill="auto"/>
            <w:noWrap/>
            <w:vAlign w:val="bottom"/>
            <w:hideMark/>
          </w:tcPr>
          <w:p w14:paraId="1A1B500B"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11</w:t>
            </w:r>
          </w:p>
        </w:tc>
        <w:tc>
          <w:tcPr>
            <w:tcW w:w="1038" w:type="dxa"/>
            <w:tcBorders>
              <w:top w:val="nil"/>
              <w:left w:val="nil"/>
              <w:bottom w:val="single" w:sz="4" w:space="0" w:color="auto"/>
              <w:right w:val="single" w:sz="4" w:space="0" w:color="auto"/>
            </w:tcBorders>
            <w:shd w:val="clear" w:color="auto" w:fill="auto"/>
            <w:noWrap/>
            <w:vAlign w:val="bottom"/>
            <w:hideMark/>
          </w:tcPr>
          <w:p w14:paraId="24DA631B"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64</w:t>
            </w:r>
          </w:p>
        </w:tc>
        <w:tc>
          <w:tcPr>
            <w:tcW w:w="1411" w:type="dxa"/>
            <w:tcBorders>
              <w:top w:val="nil"/>
              <w:left w:val="nil"/>
              <w:bottom w:val="single" w:sz="4" w:space="0" w:color="auto"/>
              <w:right w:val="single" w:sz="4" w:space="0" w:color="auto"/>
            </w:tcBorders>
            <w:shd w:val="clear" w:color="auto" w:fill="auto"/>
            <w:noWrap/>
            <w:vAlign w:val="bottom"/>
            <w:hideMark/>
          </w:tcPr>
          <w:p w14:paraId="6918C39F"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28</w:t>
            </w:r>
          </w:p>
        </w:tc>
        <w:tc>
          <w:tcPr>
            <w:tcW w:w="1817" w:type="dxa"/>
            <w:tcBorders>
              <w:top w:val="nil"/>
              <w:left w:val="nil"/>
              <w:bottom w:val="single" w:sz="4" w:space="0" w:color="auto"/>
              <w:right w:val="single" w:sz="4" w:space="0" w:color="auto"/>
            </w:tcBorders>
            <w:shd w:val="clear" w:color="auto" w:fill="auto"/>
            <w:noWrap/>
            <w:vAlign w:val="bottom"/>
            <w:hideMark/>
          </w:tcPr>
          <w:p w14:paraId="7615892B"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w:t>
            </w:r>
          </w:p>
        </w:tc>
        <w:tc>
          <w:tcPr>
            <w:tcW w:w="1011" w:type="dxa"/>
            <w:tcBorders>
              <w:top w:val="nil"/>
              <w:left w:val="nil"/>
              <w:bottom w:val="single" w:sz="4" w:space="0" w:color="auto"/>
              <w:right w:val="single" w:sz="4" w:space="0" w:color="auto"/>
            </w:tcBorders>
            <w:shd w:val="clear" w:color="auto" w:fill="auto"/>
            <w:noWrap/>
            <w:vAlign w:val="bottom"/>
            <w:hideMark/>
          </w:tcPr>
          <w:p w14:paraId="333C31BB"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w:t>
            </w:r>
          </w:p>
        </w:tc>
      </w:tr>
    </w:tbl>
    <w:p w14:paraId="031941D4" w14:textId="2E2C6C01" w:rsidR="0001723B" w:rsidRDefault="0001723B" w:rsidP="0001723B">
      <w:pPr>
        <w:spacing w:after="0" w:line="240" w:lineRule="auto"/>
        <w:contextualSpacing/>
        <w:jc w:val="both"/>
        <w:rPr>
          <w:rFonts w:ascii="Times New Roman" w:hAnsi="Times New Roman" w:cs="Times New Roman"/>
          <w:sz w:val="28"/>
          <w:szCs w:val="28"/>
          <w:lang w:val="en-US"/>
        </w:rPr>
      </w:pPr>
    </w:p>
    <w:p w14:paraId="79382CC4" w14:textId="7B1A4333" w:rsidR="001E3D87" w:rsidRDefault="001E3D87" w:rsidP="0001723B">
      <w:pPr>
        <w:spacing w:after="0" w:line="240" w:lineRule="auto"/>
        <w:contextualSpacing/>
        <w:jc w:val="both"/>
        <w:rPr>
          <w:rFonts w:ascii="Times New Roman" w:hAnsi="Times New Roman" w:cs="Times New Roman"/>
          <w:sz w:val="28"/>
          <w:szCs w:val="28"/>
          <w:lang w:val="en-US"/>
        </w:rPr>
      </w:pPr>
    </w:p>
    <w:p w14:paraId="207765D3" w14:textId="77777777" w:rsidR="001E3D87" w:rsidRPr="00244343" w:rsidRDefault="001E3D87" w:rsidP="0001723B">
      <w:pPr>
        <w:spacing w:after="0" w:line="240" w:lineRule="auto"/>
        <w:contextualSpacing/>
        <w:jc w:val="both"/>
        <w:rPr>
          <w:rFonts w:ascii="Times New Roman" w:hAnsi="Times New Roman" w:cs="Times New Roman"/>
          <w:sz w:val="28"/>
          <w:szCs w:val="28"/>
          <w:lang w:val="en-US"/>
        </w:rPr>
      </w:pPr>
    </w:p>
    <w:p w14:paraId="7AFF1111" w14:textId="2B07F82F" w:rsidR="0001723B" w:rsidRPr="00244343" w:rsidRDefault="0001723B" w:rsidP="0001723B">
      <w:pPr>
        <w:spacing w:after="0" w:line="240" w:lineRule="auto"/>
        <w:contextualSpacing/>
        <w:jc w:val="both"/>
        <w:rPr>
          <w:rFonts w:ascii="Times New Roman" w:eastAsia="Times New Roman" w:hAnsi="Times New Roman" w:cs="Times New Roman"/>
          <w:sz w:val="28"/>
          <w:szCs w:val="28"/>
          <w:lang w:val="en-US"/>
        </w:rPr>
      </w:pPr>
      <w:r w:rsidRPr="00244343">
        <w:rPr>
          <w:rFonts w:ascii="Times New Roman" w:eastAsia="Times New Roman" w:hAnsi="Times New Roman" w:cs="Times New Roman"/>
          <w:sz w:val="28"/>
          <w:szCs w:val="28"/>
          <w:lang w:val="en-US"/>
        </w:rPr>
        <w:lastRenderedPageBreak/>
        <w:t xml:space="preserve">Table </w:t>
      </w:r>
      <w:r w:rsidR="008E6E5F">
        <w:rPr>
          <w:rFonts w:ascii="Times New Roman" w:eastAsia="Times New Roman" w:hAnsi="Times New Roman" w:cs="Times New Roman"/>
          <w:sz w:val="28"/>
          <w:szCs w:val="28"/>
          <w:lang w:val="en-US"/>
        </w:rPr>
        <w:t>B</w:t>
      </w:r>
      <w:r w:rsidRPr="00244343">
        <w:rPr>
          <w:rFonts w:ascii="Times New Roman" w:eastAsia="Times New Roman" w:hAnsi="Times New Roman" w:cs="Times New Roman"/>
          <w:sz w:val="28"/>
          <w:szCs w:val="28"/>
          <w:lang w:val="en-US"/>
        </w:rPr>
        <w:t>.4 - Global Innovation Index pillars rank: Kazakhstan</w:t>
      </w:r>
    </w:p>
    <w:p w14:paraId="263EBC14" w14:textId="77777777" w:rsidR="0001723B" w:rsidRPr="00244343" w:rsidRDefault="0001723B" w:rsidP="0001723B">
      <w:pPr>
        <w:spacing w:after="0" w:line="240" w:lineRule="auto"/>
        <w:contextualSpacing/>
        <w:jc w:val="both"/>
        <w:rPr>
          <w:rFonts w:ascii="Times New Roman" w:hAnsi="Times New Roman" w:cs="Times New Roman"/>
          <w:sz w:val="28"/>
          <w:szCs w:val="28"/>
          <w:lang w:val="en-US"/>
        </w:rPr>
      </w:pPr>
    </w:p>
    <w:tbl>
      <w:tblPr>
        <w:tblW w:w="9344" w:type="dxa"/>
        <w:tblLayout w:type="fixed"/>
        <w:tblLook w:val="04A0" w:firstRow="1" w:lastRow="0" w:firstColumn="1" w:lastColumn="0" w:noHBand="0" w:noVBand="1"/>
      </w:tblPr>
      <w:tblGrid>
        <w:gridCol w:w="1271"/>
        <w:gridCol w:w="840"/>
        <w:gridCol w:w="1469"/>
        <w:gridCol w:w="1348"/>
        <w:gridCol w:w="1588"/>
        <w:gridCol w:w="1417"/>
        <w:gridCol w:w="1411"/>
      </w:tblGrid>
      <w:tr w:rsidR="00DC6FB6" w:rsidRPr="00244343" w14:paraId="78C34C6E" w14:textId="77777777" w:rsidTr="00172E7E">
        <w:trPr>
          <w:trHeight w:val="794"/>
        </w:trPr>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C22242" w14:textId="5814F668" w:rsidR="0001723B" w:rsidRPr="00244343" w:rsidRDefault="0001723B" w:rsidP="00FC4291">
            <w:pPr>
              <w:spacing w:after="0" w:line="240" w:lineRule="auto"/>
              <w:rPr>
                <w:rFonts w:ascii="Times New Roman" w:eastAsia="Times New Roman" w:hAnsi="Times New Roman" w:cs="Times New Roman"/>
                <w:sz w:val="28"/>
                <w:szCs w:val="28"/>
              </w:rPr>
            </w:pPr>
            <w:proofErr w:type="spellStart"/>
            <w:r w:rsidRPr="00244343">
              <w:rPr>
                <w:rFonts w:ascii="Times New Roman" w:eastAsia="Times New Roman" w:hAnsi="Times New Roman" w:cs="Times New Roman"/>
                <w:sz w:val="28"/>
                <w:szCs w:val="28"/>
              </w:rPr>
              <w:t>kazakhstan</w:t>
            </w:r>
            <w:proofErr w:type="spellEnd"/>
            <w:r w:rsidRPr="00244343">
              <w:rPr>
                <w:rFonts w:ascii="Times New Roman" w:eastAsia="Times New Roman" w:hAnsi="Times New Roman" w:cs="Times New Roman"/>
                <w:sz w:val="28"/>
                <w:szCs w:val="28"/>
              </w:rPr>
              <w:t>/</w:t>
            </w:r>
            <w:r w:rsidR="00DC6FB6">
              <w:rPr>
                <w:rFonts w:ascii="Times New Roman" w:eastAsia="Times New Roman" w:hAnsi="Times New Roman" w:cs="Times New Roman"/>
                <w:sz w:val="28"/>
                <w:szCs w:val="28"/>
                <w:lang w:val="en-US"/>
              </w:rPr>
              <w:t xml:space="preserve"> </w:t>
            </w:r>
            <w:proofErr w:type="spellStart"/>
            <w:r w:rsidRPr="00244343">
              <w:rPr>
                <w:rFonts w:ascii="Times New Roman" w:eastAsia="Times New Roman" w:hAnsi="Times New Roman" w:cs="Times New Roman"/>
                <w:sz w:val="28"/>
                <w:szCs w:val="28"/>
              </w:rPr>
              <w:t>year</w:t>
            </w:r>
            <w:proofErr w:type="spellEnd"/>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65A91365" w14:textId="77777777" w:rsidR="0001723B" w:rsidRPr="00244343" w:rsidRDefault="0001723B" w:rsidP="00FC4291">
            <w:pPr>
              <w:spacing w:after="0" w:line="240" w:lineRule="auto"/>
              <w:rPr>
                <w:rFonts w:ascii="Times New Roman" w:eastAsia="Times New Roman" w:hAnsi="Times New Roman" w:cs="Times New Roman"/>
                <w:sz w:val="28"/>
                <w:szCs w:val="28"/>
              </w:rPr>
            </w:pPr>
            <w:proofErr w:type="spellStart"/>
            <w:r w:rsidRPr="00244343">
              <w:rPr>
                <w:rFonts w:ascii="Times New Roman" w:eastAsia="Times New Roman" w:hAnsi="Times New Roman" w:cs="Times New Roman"/>
                <w:sz w:val="28"/>
                <w:szCs w:val="28"/>
              </w:rPr>
              <w:t>rank</w:t>
            </w:r>
            <w:proofErr w:type="spellEnd"/>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14:paraId="2259E63B" w14:textId="14995159" w:rsidR="0001723B" w:rsidRPr="00244343" w:rsidRDefault="0001723B" w:rsidP="00FC4291">
            <w:pPr>
              <w:spacing w:after="0" w:line="240" w:lineRule="auto"/>
              <w:rPr>
                <w:rFonts w:ascii="Times New Roman" w:eastAsia="Times New Roman" w:hAnsi="Times New Roman" w:cs="Times New Roman"/>
                <w:sz w:val="28"/>
                <w:szCs w:val="28"/>
              </w:rPr>
            </w:pPr>
            <w:proofErr w:type="spellStart"/>
            <w:r w:rsidRPr="00244343">
              <w:rPr>
                <w:rFonts w:ascii="Times New Roman" w:eastAsia="Times New Roman" w:hAnsi="Times New Roman" w:cs="Times New Roman"/>
                <w:sz w:val="28"/>
                <w:szCs w:val="28"/>
              </w:rPr>
              <w:t>business</w:t>
            </w:r>
            <w:proofErr w:type="spellEnd"/>
            <w:r w:rsidRPr="00244343">
              <w:rPr>
                <w:rFonts w:ascii="Times New Roman" w:eastAsia="Times New Roman" w:hAnsi="Times New Roman" w:cs="Times New Roman"/>
                <w:sz w:val="28"/>
                <w:szCs w:val="28"/>
              </w:rPr>
              <w:t xml:space="preserve"> </w:t>
            </w:r>
            <w:proofErr w:type="spellStart"/>
            <w:r w:rsidRPr="00244343">
              <w:rPr>
                <w:rFonts w:ascii="Times New Roman" w:eastAsia="Times New Roman" w:hAnsi="Times New Roman" w:cs="Times New Roman"/>
                <w:sz w:val="28"/>
                <w:szCs w:val="28"/>
              </w:rPr>
              <w:t>sophistica</w:t>
            </w:r>
            <w:proofErr w:type="spellEnd"/>
            <w:r w:rsidR="00DC6FB6">
              <w:rPr>
                <w:rFonts w:ascii="Times New Roman" w:eastAsia="Times New Roman" w:hAnsi="Times New Roman" w:cs="Times New Roman"/>
                <w:sz w:val="28"/>
                <w:szCs w:val="28"/>
                <w:lang w:val="en-US"/>
              </w:rPr>
              <w:t>-</w:t>
            </w:r>
            <w:proofErr w:type="spellStart"/>
            <w:r w:rsidRPr="00244343">
              <w:rPr>
                <w:rFonts w:ascii="Times New Roman" w:eastAsia="Times New Roman" w:hAnsi="Times New Roman" w:cs="Times New Roman"/>
                <w:sz w:val="28"/>
                <w:szCs w:val="28"/>
              </w:rPr>
              <w:t>tion</w:t>
            </w:r>
            <w:proofErr w:type="spellEnd"/>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14:paraId="6DE2256B" w14:textId="28FA961D" w:rsidR="0001723B" w:rsidRPr="00244343" w:rsidRDefault="0001723B" w:rsidP="00FC4291">
            <w:pPr>
              <w:spacing w:after="0" w:line="240" w:lineRule="auto"/>
              <w:rPr>
                <w:rFonts w:ascii="Times New Roman" w:eastAsia="Times New Roman" w:hAnsi="Times New Roman" w:cs="Times New Roman"/>
                <w:sz w:val="28"/>
                <w:szCs w:val="28"/>
              </w:rPr>
            </w:pPr>
            <w:proofErr w:type="spellStart"/>
            <w:r w:rsidRPr="00244343">
              <w:rPr>
                <w:rFonts w:ascii="Times New Roman" w:eastAsia="Times New Roman" w:hAnsi="Times New Roman" w:cs="Times New Roman"/>
                <w:sz w:val="28"/>
                <w:szCs w:val="28"/>
              </w:rPr>
              <w:t>starting</w:t>
            </w:r>
            <w:proofErr w:type="spellEnd"/>
            <w:r w:rsidRPr="00244343">
              <w:rPr>
                <w:rFonts w:ascii="Times New Roman" w:eastAsia="Times New Roman" w:hAnsi="Times New Roman" w:cs="Times New Roman"/>
                <w:sz w:val="28"/>
                <w:szCs w:val="28"/>
              </w:rPr>
              <w:t xml:space="preserve"> a</w:t>
            </w:r>
            <w:r w:rsidR="00DC6FB6">
              <w:rPr>
                <w:rFonts w:ascii="Times New Roman" w:eastAsia="Times New Roman" w:hAnsi="Times New Roman" w:cs="Times New Roman"/>
                <w:sz w:val="28"/>
                <w:szCs w:val="28"/>
                <w:lang w:val="en-US"/>
              </w:rPr>
              <w:t xml:space="preserve"> </w:t>
            </w:r>
            <w:proofErr w:type="spellStart"/>
            <w:r w:rsidRPr="00244343">
              <w:rPr>
                <w:rFonts w:ascii="Times New Roman" w:eastAsia="Times New Roman" w:hAnsi="Times New Roman" w:cs="Times New Roman"/>
                <w:sz w:val="28"/>
                <w:szCs w:val="28"/>
              </w:rPr>
              <w:t>business</w:t>
            </w:r>
            <w:proofErr w:type="spellEnd"/>
          </w:p>
        </w:tc>
        <w:tc>
          <w:tcPr>
            <w:tcW w:w="1588" w:type="dxa"/>
            <w:tcBorders>
              <w:top w:val="single" w:sz="4" w:space="0" w:color="auto"/>
              <w:left w:val="nil"/>
              <w:bottom w:val="single" w:sz="4" w:space="0" w:color="auto"/>
              <w:right w:val="single" w:sz="4" w:space="0" w:color="auto"/>
            </w:tcBorders>
            <w:shd w:val="clear" w:color="auto" w:fill="auto"/>
            <w:vAlign w:val="bottom"/>
            <w:hideMark/>
          </w:tcPr>
          <w:p w14:paraId="17C27EB9" w14:textId="25857165" w:rsidR="0001723B" w:rsidRPr="00DC6FB6" w:rsidRDefault="0001723B" w:rsidP="00FC4291">
            <w:pPr>
              <w:spacing w:after="0" w:line="240" w:lineRule="auto"/>
              <w:rPr>
                <w:rFonts w:ascii="Times New Roman" w:eastAsia="Times New Roman" w:hAnsi="Times New Roman" w:cs="Times New Roman"/>
                <w:sz w:val="28"/>
                <w:szCs w:val="28"/>
                <w:lang w:val="en-US"/>
              </w:rPr>
            </w:pPr>
            <w:r w:rsidRPr="00DC6FB6">
              <w:rPr>
                <w:rFonts w:ascii="Times New Roman" w:eastAsia="Times New Roman" w:hAnsi="Times New Roman" w:cs="Times New Roman"/>
                <w:sz w:val="28"/>
                <w:szCs w:val="28"/>
                <w:lang w:val="en-US"/>
              </w:rPr>
              <w:t>University/</w:t>
            </w:r>
            <w:r w:rsidR="00DC6FB6">
              <w:rPr>
                <w:rFonts w:ascii="Times New Roman" w:eastAsia="Times New Roman" w:hAnsi="Times New Roman" w:cs="Times New Roman"/>
                <w:sz w:val="28"/>
                <w:szCs w:val="28"/>
                <w:lang w:val="en-US"/>
              </w:rPr>
              <w:t xml:space="preserve"> </w:t>
            </w:r>
            <w:r w:rsidRPr="00DC6FB6">
              <w:rPr>
                <w:rFonts w:ascii="Times New Roman" w:eastAsia="Times New Roman" w:hAnsi="Times New Roman" w:cs="Times New Roman"/>
                <w:sz w:val="28"/>
                <w:szCs w:val="28"/>
                <w:lang w:val="en-US"/>
              </w:rPr>
              <w:t>industry research</w:t>
            </w:r>
            <w:r w:rsidRPr="00DC6FB6">
              <w:rPr>
                <w:rFonts w:ascii="Times New Roman" w:eastAsia="Times New Roman" w:hAnsi="Times New Roman" w:cs="Times New Roman"/>
                <w:sz w:val="28"/>
                <w:szCs w:val="28"/>
                <w:lang w:val="en-US"/>
              </w:rPr>
              <w:br/>
            </w:r>
            <w:proofErr w:type="spellStart"/>
            <w:r w:rsidRPr="00DC6FB6">
              <w:rPr>
                <w:rFonts w:ascii="Times New Roman" w:eastAsia="Times New Roman" w:hAnsi="Times New Roman" w:cs="Times New Roman"/>
                <w:sz w:val="28"/>
                <w:szCs w:val="28"/>
                <w:lang w:val="en-US"/>
              </w:rPr>
              <w:t>collabora</w:t>
            </w:r>
            <w:r w:rsidR="00DC6FB6">
              <w:rPr>
                <w:rFonts w:ascii="Times New Roman" w:eastAsia="Times New Roman" w:hAnsi="Times New Roman" w:cs="Times New Roman"/>
                <w:sz w:val="28"/>
                <w:szCs w:val="28"/>
                <w:lang w:val="en-US"/>
              </w:rPr>
              <w:t>-</w:t>
            </w:r>
            <w:r w:rsidRPr="00DC6FB6">
              <w:rPr>
                <w:rFonts w:ascii="Times New Roman" w:eastAsia="Times New Roman" w:hAnsi="Times New Roman" w:cs="Times New Roman"/>
                <w:sz w:val="28"/>
                <w:szCs w:val="28"/>
                <w:lang w:val="en-US"/>
              </w:rPr>
              <w:t>tion</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B8434A2" w14:textId="77777777" w:rsidR="0001723B" w:rsidRPr="00244343" w:rsidRDefault="0001723B" w:rsidP="00FC4291">
            <w:pPr>
              <w:spacing w:after="0" w:line="240" w:lineRule="auto"/>
              <w:rPr>
                <w:rFonts w:ascii="Times New Roman" w:eastAsia="Times New Roman" w:hAnsi="Times New Roman" w:cs="Times New Roman"/>
                <w:sz w:val="28"/>
                <w:szCs w:val="28"/>
              </w:rPr>
            </w:pPr>
            <w:proofErr w:type="spellStart"/>
            <w:r w:rsidRPr="00244343">
              <w:rPr>
                <w:rFonts w:ascii="Times New Roman" w:eastAsia="Times New Roman" w:hAnsi="Times New Roman" w:cs="Times New Roman"/>
                <w:sz w:val="28"/>
                <w:szCs w:val="28"/>
              </w:rPr>
              <w:t>Presence</w:t>
            </w:r>
            <w:proofErr w:type="spellEnd"/>
            <w:r w:rsidRPr="00244343">
              <w:rPr>
                <w:rFonts w:ascii="Times New Roman" w:eastAsia="Times New Roman" w:hAnsi="Times New Roman" w:cs="Times New Roman"/>
                <w:sz w:val="28"/>
                <w:szCs w:val="28"/>
              </w:rPr>
              <w:t xml:space="preserve"> </w:t>
            </w:r>
            <w:proofErr w:type="spellStart"/>
            <w:r w:rsidRPr="00244343">
              <w:rPr>
                <w:rFonts w:ascii="Times New Roman" w:eastAsia="Times New Roman" w:hAnsi="Times New Roman" w:cs="Times New Roman"/>
                <w:sz w:val="28"/>
                <w:szCs w:val="28"/>
              </w:rPr>
              <w:t>of</w:t>
            </w:r>
            <w:proofErr w:type="spellEnd"/>
            <w:r w:rsidRPr="00244343">
              <w:rPr>
                <w:rFonts w:ascii="Times New Roman" w:eastAsia="Times New Roman" w:hAnsi="Times New Roman" w:cs="Times New Roman"/>
                <w:sz w:val="28"/>
                <w:szCs w:val="28"/>
              </w:rPr>
              <w:t xml:space="preserve"> </w:t>
            </w:r>
            <w:proofErr w:type="spellStart"/>
            <w:r w:rsidRPr="00244343">
              <w:rPr>
                <w:rFonts w:ascii="Times New Roman" w:eastAsia="Times New Roman" w:hAnsi="Times New Roman" w:cs="Times New Roman"/>
                <w:sz w:val="28"/>
                <w:szCs w:val="28"/>
              </w:rPr>
              <w:t>clusters</w:t>
            </w:r>
            <w:proofErr w:type="spellEnd"/>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14:paraId="39E3F1E2" w14:textId="77777777" w:rsidR="0001723B" w:rsidRPr="00244343" w:rsidRDefault="0001723B" w:rsidP="00FC4291">
            <w:pPr>
              <w:spacing w:after="0" w:line="240" w:lineRule="auto"/>
              <w:rPr>
                <w:rFonts w:ascii="Times New Roman" w:eastAsia="Times New Roman" w:hAnsi="Times New Roman" w:cs="Times New Roman"/>
                <w:sz w:val="28"/>
                <w:szCs w:val="28"/>
              </w:rPr>
            </w:pPr>
            <w:proofErr w:type="spellStart"/>
            <w:r w:rsidRPr="00244343">
              <w:rPr>
                <w:rFonts w:ascii="Times New Roman" w:eastAsia="Times New Roman" w:hAnsi="Times New Roman" w:cs="Times New Roman"/>
                <w:sz w:val="28"/>
                <w:szCs w:val="28"/>
              </w:rPr>
              <w:t>political</w:t>
            </w:r>
            <w:proofErr w:type="spellEnd"/>
            <w:r w:rsidRPr="00244343">
              <w:rPr>
                <w:rFonts w:ascii="Times New Roman" w:eastAsia="Times New Roman" w:hAnsi="Times New Roman" w:cs="Times New Roman"/>
                <w:sz w:val="28"/>
                <w:szCs w:val="28"/>
              </w:rPr>
              <w:t xml:space="preserve"> </w:t>
            </w:r>
            <w:proofErr w:type="spellStart"/>
            <w:r w:rsidRPr="00244343">
              <w:rPr>
                <w:rFonts w:ascii="Times New Roman" w:eastAsia="Times New Roman" w:hAnsi="Times New Roman" w:cs="Times New Roman"/>
                <w:sz w:val="28"/>
                <w:szCs w:val="28"/>
              </w:rPr>
              <w:t>stability</w:t>
            </w:r>
            <w:proofErr w:type="spellEnd"/>
          </w:p>
        </w:tc>
      </w:tr>
      <w:tr w:rsidR="00DC6FB6" w:rsidRPr="00244343" w14:paraId="0CA6FEFE" w14:textId="77777777" w:rsidTr="00172E7E">
        <w:trPr>
          <w:trHeight w:val="271"/>
        </w:trPr>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581649"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w:t>
            </w:r>
          </w:p>
        </w:tc>
        <w:tc>
          <w:tcPr>
            <w:tcW w:w="840" w:type="dxa"/>
            <w:tcBorders>
              <w:top w:val="single" w:sz="4" w:space="0" w:color="auto"/>
              <w:left w:val="nil"/>
              <w:bottom w:val="single" w:sz="4" w:space="0" w:color="auto"/>
              <w:right w:val="single" w:sz="4" w:space="0" w:color="auto"/>
            </w:tcBorders>
            <w:shd w:val="clear" w:color="auto" w:fill="auto"/>
            <w:noWrap/>
            <w:vAlign w:val="bottom"/>
          </w:tcPr>
          <w:p w14:paraId="095BF851"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w:t>
            </w:r>
          </w:p>
        </w:tc>
        <w:tc>
          <w:tcPr>
            <w:tcW w:w="1469" w:type="dxa"/>
            <w:tcBorders>
              <w:top w:val="single" w:sz="4" w:space="0" w:color="auto"/>
              <w:left w:val="nil"/>
              <w:bottom w:val="single" w:sz="4" w:space="0" w:color="auto"/>
              <w:right w:val="single" w:sz="4" w:space="0" w:color="auto"/>
            </w:tcBorders>
            <w:shd w:val="clear" w:color="auto" w:fill="auto"/>
            <w:noWrap/>
            <w:vAlign w:val="bottom"/>
          </w:tcPr>
          <w:p w14:paraId="2851F067"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w:t>
            </w:r>
          </w:p>
        </w:tc>
        <w:tc>
          <w:tcPr>
            <w:tcW w:w="1348" w:type="dxa"/>
            <w:tcBorders>
              <w:top w:val="single" w:sz="4" w:space="0" w:color="auto"/>
              <w:left w:val="nil"/>
              <w:bottom w:val="single" w:sz="4" w:space="0" w:color="auto"/>
              <w:right w:val="single" w:sz="4" w:space="0" w:color="auto"/>
            </w:tcBorders>
            <w:shd w:val="clear" w:color="auto" w:fill="auto"/>
            <w:noWrap/>
            <w:vAlign w:val="bottom"/>
          </w:tcPr>
          <w:p w14:paraId="6A806300"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w:t>
            </w:r>
          </w:p>
        </w:tc>
        <w:tc>
          <w:tcPr>
            <w:tcW w:w="1588" w:type="dxa"/>
            <w:tcBorders>
              <w:top w:val="single" w:sz="4" w:space="0" w:color="auto"/>
              <w:left w:val="nil"/>
              <w:bottom w:val="single" w:sz="4" w:space="0" w:color="auto"/>
              <w:right w:val="single" w:sz="4" w:space="0" w:color="auto"/>
            </w:tcBorders>
            <w:shd w:val="clear" w:color="auto" w:fill="auto"/>
            <w:vAlign w:val="bottom"/>
          </w:tcPr>
          <w:p w14:paraId="5A62F10F"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5</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20C6A22B"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w:t>
            </w:r>
          </w:p>
        </w:tc>
        <w:tc>
          <w:tcPr>
            <w:tcW w:w="1411" w:type="dxa"/>
            <w:tcBorders>
              <w:top w:val="single" w:sz="4" w:space="0" w:color="auto"/>
              <w:left w:val="nil"/>
              <w:bottom w:val="single" w:sz="4" w:space="0" w:color="auto"/>
              <w:right w:val="single" w:sz="4" w:space="0" w:color="auto"/>
            </w:tcBorders>
            <w:shd w:val="clear" w:color="auto" w:fill="auto"/>
            <w:noWrap/>
            <w:vAlign w:val="bottom"/>
          </w:tcPr>
          <w:p w14:paraId="7F481DAA" w14:textId="77777777" w:rsidR="0001723B" w:rsidRPr="00244343" w:rsidRDefault="0001723B" w:rsidP="00FC4291">
            <w:pPr>
              <w:spacing w:after="0" w:line="240" w:lineRule="auto"/>
              <w:jc w:val="center"/>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w:t>
            </w:r>
          </w:p>
        </w:tc>
      </w:tr>
      <w:tr w:rsidR="00DC6FB6" w:rsidRPr="00244343" w14:paraId="3AC97D83" w14:textId="77777777" w:rsidTr="00172E7E">
        <w:trPr>
          <w:trHeight w:val="264"/>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D91100A"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2007</w:t>
            </w:r>
          </w:p>
        </w:tc>
        <w:tc>
          <w:tcPr>
            <w:tcW w:w="840" w:type="dxa"/>
            <w:tcBorders>
              <w:top w:val="nil"/>
              <w:left w:val="nil"/>
              <w:bottom w:val="single" w:sz="4" w:space="0" w:color="auto"/>
              <w:right w:val="single" w:sz="4" w:space="0" w:color="auto"/>
            </w:tcBorders>
            <w:shd w:val="clear" w:color="auto" w:fill="auto"/>
            <w:noWrap/>
            <w:vAlign w:val="bottom"/>
            <w:hideMark/>
          </w:tcPr>
          <w:p w14:paraId="4121518F"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61</w:t>
            </w:r>
          </w:p>
        </w:tc>
        <w:tc>
          <w:tcPr>
            <w:tcW w:w="1469" w:type="dxa"/>
            <w:tcBorders>
              <w:top w:val="nil"/>
              <w:left w:val="nil"/>
              <w:bottom w:val="single" w:sz="4" w:space="0" w:color="auto"/>
              <w:right w:val="single" w:sz="4" w:space="0" w:color="auto"/>
            </w:tcBorders>
            <w:shd w:val="clear" w:color="auto" w:fill="auto"/>
            <w:noWrap/>
            <w:vAlign w:val="bottom"/>
            <w:hideMark/>
          </w:tcPr>
          <w:p w14:paraId="3642B397" w14:textId="77777777" w:rsidR="0001723B" w:rsidRPr="00244343" w:rsidRDefault="0001723B" w:rsidP="00FC4291">
            <w:pPr>
              <w:spacing w:after="0" w:line="240" w:lineRule="auto"/>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 </w:t>
            </w:r>
          </w:p>
        </w:tc>
        <w:tc>
          <w:tcPr>
            <w:tcW w:w="1348" w:type="dxa"/>
            <w:tcBorders>
              <w:top w:val="nil"/>
              <w:left w:val="nil"/>
              <w:bottom w:val="single" w:sz="4" w:space="0" w:color="auto"/>
              <w:right w:val="single" w:sz="4" w:space="0" w:color="auto"/>
            </w:tcBorders>
            <w:shd w:val="clear" w:color="auto" w:fill="auto"/>
            <w:noWrap/>
            <w:vAlign w:val="bottom"/>
            <w:hideMark/>
          </w:tcPr>
          <w:p w14:paraId="37F07D20" w14:textId="77777777" w:rsidR="0001723B" w:rsidRPr="00244343" w:rsidRDefault="0001723B" w:rsidP="00FC4291">
            <w:pPr>
              <w:spacing w:after="0" w:line="240" w:lineRule="auto"/>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 </w:t>
            </w:r>
          </w:p>
        </w:tc>
        <w:tc>
          <w:tcPr>
            <w:tcW w:w="1588" w:type="dxa"/>
            <w:tcBorders>
              <w:top w:val="nil"/>
              <w:left w:val="nil"/>
              <w:bottom w:val="single" w:sz="4" w:space="0" w:color="auto"/>
              <w:right w:val="single" w:sz="4" w:space="0" w:color="auto"/>
            </w:tcBorders>
            <w:shd w:val="clear" w:color="auto" w:fill="auto"/>
            <w:noWrap/>
            <w:vAlign w:val="bottom"/>
            <w:hideMark/>
          </w:tcPr>
          <w:p w14:paraId="1FFD033A" w14:textId="77777777" w:rsidR="0001723B" w:rsidRPr="00244343" w:rsidRDefault="0001723B" w:rsidP="00FC4291">
            <w:pPr>
              <w:spacing w:after="0" w:line="240" w:lineRule="auto"/>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 </w:t>
            </w:r>
          </w:p>
        </w:tc>
        <w:tc>
          <w:tcPr>
            <w:tcW w:w="1417" w:type="dxa"/>
            <w:tcBorders>
              <w:top w:val="nil"/>
              <w:left w:val="nil"/>
              <w:bottom w:val="single" w:sz="4" w:space="0" w:color="auto"/>
              <w:right w:val="single" w:sz="4" w:space="0" w:color="auto"/>
            </w:tcBorders>
            <w:shd w:val="clear" w:color="auto" w:fill="auto"/>
            <w:noWrap/>
            <w:vAlign w:val="bottom"/>
            <w:hideMark/>
          </w:tcPr>
          <w:p w14:paraId="4871904D" w14:textId="77777777" w:rsidR="0001723B" w:rsidRPr="00244343" w:rsidRDefault="0001723B" w:rsidP="00FC4291">
            <w:pPr>
              <w:spacing w:after="0" w:line="240" w:lineRule="auto"/>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 </w:t>
            </w:r>
          </w:p>
        </w:tc>
        <w:tc>
          <w:tcPr>
            <w:tcW w:w="1411" w:type="dxa"/>
            <w:tcBorders>
              <w:top w:val="nil"/>
              <w:left w:val="nil"/>
              <w:bottom w:val="single" w:sz="4" w:space="0" w:color="auto"/>
              <w:right w:val="single" w:sz="4" w:space="0" w:color="auto"/>
            </w:tcBorders>
            <w:shd w:val="clear" w:color="auto" w:fill="auto"/>
            <w:noWrap/>
            <w:vAlign w:val="bottom"/>
            <w:hideMark/>
          </w:tcPr>
          <w:p w14:paraId="47B9B7B5" w14:textId="77777777" w:rsidR="0001723B" w:rsidRPr="00244343" w:rsidRDefault="0001723B" w:rsidP="00FC4291">
            <w:pPr>
              <w:spacing w:after="0" w:line="240" w:lineRule="auto"/>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 </w:t>
            </w:r>
          </w:p>
        </w:tc>
      </w:tr>
      <w:tr w:rsidR="00DC6FB6" w:rsidRPr="00244343" w14:paraId="2BC50155" w14:textId="77777777" w:rsidTr="00172E7E">
        <w:trPr>
          <w:trHeight w:val="264"/>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EE0CD80"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2008</w:t>
            </w:r>
          </w:p>
        </w:tc>
        <w:tc>
          <w:tcPr>
            <w:tcW w:w="840" w:type="dxa"/>
            <w:tcBorders>
              <w:top w:val="nil"/>
              <w:left w:val="nil"/>
              <w:bottom w:val="single" w:sz="4" w:space="0" w:color="auto"/>
              <w:right w:val="single" w:sz="4" w:space="0" w:color="auto"/>
            </w:tcBorders>
            <w:shd w:val="clear" w:color="auto" w:fill="auto"/>
            <w:noWrap/>
            <w:vAlign w:val="bottom"/>
            <w:hideMark/>
          </w:tcPr>
          <w:p w14:paraId="71388934"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72</w:t>
            </w:r>
          </w:p>
        </w:tc>
        <w:tc>
          <w:tcPr>
            <w:tcW w:w="1469" w:type="dxa"/>
            <w:tcBorders>
              <w:top w:val="nil"/>
              <w:left w:val="nil"/>
              <w:bottom w:val="single" w:sz="4" w:space="0" w:color="auto"/>
              <w:right w:val="single" w:sz="4" w:space="0" w:color="auto"/>
            </w:tcBorders>
            <w:shd w:val="clear" w:color="auto" w:fill="auto"/>
            <w:noWrap/>
            <w:vAlign w:val="bottom"/>
            <w:hideMark/>
          </w:tcPr>
          <w:p w14:paraId="20F48AB3"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76</w:t>
            </w:r>
          </w:p>
        </w:tc>
        <w:tc>
          <w:tcPr>
            <w:tcW w:w="1348" w:type="dxa"/>
            <w:tcBorders>
              <w:top w:val="nil"/>
              <w:left w:val="nil"/>
              <w:bottom w:val="single" w:sz="4" w:space="0" w:color="auto"/>
              <w:right w:val="single" w:sz="4" w:space="0" w:color="auto"/>
            </w:tcBorders>
            <w:shd w:val="clear" w:color="auto" w:fill="auto"/>
            <w:noWrap/>
            <w:vAlign w:val="bottom"/>
            <w:hideMark/>
          </w:tcPr>
          <w:p w14:paraId="6079C3C6"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w:t>
            </w:r>
          </w:p>
        </w:tc>
        <w:tc>
          <w:tcPr>
            <w:tcW w:w="1588" w:type="dxa"/>
            <w:tcBorders>
              <w:top w:val="nil"/>
              <w:left w:val="nil"/>
              <w:bottom w:val="single" w:sz="4" w:space="0" w:color="auto"/>
              <w:right w:val="single" w:sz="4" w:space="0" w:color="auto"/>
            </w:tcBorders>
            <w:shd w:val="clear" w:color="auto" w:fill="auto"/>
            <w:noWrap/>
            <w:vAlign w:val="bottom"/>
            <w:hideMark/>
          </w:tcPr>
          <w:p w14:paraId="3A587F76"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61</w:t>
            </w:r>
          </w:p>
        </w:tc>
        <w:tc>
          <w:tcPr>
            <w:tcW w:w="1417" w:type="dxa"/>
            <w:tcBorders>
              <w:top w:val="nil"/>
              <w:left w:val="nil"/>
              <w:bottom w:val="single" w:sz="4" w:space="0" w:color="auto"/>
              <w:right w:val="single" w:sz="4" w:space="0" w:color="auto"/>
            </w:tcBorders>
            <w:shd w:val="clear" w:color="auto" w:fill="auto"/>
            <w:noWrap/>
            <w:vAlign w:val="bottom"/>
            <w:hideMark/>
          </w:tcPr>
          <w:p w14:paraId="701EA75C"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68</w:t>
            </w:r>
          </w:p>
        </w:tc>
        <w:tc>
          <w:tcPr>
            <w:tcW w:w="1411" w:type="dxa"/>
            <w:tcBorders>
              <w:top w:val="nil"/>
              <w:left w:val="nil"/>
              <w:bottom w:val="single" w:sz="4" w:space="0" w:color="auto"/>
              <w:right w:val="single" w:sz="4" w:space="0" w:color="auto"/>
            </w:tcBorders>
            <w:shd w:val="clear" w:color="auto" w:fill="auto"/>
            <w:noWrap/>
            <w:vAlign w:val="bottom"/>
            <w:hideMark/>
          </w:tcPr>
          <w:p w14:paraId="630757ED"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40</w:t>
            </w:r>
          </w:p>
        </w:tc>
      </w:tr>
      <w:tr w:rsidR="00DC6FB6" w:rsidRPr="00244343" w14:paraId="6E56ACEB" w14:textId="77777777" w:rsidTr="00172E7E">
        <w:trPr>
          <w:trHeight w:val="264"/>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FD0D260"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2009</w:t>
            </w:r>
          </w:p>
        </w:tc>
        <w:tc>
          <w:tcPr>
            <w:tcW w:w="840" w:type="dxa"/>
            <w:tcBorders>
              <w:top w:val="nil"/>
              <w:left w:val="nil"/>
              <w:bottom w:val="single" w:sz="4" w:space="0" w:color="auto"/>
              <w:right w:val="single" w:sz="4" w:space="0" w:color="auto"/>
            </w:tcBorders>
            <w:shd w:val="clear" w:color="auto" w:fill="auto"/>
            <w:noWrap/>
            <w:vAlign w:val="bottom"/>
            <w:hideMark/>
          </w:tcPr>
          <w:p w14:paraId="49238511"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72</w:t>
            </w:r>
          </w:p>
        </w:tc>
        <w:tc>
          <w:tcPr>
            <w:tcW w:w="1469" w:type="dxa"/>
            <w:tcBorders>
              <w:top w:val="nil"/>
              <w:left w:val="nil"/>
              <w:bottom w:val="single" w:sz="4" w:space="0" w:color="auto"/>
              <w:right w:val="single" w:sz="4" w:space="0" w:color="auto"/>
            </w:tcBorders>
            <w:shd w:val="clear" w:color="auto" w:fill="auto"/>
            <w:noWrap/>
            <w:vAlign w:val="bottom"/>
            <w:hideMark/>
          </w:tcPr>
          <w:p w14:paraId="72B4AEFF"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76</w:t>
            </w:r>
          </w:p>
        </w:tc>
        <w:tc>
          <w:tcPr>
            <w:tcW w:w="1348" w:type="dxa"/>
            <w:tcBorders>
              <w:top w:val="nil"/>
              <w:left w:val="nil"/>
              <w:bottom w:val="single" w:sz="4" w:space="0" w:color="auto"/>
              <w:right w:val="single" w:sz="4" w:space="0" w:color="auto"/>
            </w:tcBorders>
            <w:shd w:val="clear" w:color="auto" w:fill="auto"/>
            <w:noWrap/>
            <w:vAlign w:val="bottom"/>
            <w:hideMark/>
          </w:tcPr>
          <w:p w14:paraId="18AA53F7"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w:t>
            </w:r>
          </w:p>
        </w:tc>
        <w:tc>
          <w:tcPr>
            <w:tcW w:w="1588" w:type="dxa"/>
            <w:tcBorders>
              <w:top w:val="nil"/>
              <w:left w:val="nil"/>
              <w:bottom w:val="single" w:sz="4" w:space="0" w:color="auto"/>
              <w:right w:val="single" w:sz="4" w:space="0" w:color="auto"/>
            </w:tcBorders>
            <w:shd w:val="clear" w:color="auto" w:fill="auto"/>
            <w:noWrap/>
            <w:vAlign w:val="bottom"/>
            <w:hideMark/>
          </w:tcPr>
          <w:p w14:paraId="5963F0CA"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61</w:t>
            </w:r>
          </w:p>
        </w:tc>
        <w:tc>
          <w:tcPr>
            <w:tcW w:w="1417" w:type="dxa"/>
            <w:tcBorders>
              <w:top w:val="nil"/>
              <w:left w:val="nil"/>
              <w:bottom w:val="single" w:sz="4" w:space="0" w:color="auto"/>
              <w:right w:val="single" w:sz="4" w:space="0" w:color="auto"/>
            </w:tcBorders>
            <w:shd w:val="clear" w:color="auto" w:fill="auto"/>
            <w:noWrap/>
            <w:vAlign w:val="bottom"/>
            <w:hideMark/>
          </w:tcPr>
          <w:p w14:paraId="6A1948DA"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68</w:t>
            </w:r>
          </w:p>
        </w:tc>
        <w:tc>
          <w:tcPr>
            <w:tcW w:w="1411" w:type="dxa"/>
            <w:tcBorders>
              <w:top w:val="nil"/>
              <w:left w:val="nil"/>
              <w:bottom w:val="single" w:sz="4" w:space="0" w:color="auto"/>
              <w:right w:val="single" w:sz="4" w:space="0" w:color="auto"/>
            </w:tcBorders>
            <w:shd w:val="clear" w:color="auto" w:fill="auto"/>
            <w:noWrap/>
            <w:vAlign w:val="bottom"/>
            <w:hideMark/>
          </w:tcPr>
          <w:p w14:paraId="670CBA5F"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40</w:t>
            </w:r>
          </w:p>
        </w:tc>
      </w:tr>
      <w:tr w:rsidR="00DC6FB6" w:rsidRPr="00244343" w14:paraId="2A64670D" w14:textId="77777777" w:rsidTr="00172E7E">
        <w:trPr>
          <w:trHeight w:val="264"/>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E34AE7B"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2010</w:t>
            </w:r>
          </w:p>
        </w:tc>
        <w:tc>
          <w:tcPr>
            <w:tcW w:w="840" w:type="dxa"/>
            <w:tcBorders>
              <w:top w:val="nil"/>
              <w:left w:val="nil"/>
              <w:bottom w:val="single" w:sz="4" w:space="0" w:color="auto"/>
              <w:right w:val="single" w:sz="4" w:space="0" w:color="auto"/>
            </w:tcBorders>
            <w:shd w:val="clear" w:color="auto" w:fill="auto"/>
            <w:noWrap/>
            <w:vAlign w:val="bottom"/>
            <w:hideMark/>
          </w:tcPr>
          <w:p w14:paraId="161668F2"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63</w:t>
            </w:r>
          </w:p>
        </w:tc>
        <w:tc>
          <w:tcPr>
            <w:tcW w:w="1469" w:type="dxa"/>
            <w:tcBorders>
              <w:top w:val="nil"/>
              <w:left w:val="nil"/>
              <w:bottom w:val="single" w:sz="4" w:space="0" w:color="auto"/>
              <w:right w:val="single" w:sz="4" w:space="0" w:color="auto"/>
            </w:tcBorders>
            <w:shd w:val="clear" w:color="auto" w:fill="auto"/>
            <w:noWrap/>
            <w:vAlign w:val="bottom"/>
            <w:hideMark/>
          </w:tcPr>
          <w:p w14:paraId="74C4D198"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78</w:t>
            </w:r>
          </w:p>
        </w:tc>
        <w:tc>
          <w:tcPr>
            <w:tcW w:w="1348" w:type="dxa"/>
            <w:tcBorders>
              <w:top w:val="nil"/>
              <w:left w:val="nil"/>
              <w:bottom w:val="single" w:sz="4" w:space="0" w:color="auto"/>
              <w:right w:val="single" w:sz="4" w:space="0" w:color="auto"/>
            </w:tcBorders>
            <w:shd w:val="clear" w:color="auto" w:fill="auto"/>
            <w:noWrap/>
            <w:vAlign w:val="bottom"/>
            <w:hideMark/>
          </w:tcPr>
          <w:p w14:paraId="3DA9B193"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61</w:t>
            </w:r>
          </w:p>
        </w:tc>
        <w:tc>
          <w:tcPr>
            <w:tcW w:w="1588" w:type="dxa"/>
            <w:tcBorders>
              <w:top w:val="nil"/>
              <w:left w:val="nil"/>
              <w:bottom w:val="single" w:sz="4" w:space="0" w:color="auto"/>
              <w:right w:val="single" w:sz="4" w:space="0" w:color="auto"/>
            </w:tcBorders>
            <w:shd w:val="clear" w:color="auto" w:fill="auto"/>
            <w:noWrap/>
            <w:vAlign w:val="bottom"/>
            <w:hideMark/>
          </w:tcPr>
          <w:p w14:paraId="320E29E6"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76</w:t>
            </w:r>
          </w:p>
        </w:tc>
        <w:tc>
          <w:tcPr>
            <w:tcW w:w="1417" w:type="dxa"/>
            <w:tcBorders>
              <w:top w:val="nil"/>
              <w:left w:val="nil"/>
              <w:bottom w:val="single" w:sz="4" w:space="0" w:color="auto"/>
              <w:right w:val="single" w:sz="4" w:space="0" w:color="auto"/>
            </w:tcBorders>
            <w:shd w:val="clear" w:color="auto" w:fill="auto"/>
            <w:noWrap/>
            <w:vAlign w:val="bottom"/>
            <w:hideMark/>
          </w:tcPr>
          <w:p w14:paraId="646A19B2"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75</w:t>
            </w:r>
          </w:p>
        </w:tc>
        <w:tc>
          <w:tcPr>
            <w:tcW w:w="1411" w:type="dxa"/>
            <w:tcBorders>
              <w:top w:val="nil"/>
              <w:left w:val="nil"/>
              <w:bottom w:val="single" w:sz="4" w:space="0" w:color="auto"/>
              <w:right w:val="single" w:sz="4" w:space="0" w:color="auto"/>
            </w:tcBorders>
            <w:shd w:val="clear" w:color="auto" w:fill="auto"/>
            <w:noWrap/>
            <w:vAlign w:val="bottom"/>
            <w:hideMark/>
          </w:tcPr>
          <w:p w14:paraId="5568A3E5"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46</w:t>
            </w:r>
          </w:p>
        </w:tc>
      </w:tr>
      <w:tr w:rsidR="00DC6FB6" w:rsidRPr="00244343" w14:paraId="36FB4FE9" w14:textId="77777777" w:rsidTr="00172E7E">
        <w:trPr>
          <w:trHeight w:val="264"/>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8D235E9"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2011</w:t>
            </w:r>
          </w:p>
        </w:tc>
        <w:tc>
          <w:tcPr>
            <w:tcW w:w="840" w:type="dxa"/>
            <w:tcBorders>
              <w:top w:val="nil"/>
              <w:left w:val="nil"/>
              <w:bottom w:val="single" w:sz="4" w:space="0" w:color="auto"/>
              <w:right w:val="single" w:sz="4" w:space="0" w:color="auto"/>
            </w:tcBorders>
            <w:shd w:val="clear" w:color="auto" w:fill="auto"/>
            <w:noWrap/>
            <w:vAlign w:val="bottom"/>
            <w:hideMark/>
          </w:tcPr>
          <w:p w14:paraId="636B23D4"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84</w:t>
            </w:r>
          </w:p>
        </w:tc>
        <w:tc>
          <w:tcPr>
            <w:tcW w:w="1469" w:type="dxa"/>
            <w:tcBorders>
              <w:top w:val="nil"/>
              <w:left w:val="nil"/>
              <w:bottom w:val="single" w:sz="4" w:space="0" w:color="auto"/>
              <w:right w:val="single" w:sz="4" w:space="0" w:color="auto"/>
            </w:tcBorders>
            <w:shd w:val="clear" w:color="auto" w:fill="auto"/>
            <w:noWrap/>
            <w:vAlign w:val="bottom"/>
            <w:hideMark/>
          </w:tcPr>
          <w:p w14:paraId="204A6358"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60</w:t>
            </w:r>
          </w:p>
        </w:tc>
        <w:tc>
          <w:tcPr>
            <w:tcW w:w="1348" w:type="dxa"/>
            <w:tcBorders>
              <w:top w:val="nil"/>
              <w:left w:val="nil"/>
              <w:bottom w:val="single" w:sz="4" w:space="0" w:color="auto"/>
              <w:right w:val="single" w:sz="4" w:space="0" w:color="auto"/>
            </w:tcBorders>
            <w:shd w:val="clear" w:color="auto" w:fill="auto"/>
            <w:noWrap/>
            <w:vAlign w:val="bottom"/>
            <w:hideMark/>
          </w:tcPr>
          <w:p w14:paraId="60D1ECF3"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70</w:t>
            </w:r>
          </w:p>
        </w:tc>
        <w:tc>
          <w:tcPr>
            <w:tcW w:w="1588" w:type="dxa"/>
            <w:tcBorders>
              <w:top w:val="nil"/>
              <w:left w:val="nil"/>
              <w:bottom w:val="single" w:sz="4" w:space="0" w:color="auto"/>
              <w:right w:val="single" w:sz="4" w:space="0" w:color="auto"/>
            </w:tcBorders>
            <w:shd w:val="clear" w:color="auto" w:fill="auto"/>
            <w:noWrap/>
            <w:vAlign w:val="bottom"/>
            <w:hideMark/>
          </w:tcPr>
          <w:p w14:paraId="707C1924"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101</w:t>
            </w:r>
          </w:p>
        </w:tc>
        <w:tc>
          <w:tcPr>
            <w:tcW w:w="1417" w:type="dxa"/>
            <w:tcBorders>
              <w:top w:val="nil"/>
              <w:left w:val="nil"/>
              <w:bottom w:val="single" w:sz="4" w:space="0" w:color="auto"/>
              <w:right w:val="single" w:sz="4" w:space="0" w:color="auto"/>
            </w:tcBorders>
            <w:shd w:val="clear" w:color="auto" w:fill="auto"/>
            <w:noWrap/>
            <w:vAlign w:val="bottom"/>
            <w:hideMark/>
          </w:tcPr>
          <w:p w14:paraId="63DD6560"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67</w:t>
            </w:r>
          </w:p>
        </w:tc>
        <w:tc>
          <w:tcPr>
            <w:tcW w:w="1411" w:type="dxa"/>
            <w:tcBorders>
              <w:top w:val="nil"/>
              <w:left w:val="nil"/>
              <w:bottom w:val="single" w:sz="4" w:space="0" w:color="auto"/>
              <w:right w:val="single" w:sz="4" w:space="0" w:color="auto"/>
            </w:tcBorders>
            <w:shd w:val="clear" w:color="auto" w:fill="auto"/>
            <w:noWrap/>
            <w:vAlign w:val="bottom"/>
            <w:hideMark/>
          </w:tcPr>
          <w:p w14:paraId="3F86F1E9"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33</w:t>
            </w:r>
          </w:p>
        </w:tc>
      </w:tr>
      <w:tr w:rsidR="00DC6FB6" w:rsidRPr="00244343" w14:paraId="6DEF6A0F" w14:textId="77777777" w:rsidTr="00172E7E">
        <w:trPr>
          <w:trHeight w:val="264"/>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235766F"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2012</w:t>
            </w:r>
          </w:p>
        </w:tc>
        <w:tc>
          <w:tcPr>
            <w:tcW w:w="840" w:type="dxa"/>
            <w:tcBorders>
              <w:top w:val="nil"/>
              <w:left w:val="nil"/>
              <w:bottom w:val="single" w:sz="4" w:space="0" w:color="auto"/>
              <w:right w:val="single" w:sz="4" w:space="0" w:color="auto"/>
            </w:tcBorders>
            <w:shd w:val="clear" w:color="auto" w:fill="auto"/>
            <w:noWrap/>
            <w:vAlign w:val="bottom"/>
            <w:hideMark/>
          </w:tcPr>
          <w:p w14:paraId="380D6388"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83</w:t>
            </w:r>
          </w:p>
        </w:tc>
        <w:tc>
          <w:tcPr>
            <w:tcW w:w="1469" w:type="dxa"/>
            <w:tcBorders>
              <w:top w:val="nil"/>
              <w:left w:val="nil"/>
              <w:bottom w:val="single" w:sz="4" w:space="0" w:color="auto"/>
              <w:right w:val="single" w:sz="4" w:space="0" w:color="auto"/>
            </w:tcBorders>
            <w:shd w:val="clear" w:color="auto" w:fill="auto"/>
            <w:noWrap/>
            <w:vAlign w:val="bottom"/>
            <w:hideMark/>
          </w:tcPr>
          <w:p w14:paraId="74B01EC3"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62</w:t>
            </w:r>
          </w:p>
        </w:tc>
        <w:tc>
          <w:tcPr>
            <w:tcW w:w="1348" w:type="dxa"/>
            <w:tcBorders>
              <w:top w:val="nil"/>
              <w:left w:val="nil"/>
              <w:bottom w:val="single" w:sz="4" w:space="0" w:color="auto"/>
              <w:right w:val="single" w:sz="4" w:space="0" w:color="auto"/>
            </w:tcBorders>
            <w:shd w:val="clear" w:color="auto" w:fill="auto"/>
            <w:noWrap/>
            <w:vAlign w:val="bottom"/>
            <w:hideMark/>
          </w:tcPr>
          <w:p w14:paraId="23990E2F"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40</w:t>
            </w:r>
          </w:p>
        </w:tc>
        <w:tc>
          <w:tcPr>
            <w:tcW w:w="1588" w:type="dxa"/>
            <w:tcBorders>
              <w:top w:val="nil"/>
              <w:left w:val="nil"/>
              <w:bottom w:val="single" w:sz="4" w:space="0" w:color="auto"/>
              <w:right w:val="single" w:sz="4" w:space="0" w:color="auto"/>
            </w:tcBorders>
            <w:shd w:val="clear" w:color="auto" w:fill="auto"/>
            <w:noWrap/>
            <w:vAlign w:val="bottom"/>
            <w:hideMark/>
          </w:tcPr>
          <w:p w14:paraId="41C1F7EB"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113</w:t>
            </w:r>
          </w:p>
        </w:tc>
        <w:tc>
          <w:tcPr>
            <w:tcW w:w="1417" w:type="dxa"/>
            <w:tcBorders>
              <w:top w:val="nil"/>
              <w:left w:val="nil"/>
              <w:bottom w:val="single" w:sz="4" w:space="0" w:color="auto"/>
              <w:right w:val="single" w:sz="4" w:space="0" w:color="auto"/>
            </w:tcBorders>
            <w:shd w:val="clear" w:color="auto" w:fill="auto"/>
            <w:noWrap/>
            <w:vAlign w:val="bottom"/>
            <w:hideMark/>
          </w:tcPr>
          <w:p w14:paraId="4950B9DA"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67</w:t>
            </w:r>
          </w:p>
        </w:tc>
        <w:tc>
          <w:tcPr>
            <w:tcW w:w="1411" w:type="dxa"/>
            <w:tcBorders>
              <w:top w:val="nil"/>
              <w:left w:val="nil"/>
              <w:bottom w:val="single" w:sz="4" w:space="0" w:color="auto"/>
              <w:right w:val="single" w:sz="4" w:space="0" w:color="auto"/>
            </w:tcBorders>
            <w:shd w:val="clear" w:color="auto" w:fill="auto"/>
            <w:noWrap/>
            <w:vAlign w:val="bottom"/>
            <w:hideMark/>
          </w:tcPr>
          <w:p w14:paraId="38F6C4FA"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46</w:t>
            </w:r>
          </w:p>
        </w:tc>
      </w:tr>
      <w:tr w:rsidR="00DC6FB6" w:rsidRPr="00244343" w14:paraId="719EE0C8" w14:textId="77777777" w:rsidTr="00172E7E">
        <w:trPr>
          <w:trHeight w:val="264"/>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4C4A6FB"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2013</w:t>
            </w:r>
          </w:p>
        </w:tc>
        <w:tc>
          <w:tcPr>
            <w:tcW w:w="840" w:type="dxa"/>
            <w:tcBorders>
              <w:top w:val="nil"/>
              <w:left w:val="nil"/>
              <w:bottom w:val="single" w:sz="4" w:space="0" w:color="auto"/>
              <w:right w:val="single" w:sz="4" w:space="0" w:color="auto"/>
            </w:tcBorders>
            <w:shd w:val="clear" w:color="auto" w:fill="auto"/>
            <w:noWrap/>
            <w:vAlign w:val="bottom"/>
            <w:hideMark/>
          </w:tcPr>
          <w:p w14:paraId="5746A374"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83</w:t>
            </w:r>
          </w:p>
        </w:tc>
        <w:tc>
          <w:tcPr>
            <w:tcW w:w="1469" w:type="dxa"/>
            <w:tcBorders>
              <w:top w:val="nil"/>
              <w:left w:val="nil"/>
              <w:bottom w:val="single" w:sz="4" w:space="0" w:color="auto"/>
              <w:right w:val="single" w:sz="4" w:space="0" w:color="auto"/>
            </w:tcBorders>
            <w:shd w:val="clear" w:color="auto" w:fill="auto"/>
            <w:noWrap/>
            <w:vAlign w:val="bottom"/>
            <w:hideMark/>
          </w:tcPr>
          <w:p w14:paraId="4BF982CA"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90</w:t>
            </w:r>
          </w:p>
        </w:tc>
        <w:tc>
          <w:tcPr>
            <w:tcW w:w="1348" w:type="dxa"/>
            <w:tcBorders>
              <w:top w:val="nil"/>
              <w:left w:val="nil"/>
              <w:bottom w:val="single" w:sz="4" w:space="0" w:color="auto"/>
              <w:right w:val="single" w:sz="4" w:space="0" w:color="auto"/>
            </w:tcBorders>
            <w:shd w:val="clear" w:color="auto" w:fill="auto"/>
            <w:noWrap/>
            <w:vAlign w:val="bottom"/>
            <w:hideMark/>
          </w:tcPr>
          <w:p w14:paraId="3E1B5D91"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53</w:t>
            </w:r>
          </w:p>
        </w:tc>
        <w:tc>
          <w:tcPr>
            <w:tcW w:w="1588" w:type="dxa"/>
            <w:tcBorders>
              <w:top w:val="nil"/>
              <w:left w:val="nil"/>
              <w:bottom w:val="single" w:sz="4" w:space="0" w:color="auto"/>
              <w:right w:val="single" w:sz="4" w:space="0" w:color="auto"/>
            </w:tcBorders>
            <w:shd w:val="clear" w:color="auto" w:fill="auto"/>
            <w:noWrap/>
            <w:vAlign w:val="bottom"/>
            <w:hideMark/>
          </w:tcPr>
          <w:p w14:paraId="3AE169E1"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88</w:t>
            </w:r>
          </w:p>
        </w:tc>
        <w:tc>
          <w:tcPr>
            <w:tcW w:w="1417" w:type="dxa"/>
            <w:tcBorders>
              <w:top w:val="nil"/>
              <w:left w:val="nil"/>
              <w:bottom w:val="single" w:sz="4" w:space="0" w:color="auto"/>
              <w:right w:val="single" w:sz="4" w:space="0" w:color="auto"/>
            </w:tcBorders>
            <w:shd w:val="clear" w:color="auto" w:fill="auto"/>
            <w:noWrap/>
            <w:vAlign w:val="bottom"/>
            <w:hideMark/>
          </w:tcPr>
          <w:p w14:paraId="74A7AD49"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83</w:t>
            </w:r>
          </w:p>
        </w:tc>
        <w:tc>
          <w:tcPr>
            <w:tcW w:w="1411" w:type="dxa"/>
            <w:tcBorders>
              <w:top w:val="nil"/>
              <w:left w:val="nil"/>
              <w:bottom w:val="single" w:sz="4" w:space="0" w:color="auto"/>
              <w:right w:val="single" w:sz="4" w:space="0" w:color="auto"/>
            </w:tcBorders>
            <w:shd w:val="clear" w:color="auto" w:fill="auto"/>
            <w:noWrap/>
            <w:vAlign w:val="bottom"/>
            <w:hideMark/>
          </w:tcPr>
          <w:p w14:paraId="5FAFAD79"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80</w:t>
            </w:r>
          </w:p>
        </w:tc>
      </w:tr>
      <w:tr w:rsidR="00DC6FB6" w:rsidRPr="00244343" w14:paraId="7133C6BD" w14:textId="77777777" w:rsidTr="00172E7E">
        <w:trPr>
          <w:trHeight w:val="264"/>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7225316"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2014</w:t>
            </w:r>
          </w:p>
        </w:tc>
        <w:tc>
          <w:tcPr>
            <w:tcW w:w="840" w:type="dxa"/>
            <w:tcBorders>
              <w:top w:val="nil"/>
              <w:left w:val="nil"/>
              <w:bottom w:val="single" w:sz="4" w:space="0" w:color="auto"/>
              <w:right w:val="single" w:sz="4" w:space="0" w:color="auto"/>
            </w:tcBorders>
            <w:shd w:val="clear" w:color="auto" w:fill="auto"/>
            <w:noWrap/>
            <w:vAlign w:val="bottom"/>
            <w:hideMark/>
          </w:tcPr>
          <w:p w14:paraId="7ADA6BB3"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84</w:t>
            </w:r>
          </w:p>
        </w:tc>
        <w:tc>
          <w:tcPr>
            <w:tcW w:w="1469" w:type="dxa"/>
            <w:tcBorders>
              <w:top w:val="nil"/>
              <w:left w:val="nil"/>
              <w:bottom w:val="single" w:sz="4" w:space="0" w:color="auto"/>
              <w:right w:val="single" w:sz="4" w:space="0" w:color="auto"/>
            </w:tcBorders>
            <w:shd w:val="clear" w:color="auto" w:fill="auto"/>
            <w:noWrap/>
            <w:vAlign w:val="bottom"/>
            <w:hideMark/>
          </w:tcPr>
          <w:p w14:paraId="2862A3D8"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106</w:t>
            </w:r>
          </w:p>
        </w:tc>
        <w:tc>
          <w:tcPr>
            <w:tcW w:w="1348" w:type="dxa"/>
            <w:tcBorders>
              <w:top w:val="nil"/>
              <w:left w:val="nil"/>
              <w:bottom w:val="single" w:sz="4" w:space="0" w:color="auto"/>
              <w:right w:val="single" w:sz="4" w:space="0" w:color="auto"/>
            </w:tcBorders>
            <w:shd w:val="clear" w:color="auto" w:fill="auto"/>
            <w:noWrap/>
            <w:vAlign w:val="bottom"/>
            <w:hideMark/>
          </w:tcPr>
          <w:p w14:paraId="6B346C02"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50</w:t>
            </w:r>
          </w:p>
        </w:tc>
        <w:tc>
          <w:tcPr>
            <w:tcW w:w="1588" w:type="dxa"/>
            <w:tcBorders>
              <w:top w:val="nil"/>
              <w:left w:val="nil"/>
              <w:bottom w:val="single" w:sz="4" w:space="0" w:color="auto"/>
              <w:right w:val="single" w:sz="4" w:space="0" w:color="auto"/>
            </w:tcBorders>
            <w:shd w:val="clear" w:color="auto" w:fill="auto"/>
            <w:noWrap/>
            <w:vAlign w:val="bottom"/>
            <w:hideMark/>
          </w:tcPr>
          <w:p w14:paraId="5520810F"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76</w:t>
            </w:r>
          </w:p>
        </w:tc>
        <w:tc>
          <w:tcPr>
            <w:tcW w:w="1417" w:type="dxa"/>
            <w:tcBorders>
              <w:top w:val="nil"/>
              <w:left w:val="nil"/>
              <w:bottom w:val="single" w:sz="4" w:space="0" w:color="auto"/>
              <w:right w:val="single" w:sz="4" w:space="0" w:color="auto"/>
            </w:tcBorders>
            <w:shd w:val="clear" w:color="auto" w:fill="auto"/>
            <w:noWrap/>
            <w:vAlign w:val="bottom"/>
            <w:hideMark/>
          </w:tcPr>
          <w:p w14:paraId="5B0411DC"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119</w:t>
            </w:r>
          </w:p>
        </w:tc>
        <w:tc>
          <w:tcPr>
            <w:tcW w:w="1411" w:type="dxa"/>
            <w:tcBorders>
              <w:top w:val="nil"/>
              <w:left w:val="nil"/>
              <w:bottom w:val="single" w:sz="4" w:space="0" w:color="auto"/>
              <w:right w:val="single" w:sz="4" w:space="0" w:color="auto"/>
            </w:tcBorders>
            <w:shd w:val="clear" w:color="auto" w:fill="auto"/>
            <w:noWrap/>
            <w:vAlign w:val="bottom"/>
            <w:hideMark/>
          </w:tcPr>
          <w:p w14:paraId="462E16F6"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86</w:t>
            </w:r>
          </w:p>
        </w:tc>
      </w:tr>
      <w:tr w:rsidR="00DC6FB6" w:rsidRPr="00244343" w14:paraId="7D100E21" w14:textId="77777777" w:rsidTr="00172E7E">
        <w:trPr>
          <w:trHeight w:val="264"/>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A5C25A9"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2015</w:t>
            </w:r>
          </w:p>
        </w:tc>
        <w:tc>
          <w:tcPr>
            <w:tcW w:w="840" w:type="dxa"/>
            <w:tcBorders>
              <w:top w:val="nil"/>
              <w:left w:val="nil"/>
              <w:bottom w:val="single" w:sz="4" w:space="0" w:color="auto"/>
              <w:right w:val="single" w:sz="4" w:space="0" w:color="auto"/>
            </w:tcBorders>
            <w:shd w:val="clear" w:color="auto" w:fill="auto"/>
            <w:noWrap/>
            <w:vAlign w:val="bottom"/>
            <w:hideMark/>
          </w:tcPr>
          <w:p w14:paraId="6C1DBEE6"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79</w:t>
            </w:r>
          </w:p>
        </w:tc>
        <w:tc>
          <w:tcPr>
            <w:tcW w:w="1469" w:type="dxa"/>
            <w:tcBorders>
              <w:top w:val="nil"/>
              <w:left w:val="nil"/>
              <w:bottom w:val="single" w:sz="4" w:space="0" w:color="auto"/>
              <w:right w:val="single" w:sz="4" w:space="0" w:color="auto"/>
            </w:tcBorders>
            <w:shd w:val="clear" w:color="auto" w:fill="auto"/>
            <w:noWrap/>
            <w:vAlign w:val="bottom"/>
            <w:hideMark/>
          </w:tcPr>
          <w:p w14:paraId="4C317D15"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110</w:t>
            </w:r>
          </w:p>
        </w:tc>
        <w:tc>
          <w:tcPr>
            <w:tcW w:w="1348" w:type="dxa"/>
            <w:tcBorders>
              <w:top w:val="nil"/>
              <w:left w:val="nil"/>
              <w:bottom w:val="single" w:sz="4" w:space="0" w:color="auto"/>
              <w:right w:val="single" w:sz="4" w:space="0" w:color="auto"/>
            </w:tcBorders>
            <w:shd w:val="clear" w:color="auto" w:fill="auto"/>
            <w:noWrap/>
            <w:vAlign w:val="bottom"/>
            <w:hideMark/>
          </w:tcPr>
          <w:p w14:paraId="21986E77"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46</w:t>
            </w:r>
          </w:p>
        </w:tc>
        <w:tc>
          <w:tcPr>
            <w:tcW w:w="1588" w:type="dxa"/>
            <w:tcBorders>
              <w:top w:val="nil"/>
              <w:left w:val="nil"/>
              <w:bottom w:val="single" w:sz="4" w:space="0" w:color="auto"/>
              <w:right w:val="single" w:sz="4" w:space="0" w:color="auto"/>
            </w:tcBorders>
            <w:shd w:val="clear" w:color="auto" w:fill="auto"/>
            <w:noWrap/>
            <w:vAlign w:val="bottom"/>
            <w:hideMark/>
          </w:tcPr>
          <w:p w14:paraId="6FD28AEB"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85</w:t>
            </w:r>
          </w:p>
        </w:tc>
        <w:tc>
          <w:tcPr>
            <w:tcW w:w="1417" w:type="dxa"/>
            <w:tcBorders>
              <w:top w:val="nil"/>
              <w:left w:val="nil"/>
              <w:bottom w:val="single" w:sz="4" w:space="0" w:color="auto"/>
              <w:right w:val="single" w:sz="4" w:space="0" w:color="auto"/>
            </w:tcBorders>
            <w:shd w:val="clear" w:color="auto" w:fill="auto"/>
            <w:noWrap/>
            <w:vAlign w:val="bottom"/>
            <w:hideMark/>
          </w:tcPr>
          <w:p w14:paraId="7B284258"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112</w:t>
            </w:r>
          </w:p>
        </w:tc>
        <w:tc>
          <w:tcPr>
            <w:tcW w:w="1411" w:type="dxa"/>
            <w:tcBorders>
              <w:top w:val="nil"/>
              <w:left w:val="nil"/>
              <w:bottom w:val="single" w:sz="4" w:space="0" w:color="auto"/>
              <w:right w:val="single" w:sz="4" w:space="0" w:color="auto"/>
            </w:tcBorders>
            <w:shd w:val="clear" w:color="auto" w:fill="auto"/>
            <w:noWrap/>
            <w:vAlign w:val="bottom"/>
            <w:hideMark/>
          </w:tcPr>
          <w:p w14:paraId="5286163D"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88</w:t>
            </w:r>
          </w:p>
        </w:tc>
      </w:tr>
      <w:tr w:rsidR="00DC6FB6" w:rsidRPr="00244343" w14:paraId="7F8158DA" w14:textId="77777777" w:rsidTr="00172E7E">
        <w:trPr>
          <w:trHeight w:val="264"/>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C7927"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0B90A7C3"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82</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14:paraId="4780881B"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96</w:t>
            </w:r>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14:paraId="28F24A5A"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21</w:t>
            </w:r>
          </w:p>
        </w:tc>
        <w:tc>
          <w:tcPr>
            <w:tcW w:w="1588" w:type="dxa"/>
            <w:tcBorders>
              <w:top w:val="single" w:sz="4" w:space="0" w:color="auto"/>
              <w:left w:val="nil"/>
              <w:bottom w:val="single" w:sz="4" w:space="0" w:color="auto"/>
              <w:right w:val="single" w:sz="4" w:space="0" w:color="auto"/>
            </w:tcBorders>
            <w:shd w:val="clear" w:color="auto" w:fill="auto"/>
            <w:noWrap/>
            <w:vAlign w:val="bottom"/>
            <w:hideMark/>
          </w:tcPr>
          <w:p w14:paraId="721B30AA"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826DF06"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105</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14:paraId="2646A6FF"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63</w:t>
            </w:r>
          </w:p>
        </w:tc>
      </w:tr>
      <w:tr w:rsidR="00DC6FB6" w:rsidRPr="00244343" w14:paraId="3C658C78" w14:textId="77777777" w:rsidTr="00172E7E">
        <w:trPr>
          <w:trHeight w:val="264"/>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03AA9B2"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2017</w:t>
            </w:r>
          </w:p>
        </w:tc>
        <w:tc>
          <w:tcPr>
            <w:tcW w:w="840" w:type="dxa"/>
            <w:tcBorders>
              <w:top w:val="nil"/>
              <w:left w:val="nil"/>
              <w:bottom w:val="single" w:sz="4" w:space="0" w:color="auto"/>
              <w:right w:val="single" w:sz="4" w:space="0" w:color="auto"/>
            </w:tcBorders>
            <w:shd w:val="clear" w:color="auto" w:fill="auto"/>
            <w:noWrap/>
            <w:vAlign w:val="bottom"/>
            <w:hideMark/>
          </w:tcPr>
          <w:p w14:paraId="058CC6F1"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75</w:t>
            </w:r>
          </w:p>
        </w:tc>
        <w:tc>
          <w:tcPr>
            <w:tcW w:w="1469" w:type="dxa"/>
            <w:tcBorders>
              <w:top w:val="nil"/>
              <w:left w:val="nil"/>
              <w:bottom w:val="single" w:sz="4" w:space="0" w:color="auto"/>
              <w:right w:val="single" w:sz="4" w:space="0" w:color="auto"/>
            </w:tcBorders>
            <w:shd w:val="clear" w:color="auto" w:fill="auto"/>
            <w:noWrap/>
            <w:vAlign w:val="bottom"/>
            <w:hideMark/>
          </w:tcPr>
          <w:p w14:paraId="04B8C4A6"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87</w:t>
            </w:r>
          </w:p>
        </w:tc>
        <w:tc>
          <w:tcPr>
            <w:tcW w:w="1348" w:type="dxa"/>
            <w:tcBorders>
              <w:top w:val="nil"/>
              <w:left w:val="nil"/>
              <w:bottom w:val="single" w:sz="4" w:space="0" w:color="auto"/>
              <w:right w:val="single" w:sz="4" w:space="0" w:color="auto"/>
            </w:tcBorders>
            <w:shd w:val="clear" w:color="auto" w:fill="auto"/>
            <w:noWrap/>
            <w:vAlign w:val="bottom"/>
            <w:hideMark/>
          </w:tcPr>
          <w:p w14:paraId="3F5CD784"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38</w:t>
            </w:r>
          </w:p>
        </w:tc>
        <w:tc>
          <w:tcPr>
            <w:tcW w:w="1588" w:type="dxa"/>
            <w:tcBorders>
              <w:top w:val="nil"/>
              <w:left w:val="nil"/>
              <w:bottom w:val="single" w:sz="4" w:space="0" w:color="auto"/>
              <w:right w:val="single" w:sz="4" w:space="0" w:color="auto"/>
            </w:tcBorders>
            <w:shd w:val="clear" w:color="auto" w:fill="auto"/>
            <w:noWrap/>
            <w:vAlign w:val="bottom"/>
            <w:hideMark/>
          </w:tcPr>
          <w:p w14:paraId="67C4BA2B"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63</w:t>
            </w:r>
          </w:p>
        </w:tc>
        <w:tc>
          <w:tcPr>
            <w:tcW w:w="1417" w:type="dxa"/>
            <w:tcBorders>
              <w:top w:val="nil"/>
              <w:left w:val="nil"/>
              <w:bottom w:val="single" w:sz="4" w:space="0" w:color="auto"/>
              <w:right w:val="single" w:sz="4" w:space="0" w:color="auto"/>
            </w:tcBorders>
            <w:shd w:val="clear" w:color="auto" w:fill="auto"/>
            <w:noWrap/>
            <w:vAlign w:val="bottom"/>
            <w:hideMark/>
          </w:tcPr>
          <w:p w14:paraId="0126EDF3"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109</w:t>
            </w:r>
          </w:p>
        </w:tc>
        <w:tc>
          <w:tcPr>
            <w:tcW w:w="1411" w:type="dxa"/>
            <w:tcBorders>
              <w:top w:val="nil"/>
              <w:left w:val="nil"/>
              <w:bottom w:val="single" w:sz="4" w:space="0" w:color="auto"/>
              <w:right w:val="single" w:sz="4" w:space="0" w:color="auto"/>
            </w:tcBorders>
            <w:shd w:val="clear" w:color="auto" w:fill="auto"/>
            <w:noWrap/>
            <w:vAlign w:val="bottom"/>
            <w:hideMark/>
          </w:tcPr>
          <w:p w14:paraId="4D832D16"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69</w:t>
            </w:r>
          </w:p>
        </w:tc>
      </w:tr>
      <w:tr w:rsidR="00DC6FB6" w:rsidRPr="00244343" w14:paraId="1E59F8E6" w14:textId="77777777" w:rsidTr="00172E7E">
        <w:trPr>
          <w:trHeight w:val="264"/>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ECAB6FB"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2018</w:t>
            </w:r>
          </w:p>
        </w:tc>
        <w:tc>
          <w:tcPr>
            <w:tcW w:w="840" w:type="dxa"/>
            <w:tcBorders>
              <w:top w:val="nil"/>
              <w:left w:val="nil"/>
              <w:bottom w:val="single" w:sz="4" w:space="0" w:color="auto"/>
              <w:right w:val="single" w:sz="4" w:space="0" w:color="auto"/>
            </w:tcBorders>
            <w:shd w:val="clear" w:color="auto" w:fill="auto"/>
            <w:noWrap/>
            <w:vAlign w:val="bottom"/>
            <w:hideMark/>
          </w:tcPr>
          <w:p w14:paraId="61DA776D"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78</w:t>
            </w:r>
          </w:p>
        </w:tc>
        <w:tc>
          <w:tcPr>
            <w:tcW w:w="1469" w:type="dxa"/>
            <w:tcBorders>
              <w:top w:val="nil"/>
              <w:left w:val="nil"/>
              <w:bottom w:val="single" w:sz="4" w:space="0" w:color="auto"/>
              <w:right w:val="single" w:sz="4" w:space="0" w:color="auto"/>
            </w:tcBorders>
            <w:shd w:val="clear" w:color="auto" w:fill="auto"/>
            <w:noWrap/>
            <w:vAlign w:val="bottom"/>
            <w:hideMark/>
          </w:tcPr>
          <w:p w14:paraId="15246BF0"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78</w:t>
            </w:r>
          </w:p>
        </w:tc>
        <w:tc>
          <w:tcPr>
            <w:tcW w:w="1348" w:type="dxa"/>
            <w:tcBorders>
              <w:top w:val="nil"/>
              <w:left w:val="nil"/>
              <w:bottom w:val="single" w:sz="4" w:space="0" w:color="auto"/>
              <w:right w:val="single" w:sz="4" w:space="0" w:color="auto"/>
            </w:tcBorders>
            <w:shd w:val="clear" w:color="auto" w:fill="auto"/>
            <w:noWrap/>
            <w:vAlign w:val="bottom"/>
            <w:hideMark/>
          </w:tcPr>
          <w:p w14:paraId="314D99C6"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37</w:t>
            </w:r>
          </w:p>
        </w:tc>
        <w:tc>
          <w:tcPr>
            <w:tcW w:w="1588" w:type="dxa"/>
            <w:tcBorders>
              <w:top w:val="nil"/>
              <w:left w:val="nil"/>
              <w:bottom w:val="single" w:sz="4" w:space="0" w:color="auto"/>
              <w:right w:val="single" w:sz="4" w:space="0" w:color="auto"/>
            </w:tcBorders>
            <w:shd w:val="clear" w:color="auto" w:fill="auto"/>
            <w:noWrap/>
            <w:vAlign w:val="bottom"/>
            <w:hideMark/>
          </w:tcPr>
          <w:p w14:paraId="091114A1"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72</w:t>
            </w:r>
          </w:p>
        </w:tc>
        <w:tc>
          <w:tcPr>
            <w:tcW w:w="1417" w:type="dxa"/>
            <w:tcBorders>
              <w:top w:val="nil"/>
              <w:left w:val="nil"/>
              <w:bottom w:val="single" w:sz="4" w:space="0" w:color="auto"/>
              <w:right w:val="single" w:sz="4" w:space="0" w:color="auto"/>
            </w:tcBorders>
            <w:shd w:val="clear" w:color="auto" w:fill="auto"/>
            <w:noWrap/>
            <w:vAlign w:val="bottom"/>
            <w:hideMark/>
          </w:tcPr>
          <w:p w14:paraId="6F5113D7"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111</w:t>
            </w:r>
          </w:p>
        </w:tc>
        <w:tc>
          <w:tcPr>
            <w:tcW w:w="1411" w:type="dxa"/>
            <w:tcBorders>
              <w:top w:val="nil"/>
              <w:left w:val="nil"/>
              <w:bottom w:val="single" w:sz="4" w:space="0" w:color="auto"/>
              <w:right w:val="single" w:sz="4" w:space="0" w:color="auto"/>
            </w:tcBorders>
            <w:shd w:val="clear" w:color="auto" w:fill="auto"/>
            <w:noWrap/>
            <w:vAlign w:val="bottom"/>
            <w:hideMark/>
          </w:tcPr>
          <w:p w14:paraId="14731785"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64</w:t>
            </w:r>
          </w:p>
        </w:tc>
      </w:tr>
      <w:tr w:rsidR="00DC6FB6" w:rsidRPr="00244343" w14:paraId="3F089D83" w14:textId="77777777" w:rsidTr="00172E7E">
        <w:trPr>
          <w:trHeight w:val="264"/>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CAE5024"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2019</w:t>
            </w:r>
          </w:p>
        </w:tc>
        <w:tc>
          <w:tcPr>
            <w:tcW w:w="840" w:type="dxa"/>
            <w:tcBorders>
              <w:top w:val="nil"/>
              <w:left w:val="nil"/>
              <w:bottom w:val="single" w:sz="4" w:space="0" w:color="auto"/>
              <w:right w:val="single" w:sz="4" w:space="0" w:color="auto"/>
            </w:tcBorders>
            <w:shd w:val="clear" w:color="auto" w:fill="auto"/>
            <w:noWrap/>
            <w:vAlign w:val="bottom"/>
            <w:hideMark/>
          </w:tcPr>
          <w:p w14:paraId="464564F2"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74</w:t>
            </w:r>
          </w:p>
        </w:tc>
        <w:tc>
          <w:tcPr>
            <w:tcW w:w="1469" w:type="dxa"/>
            <w:tcBorders>
              <w:top w:val="nil"/>
              <w:left w:val="nil"/>
              <w:bottom w:val="single" w:sz="4" w:space="0" w:color="auto"/>
              <w:right w:val="single" w:sz="4" w:space="0" w:color="auto"/>
            </w:tcBorders>
            <w:shd w:val="clear" w:color="auto" w:fill="auto"/>
            <w:noWrap/>
            <w:vAlign w:val="bottom"/>
            <w:hideMark/>
          </w:tcPr>
          <w:p w14:paraId="6F3E7918"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78</w:t>
            </w:r>
          </w:p>
        </w:tc>
        <w:tc>
          <w:tcPr>
            <w:tcW w:w="1348" w:type="dxa"/>
            <w:tcBorders>
              <w:top w:val="nil"/>
              <w:left w:val="nil"/>
              <w:bottom w:val="single" w:sz="4" w:space="0" w:color="auto"/>
              <w:right w:val="single" w:sz="4" w:space="0" w:color="auto"/>
            </w:tcBorders>
            <w:shd w:val="clear" w:color="auto" w:fill="auto"/>
            <w:noWrap/>
            <w:vAlign w:val="bottom"/>
            <w:hideMark/>
          </w:tcPr>
          <w:p w14:paraId="4AB87E1C"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33</w:t>
            </w:r>
          </w:p>
        </w:tc>
        <w:tc>
          <w:tcPr>
            <w:tcW w:w="1588" w:type="dxa"/>
            <w:tcBorders>
              <w:top w:val="nil"/>
              <w:left w:val="nil"/>
              <w:bottom w:val="single" w:sz="4" w:space="0" w:color="auto"/>
              <w:right w:val="single" w:sz="4" w:space="0" w:color="auto"/>
            </w:tcBorders>
            <w:shd w:val="clear" w:color="auto" w:fill="auto"/>
            <w:noWrap/>
            <w:vAlign w:val="bottom"/>
            <w:hideMark/>
          </w:tcPr>
          <w:p w14:paraId="22CAE3B2"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67</w:t>
            </w:r>
          </w:p>
        </w:tc>
        <w:tc>
          <w:tcPr>
            <w:tcW w:w="1417" w:type="dxa"/>
            <w:tcBorders>
              <w:top w:val="nil"/>
              <w:left w:val="nil"/>
              <w:bottom w:val="single" w:sz="4" w:space="0" w:color="auto"/>
              <w:right w:val="single" w:sz="4" w:space="0" w:color="auto"/>
            </w:tcBorders>
            <w:shd w:val="clear" w:color="auto" w:fill="auto"/>
            <w:noWrap/>
            <w:vAlign w:val="bottom"/>
            <w:hideMark/>
          </w:tcPr>
          <w:p w14:paraId="5C8DF03D"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110</w:t>
            </w:r>
          </w:p>
        </w:tc>
        <w:tc>
          <w:tcPr>
            <w:tcW w:w="1411" w:type="dxa"/>
            <w:tcBorders>
              <w:top w:val="nil"/>
              <w:left w:val="nil"/>
              <w:bottom w:val="single" w:sz="4" w:space="0" w:color="auto"/>
              <w:right w:val="single" w:sz="4" w:space="0" w:color="auto"/>
            </w:tcBorders>
            <w:shd w:val="clear" w:color="auto" w:fill="auto"/>
            <w:noWrap/>
            <w:vAlign w:val="bottom"/>
            <w:hideMark/>
          </w:tcPr>
          <w:p w14:paraId="4C46466D"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61</w:t>
            </w:r>
          </w:p>
        </w:tc>
      </w:tr>
      <w:tr w:rsidR="00DC6FB6" w:rsidRPr="00244343" w14:paraId="29DF978D" w14:textId="77777777" w:rsidTr="00172E7E">
        <w:trPr>
          <w:trHeight w:val="264"/>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88F833B"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2020</w:t>
            </w:r>
          </w:p>
        </w:tc>
        <w:tc>
          <w:tcPr>
            <w:tcW w:w="840" w:type="dxa"/>
            <w:tcBorders>
              <w:top w:val="nil"/>
              <w:left w:val="nil"/>
              <w:bottom w:val="single" w:sz="4" w:space="0" w:color="auto"/>
              <w:right w:val="single" w:sz="4" w:space="0" w:color="auto"/>
            </w:tcBorders>
            <w:shd w:val="clear" w:color="auto" w:fill="auto"/>
            <w:noWrap/>
            <w:vAlign w:val="bottom"/>
            <w:hideMark/>
          </w:tcPr>
          <w:p w14:paraId="44AA43B4"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79</w:t>
            </w:r>
          </w:p>
        </w:tc>
        <w:tc>
          <w:tcPr>
            <w:tcW w:w="1469" w:type="dxa"/>
            <w:tcBorders>
              <w:top w:val="nil"/>
              <w:left w:val="nil"/>
              <w:bottom w:val="single" w:sz="4" w:space="0" w:color="auto"/>
              <w:right w:val="single" w:sz="4" w:space="0" w:color="auto"/>
            </w:tcBorders>
            <w:shd w:val="clear" w:color="auto" w:fill="auto"/>
            <w:noWrap/>
            <w:vAlign w:val="bottom"/>
            <w:hideMark/>
          </w:tcPr>
          <w:p w14:paraId="52F41EFD"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71</w:t>
            </w:r>
          </w:p>
        </w:tc>
        <w:tc>
          <w:tcPr>
            <w:tcW w:w="1348" w:type="dxa"/>
            <w:tcBorders>
              <w:top w:val="nil"/>
              <w:left w:val="nil"/>
              <w:bottom w:val="single" w:sz="4" w:space="0" w:color="auto"/>
              <w:right w:val="single" w:sz="4" w:space="0" w:color="auto"/>
            </w:tcBorders>
            <w:shd w:val="clear" w:color="auto" w:fill="auto"/>
            <w:noWrap/>
            <w:vAlign w:val="bottom"/>
            <w:hideMark/>
          </w:tcPr>
          <w:p w14:paraId="7A55BE80"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w:t>
            </w:r>
          </w:p>
        </w:tc>
        <w:tc>
          <w:tcPr>
            <w:tcW w:w="1588" w:type="dxa"/>
            <w:tcBorders>
              <w:top w:val="nil"/>
              <w:left w:val="nil"/>
              <w:bottom w:val="single" w:sz="4" w:space="0" w:color="auto"/>
              <w:right w:val="single" w:sz="4" w:space="0" w:color="auto"/>
            </w:tcBorders>
            <w:shd w:val="clear" w:color="auto" w:fill="auto"/>
            <w:noWrap/>
            <w:vAlign w:val="bottom"/>
            <w:hideMark/>
          </w:tcPr>
          <w:p w14:paraId="467A3899"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68</w:t>
            </w:r>
          </w:p>
        </w:tc>
        <w:tc>
          <w:tcPr>
            <w:tcW w:w="1417" w:type="dxa"/>
            <w:tcBorders>
              <w:top w:val="nil"/>
              <w:left w:val="nil"/>
              <w:bottom w:val="single" w:sz="4" w:space="0" w:color="auto"/>
              <w:right w:val="single" w:sz="4" w:space="0" w:color="auto"/>
            </w:tcBorders>
            <w:shd w:val="clear" w:color="auto" w:fill="auto"/>
            <w:noWrap/>
            <w:vAlign w:val="bottom"/>
            <w:hideMark/>
          </w:tcPr>
          <w:p w14:paraId="59DA2869"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114</w:t>
            </w:r>
          </w:p>
        </w:tc>
        <w:tc>
          <w:tcPr>
            <w:tcW w:w="1411" w:type="dxa"/>
            <w:tcBorders>
              <w:top w:val="nil"/>
              <w:left w:val="nil"/>
              <w:bottom w:val="single" w:sz="4" w:space="0" w:color="auto"/>
              <w:right w:val="single" w:sz="4" w:space="0" w:color="auto"/>
            </w:tcBorders>
            <w:shd w:val="clear" w:color="auto" w:fill="auto"/>
            <w:noWrap/>
            <w:vAlign w:val="bottom"/>
            <w:hideMark/>
          </w:tcPr>
          <w:p w14:paraId="214D3464"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70</w:t>
            </w:r>
          </w:p>
        </w:tc>
      </w:tr>
      <w:tr w:rsidR="00DC6FB6" w:rsidRPr="00244343" w14:paraId="7201B126" w14:textId="77777777" w:rsidTr="00172E7E">
        <w:trPr>
          <w:trHeight w:val="264"/>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1C5D10C"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2021</w:t>
            </w:r>
          </w:p>
        </w:tc>
        <w:tc>
          <w:tcPr>
            <w:tcW w:w="840" w:type="dxa"/>
            <w:tcBorders>
              <w:top w:val="nil"/>
              <w:left w:val="nil"/>
              <w:bottom w:val="single" w:sz="4" w:space="0" w:color="auto"/>
              <w:right w:val="single" w:sz="4" w:space="0" w:color="auto"/>
            </w:tcBorders>
            <w:shd w:val="clear" w:color="auto" w:fill="auto"/>
            <w:noWrap/>
            <w:vAlign w:val="bottom"/>
            <w:hideMark/>
          </w:tcPr>
          <w:p w14:paraId="1CF15E27"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77</w:t>
            </w:r>
          </w:p>
        </w:tc>
        <w:tc>
          <w:tcPr>
            <w:tcW w:w="1469" w:type="dxa"/>
            <w:tcBorders>
              <w:top w:val="nil"/>
              <w:left w:val="nil"/>
              <w:bottom w:val="single" w:sz="4" w:space="0" w:color="auto"/>
              <w:right w:val="single" w:sz="4" w:space="0" w:color="auto"/>
            </w:tcBorders>
            <w:shd w:val="clear" w:color="auto" w:fill="auto"/>
            <w:noWrap/>
            <w:vAlign w:val="bottom"/>
            <w:hideMark/>
          </w:tcPr>
          <w:p w14:paraId="72B5B8C3"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78</w:t>
            </w:r>
          </w:p>
        </w:tc>
        <w:tc>
          <w:tcPr>
            <w:tcW w:w="1348" w:type="dxa"/>
            <w:tcBorders>
              <w:top w:val="nil"/>
              <w:left w:val="nil"/>
              <w:bottom w:val="single" w:sz="4" w:space="0" w:color="auto"/>
              <w:right w:val="single" w:sz="4" w:space="0" w:color="auto"/>
            </w:tcBorders>
            <w:shd w:val="clear" w:color="auto" w:fill="auto"/>
            <w:noWrap/>
            <w:vAlign w:val="bottom"/>
            <w:hideMark/>
          </w:tcPr>
          <w:p w14:paraId="407E0355"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w:t>
            </w:r>
          </w:p>
        </w:tc>
        <w:tc>
          <w:tcPr>
            <w:tcW w:w="1588" w:type="dxa"/>
            <w:tcBorders>
              <w:top w:val="nil"/>
              <w:left w:val="nil"/>
              <w:bottom w:val="single" w:sz="4" w:space="0" w:color="auto"/>
              <w:right w:val="single" w:sz="4" w:space="0" w:color="auto"/>
            </w:tcBorders>
            <w:shd w:val="clear" w:color="auto" w:fill="auto"/>
            <w:noWrap/>
            <w:vAlign w:val="bottom"/>
            <w:hideMark/>
          </w:tcPr>
          <w:p w14:paraId="3D529C56"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95</w:t>
            </w:r>
          </w:p>
        </w:tc>
        <w:tc>
          <w:tcPr>
            <w:tcW w:w="1417" w:type="dxa"/>
            <w:tcBorders>
              <w:top w:val="nil"/>
              <w:left w:val="nil"/>
              <w:bottom w:val="single" w:sz="4" w:space="0" w:color="auto"/>
              <w:right w:val="single" w:sz="4" w:space="0" w:color="auto"/>
            </w:tcBorders>
            <w:shd w:val="clear" w:color="auto" w:fill="auto"/>
            <w:noWrap/>
            <w:vAlign w:val="bottom"/>
            <w:hideMark/>
          </w:tcPr>
          <w:p w14:paraId="25445B85"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117</w:t>
            </w:r>
          </w:p>
        </w:tc>
        <w:tc>
          <w:tcPr>
            <w:tcW w:w="1411" w:type="dxa"/>
            <w:tcBorders>
              <w:top w:val="nil"/>
              <w:left w:val="nil"/>
              <w:bottom w:val="single" w:sz="4" w:space="0" w:color="auto"/>
              <w:right w:val="single" w:sz="4" w:space="0" w:color="auto"/>
            </w:tcBorders>
            <w:shd w:val="clear" w:color="auto" w:fill="auto"/>
            <w:noWrap/>
            <w:vAlign w:val="bottom"/>
            <w:hideMark/>
          </w:tcPr>
          <w:p w14:paraId="4A77D3B5"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60</w:t>
            </w:r>
          </w:p>
        </w:tc>
      </w:tr>
      <w:tr w:rsidR="00DC6FB6" w:rsidRPr="00244343" w14:paraId="40B025A5" w14:textId="77777777" w:rsidTr="00172E7E">
        <w:trPr>
          <w:trHeight w:val="264"/>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5F5FC4F"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2022</w:t>
            </w:r>
          </w:p>
        </w:tc>
        <w:tc>
          <w:tcPr>
            <w:tcW w:w="840" w:type="dxa"/>
            <w:tcBorders>
              <w:top w:val="nil"/>
              <w:left w:val="nil"/>
              <w:bottom w:val="single" w:sz="4" w:space="0" w:color="auto"/>
              <w:right w:val="single" w:sz="4" w:space="0" w:color="auto"/>
            </w:tcBorders>
            <w:shd w:val="clear" w:color="auto" w:fill="auto"/>
            <w:noWrap/>
            <w:vAlign w:val="bottom"/>
            <w:hideMark/>
          </w:tcPr>
          <w:p w14:paraId="08DD4622"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83</w:t>
            </w:r>
          </w:p>
        </w:tc>
        <w:tc>
          <w:tcPr>
            <w:tcW w:w="1469" w:type="dxa"/>
            <w:tcBorders>
              <w:top w:val="nil"/>
              <w:left w:val="nil"/>
              <w:bottom w:val="single" w:sz="4" w:space="0" w:color="auto"/>
              <w:right w:val="single" w:sz="4" w:space="0" w:color="auto"/>
            </w:tcBorders>
            <w:shd w:val="clear" w:color="auto" w:fill="auto"/>
            <w:noWrap/>
            <w:vAlign w:val="bottom"/>
            <w:hideMark/>
          </w:tcPr>
          <w:p w14:paraId="2BD83B41"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68</w:t>
            </w:r>
          </w:p>
        </w:tc>
        <w:tc>
          <w:tcPr>
            <w:tcW w:w="1348" w:type="dxa"/>
            <w:tcBorders>
              <w:top w:val="nil"/>
              <w:left w:val="nil"/>
              <w:bottom w:val="single" w:sz="4" w:space="0" w:color="auto"/>
              <w:right w:val="single" w:sz="4" w:space="0" w:color="auto"/>
            </w:tcBorders>
            <w:shd w:val="clear" w:color="auto" w:fill="auto"/>
            <w:noWrap/>
            <w:vAlign w:val="bottom"/>
            <w:hideMark/>
          </w:tcPr>
          <w:p w14:paraId="2165E93C"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57</w:t>
            </w:r>
          </w:p>
        </w:tc>
        <w:tc>
          <w:tcPr>
            <w:tcW w:w="1588" w:type="dxa"/>
            <w:tcBorders>
              <w:top w:val="nil"/>
              <w:left w:val="nil"/>
              <w:bottom w:val="single" w:sz="4" w:space="0" w:color="auto"/>
              <w:right w:val="single" w:sz="4" w:space="0" w:color="auto"/>
            </w:tcBorders>
            <w:shd w:val="clear" w:color="auto" w:fill="auto"/>
            <w:noWrap/>
            <w:vAlign w:val="bottom"/>
            <w:hideMark/>
          </w:tcPr>
          <w:p w14:paraId="5DB15440"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117</w:t>
            </w:r>
          </w:p>
        </w:tc>
        <w:tc>
          <w:tcPr>
            <w:tcW w:w="1417" w:type="dxa"/>
            <w:tcBorders>
              <w:top w:val="nil"/>
              <w:left w:val="nil"/>
              <w:bottom w:val="single" w:sz="4" w:space="0" w:color="auto"/>
              <w:right w:val="single" w:sz="4" w:space="0" w:color="auto"/>
            </w:tcBorders>
            <w:shd w:val="clear" w:color="auto" w:fill="auto"/>
            <w:noWrap/>
            <w:vAlign w:val="bottom"/>
            <w:hideMark/>
          </w:tcPr>
          <w:p w14:paraId="76F9F097"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120</w:t>
            </w:r>
          </w:p>
        </w:tc>
        <w:tc>
          <w:tcPr>
            <w:tcW w:w="1411" w:type="dxa"/>
            <w:tcBorders>
              <w:top w:val="nil"/>
              <w:left w:val="nil"/>
              <w:bottom w:val="single" w:sz="4" w:space="0" w:color="auto"/>
              <w:right w:val="single" w:sz="4" w:space="0" w:color="auto"/>
            </w:tcBorders>
            <w:shd w:val="clear" w:color="auto" w:fill="auto"/>
            <w:noWrap/>
            <w:vAlign w:val="bottom"/>
            <w:hideMark/>
          </w:tcPr>
          <w:p w14:paraId="6D8FCCC9"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63</w:t>
            </w:r>
          </w:p>
        </w:tc>
      </w:tr>
      <w:tr w:rsidR="00DC6FB6" w:rsidRPr="00244343" w14:paraId="392369FE" w14:textId="77777777" w:rsidTr="00172E7E">
        <w:trPr>
          <w:trHeight w:val="264"/>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0A0F0B3"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2023</w:t>
            </w:r>
          </w:p>
        </w:tc>
        <w:tc>
          <w:tcPr>
            <w:tcW w:w="840" w:type="dxa"/>
            <w:tcBorders>
              <w:top w:val="nil"/>
              <w:left w:val="nil"/>
              <w:bottom w:val="single" w:sz="4" w:space="0" w:color="auto"/>
              <w:right w:val="single" w:sz="4" w:space="0" w:color="auto"/>
            </w:tcBorders>
            <w:shd w:val="clear" w:color="auto" w:fill="auto"/>
            <w:noWrap/>
            <w:vAlign w:val="bottom"/>
            <w:hideMark/>
          </w:tcPr>
          <w:p w14:paraId="793EE0FC"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81</w:t>
            </w:r>
          </w:p>
        </w:tc>
        <w:tc>
          <w:tcPr>
            <w:tcW w:w="1469" w:type="dxa"/>
            <w:tcBorders>
              <w:top w:val="nil"/>
              <w:left w:val="nil"/>
              <w:bottom w:val="single" w:sz="4" w:space="0" w:color="auto"/>
              <w:right w:val="single" w:sz="4" w:space="0" w:color="auto"/>
            </w:tcBorders>
            <w:shd w:val="clear" w:color="auto" w:fill="auto"/>
            <w:noWrap/>
            <w:vAlign w:val="bottom"/>
            <w:hideMark/>
          </w:tcPr>
          <w:p w14:paraId="7C4A1B34"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75</w:t>
            </w:r>
          </w:p>
        </w:tc>
        <w:tc>
          <w:tcPr>
            <w:tcW w:w="1348" w:type="dxa"/>
            <w:tcBorders>
              <w:top w:val="nil"/>
              <w:left w:val="nil"/>
              <w:bottom w:val="single" w:sz="4" w:space="0" w:color="auto"/>
              <w:right w:val="single" w:sz="4" w:space="0" w:color="auto"/>
            </w:tcBorders>
            <w:shd w:val="clear" w:color="auto" w:fill="auto"/>
            <w:noWrap/>
            <w:vAlign w:val="bottom"/>
            <w:hideMark/>
          </w:tcPr>
          <w:p w14:paraId="42029D3D"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70</w:t>
            </w:r>
          </w:p>
        </w:tc>
        <w:tc>
          <w:tcPr>
            <w:tcW w:w="1588" w:type="dxa"/>
            <w:tcBorders>
              <w:top w:val="nil"/>
              <w:left w:val="nil"/>
              <w:bottom w:val="single" w:sz="4" w:space="0" w:color="auto"/>
              <w:right w:val="single" w:sz="4" w:space="0" w:color="auto"/>
            </w:tcBorders>
            <w:shd w:val="clear" w:color="auto" w:fill="auto"/>
            <w:noWrap/>
            <w:vAlign w:val="bottom"/>
            <w:hideMark/>
          </w:tcPr>
          <w:p w14:paraId="79571708"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117</w:t>
            </w:r>
          </w:p>
        </w:tc>
        <w:tc>
          <w:tcPr>
            <w:tcW w:w="1417" w:type="dxa"/>
            <w:tcBorders>
              <w:top w:val="nil"/>
              <w:left w:val="nil"/>
              <w:bottom w:val="single" w:sz="4" w:space="0" w:color="auto"/>
              <w:right w:val="single" w:sz="4" w:space="0" w:color="auto"/>
            </w:tcBorders>
            <w:shd w:val="clear" w:color="auto" w:fill="auto"/>
            <w:noWrap/>
            <w:vAlign w:val="bottom"/>
            <w:hideMark/>
          </w:tcPr>
          <w:p w14:paraId="1D1B8100"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118</w:t>
            </w:r>
          </w:p>
        </w:tc>
        <w:tc>
          <w:tcPr>
            <w:tcW w:w="1411" w:type="dxa"/>
            <w:tcBorders>
              <w:top w:val="nil"/>
              <w:left w:val="nil"/>
              <w:bottom w:val="single" w:sz="4" w:space="0" w:color="auto"/>
              <w:right w:val="single" w:sz="4" w:space="0" w:color="auto"/>
            </w:tcBorders>
            <w:shd w:val="clear" w:color="auto" w:fill="auto"/>
            <w:noWrap/>
            <w:vAlign w:val="bottom"/>
            <w:hideMark/>
          </w:tcPr>
          <w:p w14:paraId="4330907A" w14:textId="77777777" w:rsidR="0001723B" w:rsidRPr="00244343" w:rsidRDefault="0001723B" w:rsidP="00FC4291">
            <w:pPr>
              <w:spacing w:after="0" w:line="240" w:lineRule="auto"/>
              <w:jc w:val="right"/>
              <w:rPr>
                <w:rFonts w:ascii="Times New Roman" w:eastAsia="Times New Roman" w:hAnsi="Times New Roman" w:cs="Times New Roman"/>
                <w:sz w:val="28"/>
                <w:szCs w:val="28"/>
              </w:rPr>
            </w:pPr>
            <w:r w:rsidRPr="00244343">
              <w:rPr>
                <w:rFonts w:ascii="Times New Roman" w:eastAsia="Times New Roman" w:hAnsi="Times New Roman" w:cs="Times New Roman"/>
                <w:sz w:val="28"/>
                <w:szCs w:val="28"/>
              </w:rPr>
              <w:t>71</w:t>
            </w:r>
          </w:p>
        </w:tc>
      </w:tr>
    </w:tbl>
    <w:p w14:paraId="1EA60EAA" w14:textId="77777777" w:rsidR="0001723B" w:rsidRPr="00244343" w:rsidRDefault="0001723B" w:rsidP="0001723B">
      <w:pPr>
        <w:spacing w:after="0" w:line="240" w:lineRule="auto"/>
        <w:contextualSpacing/>
        <w:jc w:val="both"/>
        <w:rPr>
          <w:rFonts w:ascii="Times New Roman" w:hAnsi="Times New Roman" w:cs="Times New Roman"/>
          <w:sz w:val="28"/>
          <w:szCs w:val="28"/>
          <w:lang w:val="en-US"/>
        </w:rPr>
      </w:pPr>
    </w:p>
    <w:p w14:paraId="638D5DFB" w14:textId="77777777" w:rsidR="0001723B" w:rsidRPr="00244343" w:rsidRDefault="0001723B" w:rsidP="0001723B">
      <w:pPr>
        <w:rPr>
          <w:rFonts w:ascii="Times New Roman" w:hAnsi="Times New Roman" w:cs="Times New Roman"/>
          <w:sz w:val="28"/>
          <w:szCs w:val="28"/>
          <w:lang w:val="en-US"/>
        </w:rPr>
      </w:pPr>
      <w:r w:rsidRPr="00244343">
        <w:rPr>
          <w:rFonts w:ascii="Times New Roman" w:hAnsi="Times New Roman" w:cs="Times New Roman"/>
          <w:sz w:val="28"/>
          <w:szCs w:val="28"/>
          <w:lang w:val="en-US"/>
        </w:rPr>
        <w:br w:type="page"/>
      </w:r>
    </w:p>
    <w:p w14:paraId="68574DF3" w14:textId="17EF0D72" w:rsidR="0001723B" w:rsidRDefault="0001723B" w:rsidP="0001723B">
      <w:pPr>
        <w:spacing w:line="240" w:lineRule="auto"/>
        <w:jc w:val="center"/>
        <w:rPr>
          <w:rFonts w:ascii="Times New Roman" w:hAnsi="Times New Roman" w:cs="Times New Roman"/>
          <w:b/>
          <w:bCs/>
          <w:sz w:val="28"/>
          <w:szCs w:val="28"/>
          <w:lang w:val="en-US"/>
        </w:rPr>
      </w:pPr>
      <w:r w:rsidRPr="00244343">
        <w:rPr>
          <w:rFonts w:ascii="Times New Roman" w:hAnsi="Times New Roman" w:cs="Times New Roman"/>
          <w:b/>
          <w:bCs/>
          <w:sz w:val="28"/>
          <w:szCs w:val="28"/>
          <w:lang w:val="en-US"/>
        </w:rPr>
        <w:lastRenderedPageBreak/>
        <w:t xml:space="preserve">APPENDIX </w:t>
      </w:r>
      <w:r w:rsidR="008E6E5F">
        <w:rPr>
          <w:rFonts w:ascii="Times New Roman" w:hAnsi="Times New Roman" w:cs="Times New Roman"/>
          <w:b/>
          <w:bCs/>
          <w:sz w:val="28"/>
          <w:szCs w:val="28"/>
          <w:lang w:val="en-US"/>
        </w:rPr>
        <w:t>C</w:t>
      </w:r>
    </w:p>
    <w:p w14:paraId="15D39892" w14:textId="77777777" w:rsidR="0001723B" w:rsidRPr="0001723B" w:rsidRDefault="0001723B" w:rsidP="0001723B">
      <w:pPr>
        <w:spacing w:line="240" w:lineRule="auto"/>
        <w:jc w:val="center"/>
        <w:rPr>
          <w:rFonts w:ascii="Times New Roman" w:hAnsi="Times New Roman" w:cs="Times New Roman"/>
          <w:b/>
          <w:bCs/>
          <w:sz w:val="28"/>
          <w:szCs w:val="28"/>
          <w:lang w:val="en-US"/>
        </w:rPr>
      </w:pPr>
    </w:p>
    <w:tbl>
      <w:tblPr>
        <w:tblW w:w="10008" w:type="dxa"/>
        <w:jc w:val="center"/>
        <w:tblLayout w:type="fixed"/>
        <w:tblLook w:val="0000" w:firstRow="0" w:lastRow="0" w:firstColumn="0" w:lastColumn="0" w:noHBand="0" w:noVBand="0"/>
      </w:tblPr>
      <w:tblGrid>
        <w:gridCol w:w="5051"/>
        <w:gridCol w:w="4957"/>
      </w:tblGrid>
      <w:tr w:rsidR="0001723B" w:rsidRPr="00244343" w14:paraId="29E69127" w14:textId="77777777" w:rsidTr="00FC4291">
        <w:trPr>
          <w:jc w:val="center"/>
        </w:trPr>
        <w:tc>
          <w:tcPr>
            <w:tcW w:w="5051" w:type="dxa"/>
            <w:tcBorders>
              <w:right w:val="single" w:sz="4" w:space="0" w:color="auto"/>
            </w:tcBorders>
          </w:tcPr>
          <w:p w14:paraId="78564428" w14:textId="77777777" w:rsidR="0001723B" w:rsidRPr="00244343" w:rsidRDefault="0001723B" w:rsidP="00FC4291">
            <w:pPr>
              <w:spacing w:line="240" w:lineRule="auto"/>
              <w:rPr>
                <w:rFonts w:ascii="Times New Roman" w:hAnsi="Times New Roman" w:cs="Times New Roman"/>
                <w:b/>
                <w:sz w:val="28"/>
                <w:szCs w:val="28"/>
                <w:lang w:val="en-US"/>
              </w:rPr>
            </w:pPr>
          </w:p>
        </w:tc>
        <w:tc>
          <w:tcPr>
            <w:tcW w:w="4957" w:type="dxa"/>
            <w:tcBorders>
              <w:top w:val="single" w:sz="4" w:space="0" w:color="auto"/>
              <w:left w:val="single" w:sz="4" w:space="0" w:color="auto"/>
              <w:bottom w:val="single" w:sz="4" w:space="0" w:color="auto"/>
              <w:right w:val="single" w:sz="4" w:space="0" w:color="auto"/>
            </w:tcBorders>
          </w:tcPr>
          <w:p w14:paraId="2081AD6A" w14:textId="77777777" w:rsidR="0001723B" w:rsidRPr="00244343" w:rsidRDefault="0001723B" w:rsidP="00FC4291">
            <w:pPr>
              <w:pStyle w:val="question"/>
              <w:rPr>
                <w:sz w:val="28"/>
                <w:szCs w:val="28"/>
                <w:lang w:val="en-US" w:eastAsia="ru-RU"/>
              </w:rPr>
            </w:pPr>
            <w:r w:rsidRPr="00244343">
              <w:rPr>
                <w:caps/>
                <w:sz w:val="28"/>
                <w:szCs w:val="28"/>
                <w:lang w:val="en-US"/>
              </w:rPr>
              <w:t>Survey #</w:t>
            </w:r>
          </w:p>
        </w:tc>
      </w:tr>
      <w:tr w:rsidR="0001723B" w:rsidRPr="000E0481" w14:paraId="580522FB" w14:textId="77777777" w:rsidTr="00FC4291">
        <w:trPr>
          <w:trHeight w:val="55"/>
          <w:jc w:val="center"/>
        </w:trPr>
        <w:tc>
          <w:tcPr>
            <w:tcW w:w="5051" w:type="dxa"/>
            <w:tcBorders>
              <w:right w:val="single" w:sz="4" w:space="0" w:color="auto"/>
            </w:tcBorders>
          </w:tcPr>
          <w:p w14:paraId="0D5B5040" w14:textId="77777777" w:rsidR="0001723B" w:rsidRPr="00244343" w:rsidRDefault="0001723B" w:rsidP="00FC4291">
            <w:pPr>
              <w:spacing w:line="240" w:lineRule="auto"/>
              <w:rPr>
                <w:rFonts w:ascii="Times New Roman" w:hAnsi="Times New Roman" w:cs="Times New Roman"/>
                <w:b/>
                <w:sz w:val="28"/>
                <w:szCs w:val="28"/>
                <w:lang w:val="en-US"/>
              </w:rPr>
            </w:pPr>
          </w:p>
        </w:tc>
        <w:tc>
          <w:tcPr>
            <w:tcW w:w="4957" w:type="dxa"/>
            <w:tcBorders>
              <w:top w:val="single" w:sz="4" w:space="0" w:color="auto"/>
              <w:left w:val="single" w:sz="4" w:space="0" w:color="auto"/>
              <w:bottom w:val="single" w:sz="4" w:space="0" w:color="auto"/>
              <w:right w:val="single" w:sz="4" w:space="0" w:color="auto"/>
            </w:tcBorders>
          </w:tcPr>
          <w:p w14:paraId="03225AE1" w14:textId="77777777" w:rsidR="0001723B" w:rsidRPr="00244343" w:rsidRDefault="0001723B" w:rsidP="00FC4291">
            <w:pPr>
              <w:pStyle w:val="6"/>
              <w:spacing w:before="0"/>
              <w:rPr>
                <w:rFonts w:ascii="Times New Roman" w:hAnsi="Times New Roman" w:cs="Times New Roman"/>
                <w:bCs/>
                <w:color w:val="auto"/>
                <w:sz w:val="28"/>
                <w:szCs w:val="28"/>
                <w:lang w:val="en-US"/>
              </w:rPr>
            </w:pPr>
            <w:r w:rsidRPr="00244343">
              <w:rPr>
                <w:rFonts w:ascii="Times New Roman" w:hAnsi="Times New Roman" w:cs="Times New Roman"/>
                <w:bCs/>
                <w:color w:val="auto"/>
                <w:sz w:val="28"/>
                <w:szCs w:val="28"/>
                <w:lang w:val="en-US"/>
              </w:rPr>
              <w:t>Triple helix survey for PhD dissertation project</w:t>
            </w:r>
          </w:p>
        </w:tc>
      </w:tr>
    </w:tbl>
    <w:p w14:paraId="581BEEB2" w14:textId="77777777" w:rsidR="0001723B" w:rsidRPr="00244343" w:rsidRDefault="0001723B" w:rsidP="0001723B">
      <w:pPr>
        <w:pStyle w:val="a4"/>
        <w:spacing w:before="0" w:beforeAutospacing="0" w:after="0" w:afterAutospacing="0"/>
        <w:jc w:val="both"/>
        <w:rPr>
          <w:sz w:val="28"/>
          <w:szCs w:val="28"/>
          <w:lang w:val="en-US"/>
        </w:rPr>
      </w:pPr>
    </w:p>
    <w:p w14:paraId="42A108A4" w14:textId="2A0E3559" w:rsidR="0001723B" w:rsidRPr="00244343" w:rsidRDefault="0001723B" w:rsidP="0001723B">
      <w:pPr>
        <w:pStyle w:val="a4"/>
        <w:spacing w:before="0" w:beforeAutospacing="0" w:after="0" w:afterAutospacing="0"/>
        <w:ind w:firstLine="709"/>
        <w:jc w:val="both"/>
        <w:rPr>
          <w:sz w:val="28"/>
          <w:szCs w:val="28"/>
          <w:lang w:val="en-US"/>
        </w:rPr>
      </w:pPr>
      <w:r w:rsidRPr="00244343">
        <w:rPr>
          <w:sz w:val="28"/>
          <w:szCs w:val="28"/>
          <w:lang w:val="en-US"/>
        </w:rPr>
        <w:t>Hello, we are conducting a poll of university graduates in Kazakhstan to discuss strategies that help them get employment in their specialty. The responses collected from the survey will be used for research purposes related to the doctoral dissertation We invite you to participate in our survey, which will take about 10 minutes. All information acquired from you will be used only in aggregate form. We guarantee 100% confidentiality and anonymity of your personal data and answers. Thank you very much for your involvement!</w:t>
      </w:r>
    </w:p>
    <w:p w14:paraId="36D55D96" w14:textId="77777777" w:rsidR="0001723B" w:rsidRPr="00244343" w:rsidRDefault="0001723B" w:rsidP="0001723B">
      <w:pPr>
        <w:pStyle w:val="a4"/>
        <w:spacing w:before="0" w:beforeAutospacing="0" w:after="0" w:afterAutospacing="0"/>
        <w:jc w:val="both"/>
        <w:rPr>
          <w:sz w:val="28"/>
          <w:szCs w:val="28"/>
          <w:lang w:val="en-US"/>
        </w:rPr>
      </w:pPr>
    </w:p>
    <w:tbl>
      <w:tblPr>
        <w:tblW w:w="980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298"/>
        <w:gridCol w:w="3668"/>
        <w:gridCol w:w="3842"/>
      </w:tblGrid>
      <w:tr w:rsidR="0001723B" w:rsidRPr="00244343" w14:paraId="65C2A4CA" w14:textId="77777777" w:rsidTr="00FC4291">
        <w:trPr>
          <w:cantSplit/>
          <w:trHeight w:val="62"/>
          <w:jc w:val="center"/>
        </w:trPr>
        <w:tc>
          <w:tcPr>
            <w:tcW w:w="2298" w:type="dxa"/>
            <w:tcBorders>
              <w:top w:val="single" w:sz="4" w:space="0" w:color="auto"/>
              <w:left w:val="single" w:sz="4" w:space="0" w:color="auto"/>
              <w:bottom w:val="single" w:sz="6" w:space="0" w:color="auto"/>
              <w:right w:val="single" w:sz="6" w:space="0" w:color="auto"/>
            </w:tcBorders>
            <w:vAlign w:val="center"/>
          </w:tcPr>
          <w:p w14:paraId="32740D73" w14:textId="77777777" w:rsidR="0001723B" w:rsidRPr="00244343" w:rsidRDefault="0001723B" w:rsidP="00FC4291">
            <w:pPr>
              <w:spacing w:line="240" w:lineRule="auto"/>
              <w:rPr>
                <w:rFonts w:ascii="Times New Roman" w:hAnsi="Times New Roman" w:cs="Times New Roman"/>
                <w:sz w:val="28"/>
                <w:szCs w:val="28"/>
                <w:lang w:val="en-US"/>
              </w:rPr>
            </w:pPr>
            <w:r w:rsidRPr="00244343">
              <w:rPr>
                <w:rFonts w:ascii="Times New Roman" w:hAnsi="Times New Roman" w:cs="Times New Roman"/>
                <w:sz w:val="28"/>
                <w:szCs w:val="28"/>
                <w:lang w:val="en-US"/>
              </w:rPr>
              <w:t>Respondent name</w:t>
            </w:r>
          </w:p>
        </w:tc>
        <w:tc>
          <w:tcPr>
            <w:tcW w:w="7510" w:type="dxa"/>
            <w:gridSpan w:val="2"/>
            <w:tcBorders>
              <w:top w:val="single" w:sz="4" w:space="0" w:color="auto"/>
              <w:left w:val="single" w:sz="6" w:space="0" w:color="auto"/>
              <w:bottom w:val="single" w:sz="6" w:space="0" w:color="auto"/>
              <w:right w:val="single" w:sz="4" w:space="0" w:color="auto"/>
            </w:tcBorders>
            <w:vAlign w:val="center"/>
          </w:tcPr>
          <w:p w14:paraId="2934B2F8" w14:textId="77777777" w:rsidR="0001723B" w:rsidRPr="00244343" w:rsidRDefault="0001723B" w:rsidP="00FC4291">
            <w:pPr>
              <w:pStyle w:val="af"/>
              <w:rPr>
                <w:rFonts w:ascii="Times New Roman" w:hAnsi="Times New Roman" w:cs="Times New Roman"/>
                <w:sz w:val="28"/>
                <w:szCs w:val="28"/>
                <w:lang w:val="en-US"/>
              </w:rPr>
            </w:pPr>
          </w:p>
        </w:tc>
      </w:tr>
      <w:tr w:rsidR="0001723B" w:rsidRPr="00244343" w14:paraId="27B79CB6" w14:textId="77777777" w:rsidTr="00FC4291">
        <w:trPr>
          <w:cantSplit/>
          <w:trHeight w:val="62"/>
          <w:jc w:val="center"/>
        </w:trPr>
        <w:tc>
          <w:tcPr>
            <w:tcW w:w="2298" w:type="dxa"/>
            <w:tcBorders>
              <w:top w:val="single" w:sz="4" w:space="0" w:color="auto"/>
              <w:left w:val="single" w:sz="4" w:space="0" w:color="auto"/>
              <w:bottom w:val="single" w:sz="6" w:space="0" w:color="auto"/>
              <w:right w:val="single" w:sz="6" w:space="0" w:color="auto"/>
            </w:tcBorders>
            <w:vAlign w:val="center"/>
          </w:tcPr>
          <w:p w14:paraId="7738CB45" w14:textId="77777777" w:rsidR="0001723B" w:rsidRPr="00244343" w:rsidRDefault="0001723B" w:rsidP="00FC4291">
            <w:pPr>
              <w:spacing w:line="240" w:lineRule="auto"/>
              <w:rPr>
                <w:rFonts w:ascii="Times New Roman" w:hAnsi="Times New Roman" w:cs="Times New Roman"/>
                <w:sz w:val="28"/>
                <w:szCs w:val="28"/>
                <w:lang w:val="en-US"/>
              </w:rPr>
            </w:pPr>
            <w:r w:rsidRPr="00244343">
              <w:rPr>
                <w:rFonts w:ascii="Times New Roman" w:hAnsi="Times New Roman" w:cs="Times New Roman"/>
                <w:sz w:val="28"/>
                <w:szCs w:val="28"/>
                <w:lang w:val="en-US"/>
              </w:rPr>
              <w:t>Region</w:t>
            </w:r>
          </w:p>
          <w:p w14:paraId="58DB19DD" w14:textId="77777777" w:rsidR="0001723B" w:rsidRPr="00244343" w:rsidRDefault="0001723B" w:rsidP="00FC4291">
            <w:pPr>
              <w:spacing w:line="240" w:lineRule="auto"/>
              <w:rPr>
                <w:rFonts w:ascii="Times New Roman" w:hAnsi="Times New Roman" w:cs="Times New Roman"/>
                <w:b/>
                <w:sz w:val="28"/>
                <w:szCs w:val="28"/>
                <w:lang w:val="en-US"/>
              </w:rPr>
            </w:pPr>
          </w:p>
        </w:tc>
        <w:tc>
          <w:tcPr>
            <w:tcW w:w="3668" w:type="dxa"/>
            <w:tcBorders>
              <w:top w:val="single" w:sz="4" w:space="0" w:color="auto"/>
              <w:left w:val="single" w:sz="6" w:space="0" w:color="auto"/>
              <w:bottom w:val="single" w:sz="6" w:space="0" w:color="auto"/>
              <w:right w:val="single" w:sz="4" w:space="0" w:color="auto"/>
            </w:tcBorders>
            <w:vAlign w:val="center"/>
          </w:tcPr>
          <w:p w14:paraId="687C209A" w14:textId="77777777" w:rsidR="0001723B" w:rsidRPr="00244343" w:rsidRDefault="0001723B" w:rsidP="001B500C">
            <w:pPr>
              <w:pStyle w:val="ad"/>
              <w:numPr>
                <w:ilvl w:val="0"/>
                <w:numId w:val="24"/>
              </w:numPr>
              <w:spacing w:after="0" w:line="240" w:lineRule="auto"/>
              <w:ind w:left="333"/>
              <w:contextualSpacing w:val="0"/>
              <w:rPr>
                <w:rFonts w:ascii="Times New Roman" w:hAnsi="Times New Roman" w:cs="Times New Roman"/>
                <w:sz w:val="28"/>
                <w:szCs w:val="28"/>
                <w:lang w:val="en-US"/>
              </w:rPr>
            </w:pPr>
            <w:r w:rsidRPr="00244343">
              <w:rPr>
                <w:rFonts w:ascii="Times New Roman" w:hAnsi="Times New Roman" w:cs="Times New Roman"/>
                <w:sz w:val="28"/>
                <w:szCs w:val="28"/>
                <w:lang w:val="en-US"/>
              </w:rPr>
              <w:t>Akmola region</w:t>
            </w:r>
          </w:p>
          <w:p w14:paraId="7CFBB4AB" w14:textId="77777777" w:rsidR="0001723B" w:rsidRPr="00244343" w:rsidRDefault="0001723B" w:rsidP="001B500C">
            <w:pPr>
              <w:pStyle w:val="ad"/>
              <w:numPr>
                <w:ilvl w:val="0"/>
                <w:numId w:val="24"/>
              </w:numPr>
              <w:spacing w:after="0" w:line="240" w:lineRule="auto"/>
              <w:ind w:left="333"/>
              <w:contextualSpacing w:val="0"/>
              <w:rPr>
                <w:rFonts w:ascii="Times New Roman" w:hAnsi="Times New Roman" w:cs="Times New Roman"/>
                <w:sz w:val="28"/>
                <w:szCs w:val="28"/>
                <w:lang w:val="en-US"/>
              </w:rPr>
            </w:pPr>
            <w:r w:rsidRPr="00244343">
              <w:rPr>
                <w:rFonts w:ascii="Times New Roman" w:hAnsi="Times New Roman" w:cs="Times New Roman"/>
                <w:sz w:val="28"/>
                <w:szCs w:val="28"/>
                <w:lang w:val="en-US"/>
              </w:rPr>
              <w:t>Aktobe region</w:t>
            </w:r>
          </w:p>
          <w:p w14:paraId="5F4F0692" w14:textId="77777777" w:rsidR="0001723B" w:rsidRPr="00244343" w:rsidRDefault="0001723B" w:rsidP="001B500C">
            <w:pPr>
              <w:pStyle w:val="ad"/>
              <w:numPr>
                <w:ilvl w:val="0"/>
                <w:numId w:val="24"/>
              </w:numPr>
              <w:spacing w:after="0" w:line="240" w:lineRule="auto"/>
              <w:ind w:left="333"/>
              <w:contextualSpacing w:val="0"/>
              <w:rPr>
                <w:rFonts w:ascii="Times New Roman" w:hAnsi="Times New Roman" w:cs="Times New Roman"/>
                <w:sz w:val="28"/>
                <w:szCs w:val="28"/>
                <w:lang w:val="en-US"/>
              </w:rPr>
            </w:pPr>
            <w:r w:rsidRPr="00244343">
              <w:rPr>
                <w:rFonts w:ascii="Times New Roman" w:hAnsi="Times New Roman" w:cs="Times New Roman"/>
                <w:sz w:val="28"/>
                <w:szCs w:val="28"/>
                <w:lang w:val="en-US"/>
              </w:rPr>
              <w:t>Almaty region</w:t>
            </w:r>
          </w:p>
          <w:p w14:paraId="75BBF204" w14:textId="77777777" w:rsidR="0001723B" w:rsidRPr="00244343" w:rsidRDefault="0001723B" w:rsidP="001B500C">
            <w:pPr>
              <w:pStyle w:val="ad"/>
              <w:numPr>
                <w:ilvl w:val="0"/>
                <w:numId w:val="24"/>
              </w:numPr>
              <w:spacing w:after="0" w:line="240" w:lineRule="auto"/>
              <w:ind w:left="333"/>
              <w:contextualSpacing w:val="0"/>
              <w:rPr>
                <w:rFonts w:ascii="Times New Roman" w:hAnsi="Times New Roman" w:cs="Times New Roman"/>
                <w:sz w:val="28"/>
                <w:szCs w:val="28"/>
                <w:lang w:val="en-US"/>
              </w:rPr>
            </w:pPr>
            <w:r w:rsidRPr="00244343">
              <w:rPr>
                <w:rFonts w:ascii="Times New Roman" w:hAnsi="Times New Roman" w:cs="Times New Roman"/>
                <w:sz w:val="28"/>
                <w:szCs w:val="28"/>
                <w:lang w:val="en-US"/>
              </w:rPr>
              <w:t>Atyrau region</w:t>
            </w:r>
          </w:p>
          <w:p w14:paraId="464081A2" w14:textId="77777777" w:rsidR="0001723B" w:rsidRPr="00244343" w:rsidRDefault="0001723B" w:rsidP="001B500C">
            <w:pPr>
              <w:pStyle w:val="ad"/>
              <w:numPr>
                <w:ilvl w:val="0"/>
                <w:numId w:val="24"/>
              </w:numPr>
              <w:spacing w:after="0" w:line="240" w:lineRule="auto"/>
              <w:ind w:left="333"/>
              <w:contextualSpacing w:val="0"/>
              <w:rPr>
                <w:rFonts w:ascii="Times New Roman" w:hAnsi="Times New Roman" w:cs="Times New Roman"/>
                <w:sz w:val="28"/>
                <w:szCs w:val="28"/>
                <w:lang w:val="en-US"/>
              </w:rPr>
            </w:pPr>
            <w:r w:rsidRPr="00244343">
              <w:rPr>
                <w:rFonts w:ascii="Times New Roman" w:hAnsi="Times New Roman" w:cs="Times New Roman"/>
                <w:sz w:val="28"/>
                <w:szCs w:val="28"/>
                <w:lang w:val="en-US"/>
              </w:rPr>
              <w:t>Western Kazakhstan region</w:t>
            </w:r>
          </w:p>
          <w:p w14:paraId="33B9F932" w14:textId="77777777" w:rsidR="0001723B" w:rsidRPr="00244343" w:rsidRDefault="0001723B" w:rsidP="001B500C">
            <w:pPr>
              <w:pStyle w:val="ad"/>
              <w:numPr>
                <w:ilvl w:val="0"/>
                <w:numId w:val="24"/>
              </w:numPr>
              <w:spacing w:after="0" w:line="240" w:lineRule="auto"/>
              <w:ind w:left="333"/>
              <w:contextualSpacing w:val="0"/>
              <w:rPr>
                <w:rFonts w:ascii="Times New Roman" w:hAnsi="Times New Roman" w:cs="Times New Roman"/>
                <w:sz w:val="28"/>
                <w:szCs w:val="28"/>
                <w:lang w:val="en-US"/>
              </w:rPr>
            </w:pPr>
            <w:proofErr w:type="spellStart"/>
            <w:r w:rsidRPr="00244343">
              <w:rPr>
                <w:rFonts w:ascii="Times New Roman" w:hAnsi="Times New Roman" w:cs="Times New Roman"/>
                <w:sz w:val="28"/>
                <w:szCs w:val="28"/>
                <w:lang w:val="en-US"/>
              </w:rPr>
              <w:t>Zhambyl</w:t>
            </w:r>
            <w:proofErr w:type="spellEnd"/>
            <w:r w:rsidRPr="00244343">
              <w:rPr>
                <w:rFonts w:ascii="Times New Roman" w:hAnsi="Times New Roman" w:cs="Times New Roman"/>
                <w:sz w:val="28"/>
                <w:szCs w:val="28"/>
                <w:lang w:val="en-US"/>
              </w:rPr>
              <w:t xml:space="preserve"> region</w:t>
            </w:r>
          </w:p>
          <w:p w14:paraId="0099C8BD" w14:textId="77777777" w:rsidR="0001723B" w:rsidRPr="00244343" w:rsidRDefault="0001723B" w:rsidP="001B500C">
            <w:pPr>
              <w:pStyle w:val="ad"/>
              <w:numPr>
                <w:ilvl w:val="0"/>
                <w:numId w:val="24"/>
              </w:numPr>
              <w:spacing w:after="0" w:line="240" w:lineRule="auto"/>
              <w:ind w:left="333"/>
              <w:contextualSpacing w:val="0"/>
              <w:rPr>
                <w:rFonts w:ascii="Times New Roman" w:hAnsi="Times New Roman" w:cs="Times New Roman"/>
                <w:sz w:val="28"/>
                <w:szCs w:val="28"/>
                <w:lang w:val="en-US"/>
              </w:rPr>
            </w:pPr>
            <w:proofErr w:type="spellStart"/>
            <w:r w:rsidRPr="00244343">
              <w:rPr>
                <w:rFonts w:ascii="Times New Roman" w:hAnsi="Times New Roman" w:cs="Times New Roman"/>
                <w:sz w:val="28"/>
                <w:szCs w:val="28"/>
                <w:lang w:val="en-US"/>
              </w:rPr>
              <w:t>Karagandy</w:t>
            </w:r>
            <w:proofErr w:type="spellEnd"/>
            <w:r w:rsidRPr="00244343">
              <w:rPr>
                <w:rFonts w:ascii="Times New Roman" w:hAnsi="Times New Roman" w:cs="Times New Roman"/>
                <w:sz w:val="28"/>
                <w:szCs w:val="28"/>
                <w:lang w:val="en-US"/>
              </w:rPr>
              <w:t xml:space="preserve"> region</w:t>
            </w:r>
          </w:p>
          <w:p w14:paraId="26B69869" w14:textId="77777777" w:rsidR="0001723B" w:rsidRPr="00244343" w:rsidRDefault="0001723B" w:rsidP="001B500C">
            <w:pPr>
              <w:pStyle w:val="ad"/>
              <w:numPr>
                <w:ilvl w:val="0"/>
                <w:numId w:val="24"/>
              </w:numPr>
              <w:spacing w:after="0" w:line="240" w:lineRule="auto"/>
              <w:ind w:left="333"/>
              <w:contextualSpacing w:val="0"/>
              <w:rPr>
                <w:rFonts w:ascii="Times New Roman" w:hAnsi="Times New Roman" w:cs="Times New Roman"/>
                <w:sz w:val="28"/>
                <w:szCs w:val="28"/>
                <w:lang w:val="en-US"/>
              </w:rPr>
            </w:pPr>
            <w:r w:rsidRPr="00244343">
              <w:rPr>
                <w:rFonts w:ascii="Times New Roman" w:hAnsi="Times New Roman" w:cs="Times New Roman"/>
                <w:sz w:val="28"/>
                <w:szCs w:val="28"/>
                <w:lang w:val="en-US"/>
              </w:rPr>
              <w:t>Kostanay region</w:t>
            </w:r>
          </w:p>
          <w:p w14:paraId="4601ABE4" w14:textId="77777777" w:rsidR="0001723B" w:rsidRPr="00244343" w:rsidRDefault="0001723B" w:rsidP="001B500C">
            <w:pPr>
              <w:pStyle w:val="ad"/>
              <w:numPr>
                <w:ilvl w:val="0"/>
                <w:numId w:val="24"/>
              </w:numPr>
              <w:spacing w:after="0" w:line="240" w:lineRule="auto"/>
              <w:ind w:left="333"/>
              <w:contextualSpacing w:val="0"/>
              <w:rPr>
                <w:rFonts w:ascii="Times New Roman" w:hAnsi="Times New Roman" w:cs="Times New Roman"/>
                <w:sz w:val="28"/>
                <w:szCs w:val="28"/>
                <w:lang w:val="en-US"/>
              </w:rPr>
            </w:pPr>
            <w:r w:rsidRPr="00244343">
              <w:rPr>
                <w:rFonts w:ascii="Times New Roman" w:hAnsi="Times New Roman" w:cs="Times New Roman"/>
                <w:sz w:val="28"/>
                <w:szCs w:val="28"/>
                <w:lang w:val="en-US"/>
              </w:rPr>
              <w:t>Kyzylorda region</w:t>
            </w:r>
          </w:p>
        </w:tc>
        <w:tc>
          <w:tcPr>
            <w:tcW w:w="3842" w:type="dxa"/>
            <w:tcBorders>
              <w:top w:val="single" w:sz="4" w:space="0" w:color="auto"/>
              <w:left w:val="single" w:sz="6" w:space="0" w:color="auto"/>
              <w:bottom w:val="single" w:sz="6" w:space="0" w:color="auto"/>
              <w:right w:val="single" w:sz="4" w:space="0" w:color="auto"/>
            </w:tcBorders>
            <w:vAlign w:val="center"/>
          </w:tcPr>
          <w:p w14:paraId="492C3490" w14:textId="77777777" w:rsidR="0001723B" w:rsidRPr="00244343" w:rsidRDefault="0001723B" w:rsidP="001B500C">
            <w:pPr>
              <w:pStyle w:val="ad"/>
              <w:numPr>
                <w:ilvl w:val="0"/>
                <w:numId w:val="24"/>
              </w:numPr>
              <w:spacing w:after="0" w:line="240" w:lineRule="auto"/>
              <w:ind w:left="333"/>
              <w:contextualSpacing w:val="0"/>
              <w:rPr>
                <w:rFonts w:ascii="Times New Roman" w:hAnsi="Times New Roman" w:cs="Times New Roman"/>
                <w:sz w:val="28"/>
                <w:szCs w:val="28"/>
                <w:lang w:val="en-US"/>
              </w:rPr>
            </w:pPr>
            <w:r w:rsidRPr="00244343">
              <w:rPr>
                <w:rFonts w:ascii="Times New Roman" w:hAnsi="Times New Roman" w:cs="Times New Roman"/>
                <w:sz w:val="28"/>
                <w:szCs w:val="28"/>
                <w:lang w:val="en-US"/>
              </w:rPr>
              <w:t>Mangistau region</w:t>
            </w:r>
          </w:p>
          <w:p w14:paraId="3FE95BAB" w14:textId="77777777" w:rsidR="0001723B" w:rsidRPr="00244343" w:rsidRDefault="0001723B" w:rsidP="001B500C">
            <w:pPr>
              <w:pStyle w:val="ad"/>
              <w:numPr>
                <w:ilvl w:val="0"/>
                <w:numId w:val="24"/>
              </w:numPr>
              <w:spacing w:after="0" w:line="240" w:lineRule="auto"/>
              <w:ind w:left="333"/>
              <w:contextualSpacing w:val="0"/>
              <w:rPr>
                <w:rFonts w:ascii="Times New Roman" w:hAnsi="Times New Roman" w:cs="Times New Roman"/>
                <w:sz w:val="28"/>
                <w:szCs w:val="28"/>
                <w:lang w:val="en-US"/>
              </w:rPr>
            </w:pPr>
            <w:r w:rsidRPr="00244343">
              <w:rPr>
                <w:rFonts w:ascii="Times New Roman" w:hAnsi="Times New Roman" w:cs="Times New Roman"/>
                <w:sz w:val="28"/>
                <w:szCs w:val="28"/>
                <w:lang w:val="en-US"/>
              </w:rPr>
              <w:t>Turkestan region</w:t>
            </w:r>
          </w:p>
          <w:p w14:paraId="766E836A" w14:textId="77777777" w:rsidR="0001723B" w:rsidRPr="00244343" w:rsidRDefault="0001723B" w:rsidP="001B500C">
            <w:pPr>
              <w:pStyle w:val="ad"/>
              <w:numPr>
                <w:ilvl w:val="0"/>
                <w:numId w:val="24"/>
              </w:numPr>
              <w:spacing w:after="0" w:line="240" w:lineRule="auto"/>
              <w:ind w:left="333"/>
              <w:contextualSpacing w:val="0"/>
              <w:rPr>
                <w:rFonts w:ascii="Times New Roman" w:hAnsi="Times New Roman" w:cs="Times New Roman"/>
                <w:sz w:val="28"/>
                <w:szCs w:val="28"/>
                <w:lang w:val="en-US"/>
              </w:rPr>
            </w:pPr>
            <w:r w:rsidRPr="00244343">
              <w:rPr>
                <w:rFonts w:ascii="Times New Roman" w:hAnsi="Times New Roman" w:cs="Times New Roman"/>
                <w:sz w:val="28"/>
                <w:szCs w:val="28"/>
                <w:lang w:val="en-US"/>
              </w:rPr>
              <w:t>Pavlodar region</w:t>
            </w:r>
          </w:p>
          <w:p w14:paraId="08B4609D" w14:textId="77777777" w:rsidR="0001723B" w:rsidRPr="00244343" w:rsidRDefault="0001723B" w:rsidP="001B500C">
            <w:pPr>
              <w:pStyle w:val="ad"/>
              <w:numPr>
                <w:ilvl w:val="0"/>
                <w:numId w:val="24"/>
              </w:numPr>
              <w:spacing w:after="0" w:line="240" w:lineRule="auto"/>
              <w:ind w:left="333"/>
              <w:contextualSpacing w:val="0"/>
              <w:rPr>
                <w:rFonts w:ascii="Times New Roman" w:hAnsi="Times New Roman" w:cs="Times New Roman"/>
                <w:sz w:val="28"/>
                <w:szCs w:val="28"/>
                <w:lang w:val="en-US"/>
              </w:rPr>
            </w:pPr>
            <w:r w:rsidRPr="00244343">
              <w:rPr>
                <w:rFonts w:ascii="Times New Roman" w:hAnsi="Times New Roman" w:cs="Times New Roman"/>
                <w:sz w:val="28"/>
                <w:szCs w:val="28"/>
                <w:lang w:val="en-US"/>
              </w:rPr>
              <w:t>Northern Kazakhstan region</w:t>
            </w:r>
          </w:p>
          <w:p w14:paraId="0AEB181E" w14:textId="77777777" w:rsidR="0001723B" w:rsidRPr="00244343" w:rsidRDefault="0001723B" w:rsidP="001B500C">
            <w:pPr>
              <w:pStyle w:val="ad"/>
              <w:numPr>
                <w:ilvl w:val="0"/>
                <w:numId w:val="24"/>
              </w:numPr>
              <w:spacing w:after="0" w:line="240" w:lineRule="auto"/>
              <w:ind w:left="333"/>
              <w:contextualSpacing w:val="0"/>
              <w:rPr>
                <w:rFonts w:ascii="Times New Roman" w:hAnsi="Times New Roman" w:cs="Times New Roman"/>
                <w:sz w:val="28"/>
                <w:szCs w:val="28"/>
                <w:lang w:val="en-US"/>
              </w:rPr>
            </w:pPr>
            <w:r w:rsidRPr="00244343">
              <w:rPr>
                <w:rFonts w:ascii="Times New Roman" w:hAnsi="Times New Roman" w:cs="Times New Roman"/>
                <w:sz w:val="28"/>
                <w:szCs w:val="28"/>
                <w:lang w:val="en-US"/>
              </w:rPr>
              <w:t>Eastern Kazakhstan region</w:t>
            </w:r>
          </w:p>
          <w:p w14:paraId="7808E966" w14:textId="77777777" w:rsidR="0001723B" w:rsidRPr="00244343" w:rsidRDefault="0001723B" w:rsidP="001B500C">
            <w:pPr>
              <w:pStyle w:val="ad"/>
              <w:numPr>
                <w:ilvl w:val="0"/>
                <w:numId w:val="24"/>
              </w:numPr>
              <w:spacing w:after="0" w:line="240" w:lineRule="auto"/>
              <w:ind w:left="333"/>
              <w:contextualSpacing w:val="0"/>
              <w:rPr>
                <w:rFonts w:ascii="Times New Roman" w:hAnsi="Times New Roman" w:cs="Times New Roman"/>
                <w:sz w:val="28"/>
                <w:szCs w:val="28"/>
                <w:lang w:val="en-US"/>
              </w:rPr>
            </w:pPr>
            <w:r w:rsidRPr="00244343">
              <w:rPr>
                <w:rFonts w:ascii="Times New Roman" w:hAnsi="Times New Roman" w:cs="Times New Roman"/>
                <w:sz w:val="28"/>
                <w:szCs w:val="28"/>
                <w:lang w:val="en-US"/>
              </w:rPr>
              <w:t>Astana city</w:t>
            </w:r>
          </w:p>
          <w:p w14:paraId="08EED83B" w14:textId="77777777" w:rsidR="0001723B" w:rsidRPr="00244343" w:rsidRDefault="0001723B" w:rsidP="001B500C">
            <w:pPr>
              <w:pStyle w:val="ad"/>
              <w:numPr>
                <w:ilvl w:val="0"/>
                <w:numId w:val="24"/>
              </w:numPr>
              <w:spacing w:after="0" w:line="240" w:lineRule="auto"/>
              <w:ind w:left="333"/>
              <w:contextualSpacing w:val="0"/>
              <w:rPr>
                <w:rFonts w:ascii="Times New Roman" w:hAnsi="Times New Roman" w:cs="Times New Roman"/>
                <w:sz w:val="28"/>
                <w:szCs w:val="28"/>
                <w:lang w:val="en-US"/>
              </w:rPr>
            </w:pPr>
            <w:r w:rsidRPr="00244343">
              <w:rPr>
                <w:rFonts w:ascii="Times New Roman" w:hAnsi="Times New Roman" w:cs="Times New Roman"/>
                <w:sz w:val="28"/>
                <w:szCs w:val="28"/>
                <w:lang w:val="en-US"/>
              </w:rPr>
              <w:t>Almaty city</w:t>
            </w:r>
          </w:p>
          <w:p w14:paraId="4DEA11BF" w14:textId="77777777" w:rsidR="0001723B" w:rsidRPr="00244343" w:rsidRDefault="0001723B" w:rsidP="001B500C">
            <w:pPr>
              <w:pStyle w:val="ad"/>
              <w:numPr>
                <w:ilvl w:val="0"/>
                <w:numId w:val="24"/>
              </w:numPr>
              <w:spacing w:after="0" w:line="240" w:lineRule="auto"/>
              <w:ind w:left="333"/>
              <w:contextualSpacing w:val="0"/>
              <w:rPr>
                <w:rFonts w:ascii="Times New Roman" w:hAnsi="Times New Roman" w:cs="Times New Roman"/>
                <w:sz w:val="28"/>
                <w:szCs w:val="28"/>
                <w:lang w:val="en-US"/>
              </w:rPr>
            </w:pPr>
            <w:r w:rsidRPr="00244343">
              <w:rPr>
                <w:rFonts w:ascii="Times New Roman" w:hAnsi="Times New Roman" w:cs="Times New Roman"/>
                <w:sz w:val="28"/>
                <w:szCs w:val="28"/>
                <w:lang w:val="en-US"/>
              </w:rPr>
              <w:t>Shymkent city</w:t>
            </w:r>
          </w:p>
        </w:tc>
      </w:tr>
      <w:tr w:rsidR="0001723B" w:rsidRPr="00244343" w14:paraId="7B99822F" w14:textId="77777777" w:rsidTr="00FC4291">
        <w:trPr>
          <w:cantSplit/>
          <w:trHeight w:val="62"/>
          <w:jc w:val="center"/>
        </w:trPr>
        <w:tc>
          <w:tcPr>
            <w:tcW w:w="2298" w:type="dxa"/>
            <w:tcBorders>
              <w:top w:val="single" w:sz="4" w:space="0" w:color="auto"/>
              <w:left w:val="single" w:sz="4" w:space="0" w:color="auto"/>
              <w:bottom w:val="single" w:sz="6" w:space="0" w:color="auto"/>
              <w:right w:val="single" w:sz="6" w:space="0" w:color="auto"/>
            </w:tcBorders>
            <w:vAlign w:val="center"/>
          </w:tcPr>
          <w:p w14:paraId="4A03C12B" w14:textId="77777777" w:rsidR="0001723B" w:rsidRPr="00244343" w:rsidRDefault="0001723B" w:rsidP="00FC4291">
            <w:pPr>
              <w:spacing w:line="240" w:lineRule="auto"/>
              <w:rPr>
                <w:rFonts w:ascii="Times New Roman" w:hAnsi="Times New Roman" w:cs="Times New Roman"/>
                <w:sz w:val="28"/>
                <w:szCs w:val="28"/>
                <w:lang w:val="en-US"/>
              </w:rPr>
            </w:pPr>
            <w:r w:rsidRPr="00244343">
              <w:rPr>
                <w:rFonts w:ascii="Times New Roman" w:hAnsi="Times New Roman" w:cs="Times New Roman"/>
                <w:sz w:val="28"/>
                <w:szCs w:val="28"/>
                <w:lang w:val="en-US"/>
              </w:rPr>
              <w:t>Inhabited locality type</w:t>
            </w:r>
          </w:p>
        </w:tc>
        <w:tc>
          <w:tcPr>
            <w:tcW w:w="7510" w:type="dxa"/>
            <w:gridSpan w:val="2"/>
            <w:tcBorders>
              <w:top w:val="single" w:sz="4" w:space="0" w:color="auto"/>
              <w:left w:val="single" w:sz="6" w:space="0" w:color="auto"/>
              <w:bottom w:val="single" w:sz="6" w:space="0" w:color="auto"/>
              <w:right w:val="single" w:sz="4" w:space="0" w:color="auto"/>
            </w:tcBorders>
            <w:vAlign w:val="center"/>
          </w:tcPr>
          <w:p w14:paraId="0D165A4D" w14:textId="77777777" w:rsidR="0001723B" w:rsidRPr="00244343" w:rsidRDefault="0001723B" w:rsidP="001B500C">
            <w:pPr>
              <w:pStyle w:val="ad"/>
              <w:numPr>
                <w:ilvl w:val="0"/>
                <w:numId w:val="26"/>
              </w:numPr>
              <w:spacing w:after="0" w:line="240" w:lineRule="auto"/>
              <w:contextualSpacing w:val="0"/>
              <w:rPr>
                <w:rFonts w:ascii="Times New Roman" w:hAnsi="Times New Roman" w:cs="Times New Roman"/>
                <w:sz w:val="28"/>
                <w:szCs w:val="28"/>
                <w:lang w:val="en-US"/>
              </w:rPr>
            </w:pPr>
            <w:r w:rsidRPr="00244343">
              <w:rPr>
                <w:rFonts w:ascii="Times New Roman" w:hAnsi="Times New Roman" w:cs="Times New Roman"/>
                <w:sz w:val="28"/>
                <w:szCs w:val="28"/>
                <w:lang w:val="en-US"/>
              </w:rPr>
              <w:t>City</w:t>
            </w:r>
          </w:p>
          <w:p w14:paraId="2D9300FC" w14:textId="77777777" w:rsidR="0001723B" w:rsidRPr="00244343" w:rsidRDefault="0001723B" w:rsidP="001B500C">
            <w:pPr>
              <w:pStyle w:val="ad"/>
              <w:numPr>
                <w:ilvl w:val="0"/>
                <w:numId w:val="26"/>
              </w:numPr>
              <w:spacing w:after="0" w:line="240" w:lineRule="auto"/>
              <w:contextualSpacing w:val="0"/>
              <w:rPr>
                <w:rFonts w:ascii="Times New Roman" w:hAnsi="Times New Roman" w:cs="Times New Roman"/>
                <w:sz w:val="28"/>
                <w:szCs w:val="28"/>
                <w:lang w:val="en-US"/>
              </w:rPr>
            </w:pPr>
            <w:r w:rsidRPr="00244343">
              <w:rPr>
                <w:rFonts w:ascii="Times New Roman" w:hAnsi="Times New Roman" w:cs="Times New Roman"/>
                <w:sz w:val="28"/>
                <w:szCs w:val="28"/>
                <w:lang w:val="en-US"/>
              </w:rPr>
              <w:t>Village</w:t>
            </w:r>
          </w:p>
        </w:tc>
      </w:tr>
      <w:tr w:rsidR="0001723B" w:rsidRPr="00244343" w14:paraId="0525A879" w14:textId="77777777" w:rsidTr="00FC4291">
        <w:trPr>
          <w:trHeight w:val="217"/>
          <w:jc w:val="center"/>
        </w:trPr>
        <w:tc>
          <w:tcPr>
            <w:tcW w:w="2298" w:type="dxa"/>
            <w:tcBorders>
              <w:top w:val="single" w:sz="6" w:space="0" w:color="auto"/>
              <w:left w:val="single" w:sz="4" w:space="0" w:color="auto"/>
              <w:bottom w:val="single" w:sz="6" w:space="0" w:color="auto"/>
              <w:right w:val="single" w:sz="6" w:space="0" w:color="auto"/>
            </w:tcBorders>
            <w:vAlign w:val="center"/>
          </w:tcPr>
          <w:p w14:paraId="4B243F95" w14:textId="77777777" w:rsidR="0001723B" w:rsidRPr="00244343" w:rsidRDefault="0001723B" w:rsidP="00FC4291">
            <w:pPr>
              <w:spacing w:line="240" w:lineRule="auto"/>
              <w:rPr>
                <w:rFonts w:ascii="Times New Roman" w:hAnsi="Times New Roman" w:cs="Times New Roman"/>
                <w:sz w:val="28"/>
                <w:szCs w:val="28"/>
                <w:lang w:val="en-US"/>
              </w:rPr>
            </w:pPr>
            <w:r w:rsidRPr="00244343">
              <w:rPr>
                <w:rFonts w:ascii="Times New Roman" w:hAnsi="Times New Roman" w:cs="Times New Roman"/>
                <w:sz w:val="28"/>
                <w:szCs w:val="28"/>
                <w:lang w:val="en-US"/>
              </w:rPr>
              <w:t xml:space="preserve">Gender </w:t>
            </w:r>
          </w:p>
        </w:tc>
        <w:tc>
          <w:tcPr>
            <w:tcW w:w="7510" w:type="dxa"/>
            <w:gridSpan w:val="2"/>
            <w:tcBorders>
              <w:top w:val="single" w:sz="6" w:space="0" w:color="auto"/>
              <w:left w:val="single" w:sz="6" w:space="0" w:color="auto"/>
              <w:bottom w:val="single" w:sz="6" w:space="0" w:color="auto"/>
              <w:right w:val="single" w:sz="4" w:space="0" w:color="auto"/>
            </w:tcBorders>
          </w:tcPr>
          <w:p w14:paraId="48A8105E" w14:textId="77777777" w:rsidR="0001723B" w:rsidRPr="00244343" w:rsidRDefault="0001723B" w:rsidP="001B500C">
            <w:pPr>
              <w:pStyle w:val="ad"/>
              <w:numPr>
                <w:ilvl w:val="0"/>
                <w:numId w:val="25"/>
              </w:numPr>
              <w:spacing w:after="0" w:line="240" w:lineRule="auto"/>
              <w:contextualSpacing w:val="0"/>
              <w:rPr>
                <w:rFonts w:ascii="Times New Roman" w:hAnsi="Times New Roman" w:cs="Times New Roman"/>
                <w:sz w:val="28"/>
                <w:szCs w:val="28"/>
                <w:lang w:val="en-US"/>
              </w:rPr>
            </w:pPr>
            <w:r w:rsidRPr="00244343">
              <w:rPr>
                <w:rFonts w:ascii="Times New Roman" w:hAnsi="Times New Roman" w:cs="Times New Roman"/>
                <w:sz w:val="28"/>
                <w:szCs w:val="28"/>
                <w:lang w:val="en-US"/>
              </w:rPr>
              <w:t>Male</w:t>
            </w:r>
          </w:p>
          <w:p w14:paraId="7288CCCC" w14:textId="77777777" w:rsidR="0001723B" w:rsidRPr="00244343" w:rsidRDefault="0001723B" w:rsidP="001B500C">
            <w:pPr>
              <w:pStyle w:val="ad"/>
              <w:numPr>
                <w:ilvl w:val="0"/>
                <w:numId w:val="25"/>
              </w:numPr>
              <w:spacing w:after="0" w:line="240" w:lineRule="auto"/>
              <w:contextualSpacing w:val="0"/>
              <w:rPr>
                <w:rFonts w:ascii="Times New Roman" w:hAnsi="Times New Roman" w:cs="Times New Roman"/>
                <w:bCs/>
                <w:sz w:val="28"/>
                <w:szCs w:val="28"/>
                <w:lang w:val="en-US"/>
              </w:rPr>
            </w:pPr>
            <w:r w:rsidRPr="00244343">
              <w:rPr>
                <w:rFonts w:ascii="Times New Roman" w:hAnsi="Times New Roman" w:cs="Times New Roman"/>
                <w:sz w:val="28"/>
                <w:szCs w:val="28"/>
                <w:lang w:val="en-US"/>
              </w:rPr>
              <w:t>Female</w:t>
            </w:r>
          </w:p>
        </w:tc>
      </w:tr>
    </w:tbl>
    <w:p w14:paraId="3B52CC59" w14:textId="77777777" w:rsidR="0001723B" w:rsidRDefault="0001723B" w:rsidP="0001723B">
      <w:pPr>
        <w:spacing w:line="240" w:lineRule="auto"/>
        <w:rPr>
          <w:rFonts w:ascii="Times New Roman" w:hAnsi="Times New Roman" w:cs="Times New Roman"/>
          <w:b/>
          <w:sz w:val="28"/>
          <w:szCs w:val="28"/>
          <w:lang w:val="en-US" w:eastAsia="fr-FR"/>
        </w:rPr>
      </w:pPr>
    </w:p>
    <w:p w14:paraId="365A1616" w14:textId="2EA64286" w:rsidR="0001723B" w:rsidRPr="00244343" w:rsidRDefault="0001723B" w:rsidP="0001723B">
      <w:pPr>
        <w:spacing w:line="240" w:lineRule="auto"/>
        <w:rPr>
          <w:rFonts w:ascii="Times New Roman" w:hAnsi="Times New Roman" w:cs="Times New Roman"/>
          <w:sz w:val="28"/>
          <w:szCs w:val="28"/>
          <w:lang w:val="en-US"/>
        </w:rPr>
      </w:pPr>
      <w:r w:rsidRPr="00244343">
        <w:rPr>
          <w:rFonts w:ascii="Times New Roman" w:hAnsi="Times New Roman" w:cs="Times New Roman"/>
          <w:b/>
          <w:sz w:val="28"/>
          <w:szCs w:val="28"/>
          <w:lang w:val="en-US" w:eastAsia="fr-FR"/>
        </w:rPr>
        <w:t>Q1. How long ago did you graduate from university as a bachelor?</w:t>
      </w:r>
    </w:p>
    <w:tbl>
      <w:tblPr>
        <w:tblW w:w="96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494"/>
        <w:gridCol w:w="523"/>
        <w:gridCol w:w="3667"/>
      </w:tblGrid>
      <w:tr w:rsidR="0001723B" w:rsidRPr="00244343" w14:paraId="61C5C4FD" w14:textId="77777777" w:rsidTr="00FC4291">
        <w:trPr>
          <w:trHeight w:val="249"/>
        </w:trPr>
        <w:tc>
          <w:tcPr>
            <w:tcW w:w="5494" w:type="dxa"/>
            <w:shd w:val="clear" w:color="auto" w:fill="FFFFFF"/>
          </w:tcPr>
          <w:p w14:paraId="390E1D3D" w14:textId="77777777" w:rsidR="0001723B" w:rsidRPr="00244343" w:rsidRDefault="0001723B" w:rsidP="00FC4291">
            <w:pPr>
              <w:spacing w:line="240" w:lineRule="auto"/>
              <w:rPr>
                <w:rFonts w:ascii="Times New Roman" w:hAnsi="Times New Roman" w:cs="Times New Roman"/>
                <w:sz w:val="28"/>
                <w:szCs w:val="28"/>
                <w:lang w:val="en-US" w:eastAsia="fr-FR"/>
              </w:rPr>
            </w:pPr>
            <w:r w:rsidRPr="00244343">
              <w:rPr>
                <w:rFonts w:ascii="Times New Roman" w:hAnsi="Times New Roman" w:cs="Times New Roman"/>
                <w:sz w:val="28"/>
                <w:szCs w:val="28"/>
                <w:lang w:val="en-US" w:eastAsia="fr-FR"/>
              </w:rPr>
              <w:t>Less than a year ago</w:t>
            </w:r>
          </w:p>
        </w:tc>
        <w:tc>
          <w:tcPr>
            <w:tcW w:w="523" w:type="dxa"/>
            <w:shd w:val="clear" w:color="auto" w:fill="FFFFFF"/>
            <w:vAlign w:val="center"/>
          </w:tcPr>
          <w:p w14:paraId="6D847F6E" w14:textId="77777777" w:rsidR="0001723B" w:rsidRPr="00244343" w:rsidRDefault="0001723B" w:rsidP="00FC4291">
            <w:pPr>
              <w:spacing w:line="240" w:lineRule="auto"/>
              <w:jc w:val="center"/>
              <w:rPr>
                <w:rFonts w:ascii="Times New Roman" w:hAnsi="Times New Roman" w:cs="Times New Roman"/>
                <w:sz w:val="28"/>
                <w:szCs w:val="28"/>
                <w:lang w:val="en-US" w:eastAsia="fr-FR"/>
              </w:rPr>
            </w:pPr>
            <w:r w:rsidRPr="00244343">
              <w:rPr>
                <w:rFonts w:ascii="Times New Roman" w:hAnsi="Times New Roman" w:cs="Times New Roman"/>
                <w:sz w:val="28"/>
                <w:szCs w:val="28"/>
                <w:lang w:val="en-US" w:eastAsia="fr-FR"/>
              </w:rPr>
              <w:t>1</w:t>
            </w:r>
          </w:p>
        </w:tc>
        <w:tc>
          <w:tcPr>
            <w:tcW w:w="3667" w:type="dxa"/>
            <w:shd w:val="clear" w:color="auto" w:fill="FFFFFF"/>
          </w:tcPr>
          <w:p w14:paraId="0F1989BD" w14:textId="77777777" w:rsidR="0001723B" w:rsidRPr="00244343" w:rsidRDefault="0001723B" w:rsidP="00FC4291">
            <w:pPr>
              <w:spacing w:line="240" w:lineRule="auto"/>
              <w:rPr>
                <w:rFonts w:ascii="Times New Roman" w:hAnsi="Times New Roman" w:cs="Times New Roman"/>
                <w:i/>
                <w:sz w:val="28"/>
                <w:szCs w:val="28"/>
                <w:lang w:val="en-US" w:eastAsia="fr-FR"/>
              </w:rPr>
            </w:pPr>
            <w:r w:rsidRPr="00244343">
              <w:rPr>
                <w:rFonts w:ascii="Times New Roman" w:hAnsi="Times New Roman" w:cs="Times New Roman"/>
                <w:i/>
                <w:sz w:val="28"/>
                <w:szCs w:val="28"/>
                <w:lang w:val="en-US" w:eastAsia="fr-FR"/>
              </w:rPr>
              <w:t>Continue</w:t>
            </w:r>
          </w:p>
        </w:tc>
      </w:tr>
      <w:tr w:rsidR="0001723B" w:rsidRPr="00244343" w14:paraId="25E81EE3" w14:textId="77777777" w:rsidTr="00FC4291">
        <w:trPr>
          <w:trHeight w:val="249"/>
        </w:trPr>
        <w:tc>
          <w:tcPr>
            <w:tcW w:w="5494" w:type="dxa"/>
            <w:shd w:val="clear" w:color="auto" w:fill="FFFFFF"/>
          </w:tcPr>
          <w:p w14:paraId="7B2319FD" w14:textId="77777777" w:rsidR="0001723B" w:rsidRPr="00244343" w:rsidRDefault="0001723B" w:rsidP="00FC4291">
            <w:pPr>
              <w:spacing w:line="240" w:lineRule="auto"/>
              <w:rPr>
                <w:rFonts w:ascii="Times New Roman" w:hAnsi="Times New Roman" w:cs="Times New Roman"/>
                <w:sz w:val="28"/>
                <w:szCs w:val="28"/>
                <w:lang w:val="en-US" w:eastAsia="fr-FR"/>
              </w:rPr>
            </w:pPr>
            <w:r w:rsidRPr="00244343">
              <w:rPr>
                <w:rFonts w:ascii="Times New Roman" w:hAnsi="Times New Roman" w:cs="Times New Roman"/>
                <w:sz w:val="28"/>
                <w:szCs w:val="28"/>
                <w:lang w:val="en-US" w:eastAsia="fr-FR"/>
              </w:rPr>
              <w:t xml:space="preserve">1-2 years </w:t>
            </w:r>
            <w:proofErr w:type="gramStart"/>
            <w:r w:rsidRPr="00244343">
              <w:rPr>
                <w:rFonts w:ascii="Times New Roman" w:hAnsi="Times New Roman" w:cs="Times New Roman"/>
                <w:sz w:val="28"/>
                <w:szCs w:val="28"/>
                <w:lang w:val="en-US" w:eastAsia="fr-FR"/>
              </w:rPr>
              <w:t>ago</w:t>
            </w:r>
            <w:proofErr w:type="gramEnd"/>
          </w:p>
        </w:tc>
        <w:tc>
          <w:tcPr>
            <w:tcW w:w="523" w:type="dxa"/>
            <w:shd w:val="clear" w:color="auto" w:fill="FFFFFF"/>
            <w:vAlign w:val="center"/>
          </w:tcPr>
          <w:p w14:paraId="0CA8F753" w14:textId="77777777" w:rsidR="0001723B" w:rsidRPr="00244343" w:rsidRDefault="0001723B" w:rsidP="00FC4291">
            <w:pPr>
              <w:spacing w:line="240" w:lineRule="auto"/>
              <w:jc w:val="center"/>
              <w:rPr>
                <w:rFonts w:ascii="Times New Roman" w:hAnsi="Times New Roman" w:cs="Times New Roman"/>
                <w:sz w:val="28"/>
                <w:szCs w:val="28"/>
                <w:lang w:val="en-US" w:eastAsia="fr-FR"/>
              </w:rPr>
            </w:pPr>
            <w:r w:rsidRPr="00244343">
              <w:rPr>
                <w:rFonts w:ascii="Times New Roman" w:hAnsi="Times New Roman" w:cs="Times New Roman"/>
                <w:sz w:val="28"/>
                <w:szCs w:val="28"/>
                <w:lang w:val="en-US" w:eastAsia="fr-FR"/>
              </w:rPr>
              <w:t>2</w:t>
            </w:r>
          </w:p>
        </w:tc>
        <w:tc>
          <w:tcPr>
            <w:tcW w:w="3667" w:type="dxa"/>
            <w:shd w:val="clear" w:color="auto" w:fill="FFFFFF"/>
          </w:tcPr>
          <w:p w14:paraId="4924DABB" w14:textId="77777777" w:rsidR="0001723B" w:rsidRPr="00244343" w:rsidRDefault="0001723B" w:rsidP="00FC4291">
            <w:pPr>
              <w:spacing w:line="240" w:lineRule="auto"/>
              <w:rPr>
                <w:rFonts w:ascii="Times New Roman" w:hAnsi="Times New Roman" w:cs="Times New Roman"/>
                <w:i/>
                <w:sz w:val="28"/>
                <w:szCs w:val="28"/>
                <w:lang w:val="en-US" w:eastAsia="fr-FR"/>
              </w:rPr>
            </w:pPr>
            <w:r w:rsidRPr="00244343">
              <w:rPr>
                <w:rFonts w:ascii="Times New Roman" w:hAnsi="Times New Roman" w:cs="Times New Roman"/>
                <w:i/>
                <w:sz w:val="28"/>
                <w:szCs w:val="28"/>
                <w:lang w:val="en-US" w:eastAsia="fr-FR"/>
              </w:rPr>
              <w:t>Continue</w:t>
            </w:r>
          </w:p>
        </w:tc>
      </w:tr>
      <w:tr w:rsidR="0001723B" w:rsidRPr="00244343" w14:paraId="25A4B4FF" w14:textId="77777777" w:rsidTr="00FC4291">
        <w:trPr>
          <w:trHeight w:val="249"/>
        </w:trPr>
        <w:tc>
          <w:tcPr>
            <w:tcW w:w="5494" w:type="dxa"/>
            <w:shd w:val="clear" w:color="auto" w:fill="FFFFFF"/>
          </w:tcPr>
          <w:p w14:paraId="54F5B3F8" w14:textId="77777777" w:rsidR="0001723B" w:rsidRPr="00244343" w:rsidRDefault="0001723B" w:rsidP="00FC4291">
            <w:pPr>
              <w:spacing w:line="240" w:lineRule="auto"/>
              <w:rPr>
                <w:rFonts w:ascii="Times New Roman" w:hAnsi="Times New Roman" w:cs="Times New Roman"/>
                <w:sz w:val="28"/>
                <w:szCs w:val="28"/>
                <w:lang w:val="en-US" w:eastAsia="fr-FR"/>
              </w:rPr>
            </w:pPr>
            <w:r w:rsidRPr="00244343">
              <w:rPr>
                <w:rFonts w:ascii="Times New Roman" w:hAnsi="Times New Roman" w:cs="Times New Roman"/>
                <w:sz w:val="28"/>
                <w:szCs w:val="28"/>
                <w:lang w:val="en-US" w:eastAsia="fr-FR"/>
              </w:rPr>
              <w:t xml:space="preserve">3-4 years </w:t>
            </w:r>
            <w:proofErr w:type="gramStart"/>
            <w:r w:rsidRPr="00244343">
              <w:rPr>
                <w:rFonts w:ascii="Times New Roman" w:hAnsi="Times New Roman" w:cs="Times New Roman"/>
                <w:sz w:val="28"/>
                <w:szCs w:val="28"/>
                <w:lang w:val="en-US" w:eastAsia="fr-FR"/>
              </w:rPr>
              <w:t>ago</w:t>
            </w:r>
            <w:proofErr w:type="gramEnd"/>
          </w:p>
        </w:tc>
        <w:tc>
          <w:tcPr>
            <w:tcW w:w="523" w:type="dxa"/>
            <w:shd w:val="clear" w:color="auto" w:fill="FFFFFF"/>
            <w:vAlign w:val="center"/>
          </w:tcPr>
          <w:p w14:paraId="71061233" w14:textId="77777777" w:rsidR="0001723B" w:rsidRPr="00244343" w:rsidRDefault="0001723B" w:rsidP="00FC4291">
            <w:pPr>
              <w:spacing w:line="240" w:lineRule="auto"/>
              <w:jc w:val="center"/>
              <w:rPr>
                <w:rFonts w:ascii="Times New Roman" w:hAnsi="Times New Roman" w:cs="Times New Roman"/>
                <w:sz w:val="28"/>
                <w:szCs w:val="28"/>
                <w:lang w:val="en-US" w:eastAsia="fr-FR"/>
              </w:rPr>
            </w:pPr>
            <w:r w:rsidRPr="00244343">
              <w:rPr>
                <w:rFonts w:ascii="Times New Roman" w:hAnsi="Times New Roman" w:cs="Times New Roman"/>
                <w:sz w:val="28"/>
                <w:szCs w:val="28"/>
                <w:lang w:val="en-US" w:eastAsia="fr-FR"/>
              </w:rPr>
              <w:t>3</w:t>
            </w:r>
          </w:p>
        </w:tc>
        <w:tc>
          <w:tcPr>
            <w:tcW w:w="3667" w:type="dxa"/>
            <w:shd w:val="clear" w:color="auto" w:fill="FFFFFF"/>
          </w:tcPr>
          <w:p w14:paraId="10F517F4" w14:textId="77777777" w:rsidR="0001723B" w:rsidRPr="00244343" w:rsidRDefault="0001723B" w:rsidP="00FC4291">
            <w:pPr>
              <w:spacing w:line="240" w:lineRule="auto"/>
              <w:rPr>
                <w:rFonts w:ascii="Times New Roman" w:hAnsi="Times New Roman" w:cs="Times New Roman"/>
                <w:i/>
                <w:sz w:val="28"/>
                <w:szCs w:val="28"/>
                <w:lang w:val="en-US" w:eastAsia="fr-FR"/>
              </w:rPr>
            </w:pPr>
            <w:r w:rsidRPr="00244343">
              <w:rPr>
                <w:rFonts w:ascii="Times New Roman" w:hAnsi="Times New Roman" w:cs="Times New Roman"/>
                <w:i/>
                <w:sz w:val="28"/>
                <w:szCs w:val="28"/>
                <w:lang w:val="en-US" w:eastAsia="fr-FR"/>
              </w:rPr>
              <w:t>Continue</w:t>
            </w:r>
          </w:p>
        </w:tc>
      </w:tr>
      <w:tr w:rsidR="0001723B" w:rsidRPr="00244343" w14:paraId="69F4EFF0" w14:textId="77777777" w:rsidTr="00FC4291">
        <w:trPr>
          <w:trHeight w:val="249"/>
        </w:trPr>
        <w:tc>
          <w:tcPr>
            <w:tcW w:w="5494" w:type="dxa"/>
          </w:tcPr>
          <w:p w14:paraId="3AC06DCF" w14:textId="77777777" w:rsidR="0001723B" w:rsidRPr="00244343" w:rsidRDefault="0001723B" w:rsidP="00FC4291">
            <w:pPr>
              <w:spacing w:line="240" w:lineRule="auto"/>
              <w:rPr>
                <w:rFonts w:ascii="Times New Roman" w:hAnsi="Times New Roman" w:cs="Times New Roman"/>
                <w:sz w:val="28"/>
                <w:szCs w:val="28"/>
                <w:lang w:val="en-US" w:eastAsia="fr-FR"/>
              </w:rPr>
            </w:pPr>
            <w:r w:rsidRPr="00244343">
              <w:rPr>
                <w:rFonts w:ascii="Times New Roman" w:hAnsi="Times New Roman" w:cs="Times New Roman"/>
                <w:sz w:val="28"/>
                <w:szCs w:val="28"/>
                <w:lang w:val="en-US" w:eastAsia="fr-FR"/>
              </w:rPr>
              <w:t>More than 4years ago and haven`t continued education</w:t>
            </w:r>
          </w:p>
        </w:tc>
        <w:tc>
          <w:tcPr>
            <w:tcW w:w="523" w:type="dxa"/>
            <w:vAlign w:val="center"/>
          </w:tcPr>
          <w:p w14:paraId="03416982" w14:textId="77777777" w:rsidR="0001723B" w:rsidRPr="00244343" w:rsidRDefault="0001723B" w:rsidP="00FC4291">
            <w:pPr>
              <w:spacing w:line="240" w:lineRule="auto"/>
              <w:jc w:val="center"/>
              <w:rPr>
                <w:rFonts w:ascii="Times New Roman" w:hAnsi="Times New Roman" w:cs="Times New Roman"/>
                <w:sz w:val="28"/>
                <w:szCs w:val="28"/>
                <w:lang w:val="en-US" w:eastAsia="fr-FR"/>
              </w:rPr>
            </w:pPr>
            <w:r w:rsidRPr="00244343">
              <w:rPr>
                <w:rFonts w:ascii="Times New Roman" w:hAnsi="Times New Roman" w:cs="Times New Roman"/>
                <w:sz w:val="28"/>
                <w:szCs w:val="28"/>
                <w:lang w:val="en-US" w:eastAsia="fr-FR"/>
              </w:rPr>
              <w:t>4</w:t>
            </w:r>
          </w:p>
        </w:tc>
        <w:tc>
          <w:tcPr>
            <w:tcW w:w="3667" w:type="dxa"/>
            <w:vAlign w:val="center"/>
          </w:tcPr>
          <w:p w14:paraId="7F794264" w14:textId="77777777" w:rsidR="0001723B" w:rsidRPr="00244343" w:rsidRDefault="0001723B" w:rsidP="00FC4291">
            <w:pPr>
              <w:spacing w:line="240" w:lineRule="auto"/>
              <w:rPr>
                <w:rFonts w:ascii="Times New Roman" w:hAnsi="Times New Roman" w:cs="Times New Roman"/>
                <w:bCs/>
                <w:i/>
                <w:sz w:val="28"/>
                <w:szCs w:val="28"/>
                <w:lang w:val="en-US" w:eastAsia="fr-FR"/>
              </w:rPr>
            </w:pPr>
            <w:r w:rsidRPr="00244343">
              <w:rPr>
                <w:rFonts w:ascii="Times New Roman" w:hAnsi="Times New Roman" w:cs="Times New Roman"/>
                <w:bCs/>
                <w:i/>
                <w:sz w:val="28"/>
                <w:szCs w:val="28"/>
                <w:lang w:val="en-US" w:eastAsia="fr-FR"/>
              </w:rPr>
              <w:t>COMPLETE THE INTERVIEW</w:t>
            </w:r>
          </w:p>
        </w:tc>
      </w:tr>
    </w:tbl>
    <w:p w14:paraId="74A5B375" w14:textId="77777777" w:rsidR="0001723B" w:rsidRDefault="0001723B" w:rsidP="0001723B">
      <w:pPr>
        <w:spacing w:line="240" w:lineRule="auto"/>
        <w:rPr>
          <w:rFonts w:ascii="Times New Roman" w:hAnsi="Times New Roman" w:cs="Times New Roman"/>
          <w:b/>
          <w:sz w:val="28"/>
          <w:szCs w:val="28"/>
          <w:lang w:val="en-US" w:eastAsia="fr-FR"/>
        </w:rPr>
      </w:pPr>
    </w:p>
    <w:p w14:paraId="13E29794" w14:textId="77777777" w:rsidR="0001723B" w:rsidRPr="00244343" w:rsidRDefault="0001723B" w:rsidP="0001723B">
      <w:pPr>
        <w:spacing w:line="240" w:lineRule="auto"/>
        <w:rPr>
          <w:rFonts w:ascii="Times New Roman" w:hAnsi="Times New Roman" w:cs="Times New Roman"/>
          <w:b/>
          <w:sz w:val="28"/>
          <w:szCs w:val="28"/>
          <w:lang w:val="en-US" w:eastAsia="fr-FR"/>
        </w:rPr>
      </w:pPr>
    </w:p>
    <w:p w14:paraId="76DDB6D8" w14:textId="77777777" w:rsidR="0001723B" w:rsidRPr="00244343" w:rsidRDefault="0001723B" w:rsidP="0001723B">
      <w:pPr>
        <w:spacing w:after="120" w:line="240" w:lineRule="auto"/>
        <w:rPr>
          <w:rFonts w:ascii="Times New Roman" w:hAnsi="Times New Roman" w:cs="Times New Roman"/>
          <w:b/>
          <w:sz w:val="28"/>
          <w:szCs w:val="28"/>
          <w:lang w:val="en-US"/>
        </w:rPr>
      </w:pPr>
      <w:r w:rsidRPr="00244343">
        <w:rPr>
          <w:rFonts w:ascii="Times New Roman" w:hAnsi="Times New Roman" w:cs="Times New Roman"/>
          <w:b/>
          <w:sz w:val="28"/>
          <w:szCs w:val="28"/>
          <w:lang w:val="en-US"/>
        </w:rPr>
        <w:lastRenderedPageBreak/>
        <w:t>Q2. Did you get a job in your specialty within a year after graduating?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2425"/>
        <w:gridCol w:w="757"/>
      </w:tblGrid>
      <w:tr w:rsidR="0001723B" w:rsidRPr="00244343" w14:paraId="053B89F5" w14:textId="77777777" w:rsidTr="00FC4291">
        <w:trPr>
          <w:cantSplit/>
          <w:trHeight w:val="261"/>
        </w:trPr>
        <w:tc>
          <w:tcPr>
            <w:tcW w:w="2425" w:type="dxa"/>
          </w:tcPr>
          <w:p w14:paraId="32BC7182" w14:textId="77777777" w:rsidR="0001723B" w:rsidRPr="00244343" w:rsidRDefault="0001723B" w:rsidP="00FC4291">
            <w:pPr>
              <w:spacing w:line="240" w:lineRule="auto"/>
              <w:rPr>
                <w:rFonts w:ascii="Times New Roman" w:hAnsi="Times New Roman" w:cs="Times New Roman"/>
                <w:sz w:val="28"/>
                <w:szCs w:val="28"/>
                <w:lang w:val="en-US"/>
              </w:rPr>
            </w:pPr>
            <w:r w:rsidRPr="00244343">
              <w:rPr>
                <w:rFonts w:ascii="Times New Roman" w:hAnsi="Times New Roman" w:cs="Times New Roman"/>
                <w:sz w:val="28"/>
                <w:szCs w:val="28"/>
                <w:lang w:val="en-US"/>
              </w:rPr>
              <w:t>Yes</w:t>
            </w:r>
          </w:p>
        </w:tc>
        <w:tc>
          <w:tcPr>
            <w:tcW w:w="757" w:type="dxa"/>
          </w:tcPr>
          <w:p w14:paraId="025B5794" w14:textId="77777777" w:rsidR="0001723B" w:rsidRPr="00244343" w:rsidRDefault="0001723B" w:rsidP="00FC4291">
            <w:pPr>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1</w:t>
            </w:r>
          </w:p>
        </w:tc>
      </w:tr>
      <w:tr w:rsidR="0001723B" w:rsidRPr="00244343" w14:paraId="17808A35" w14:textId="77777777" w:rsidTr="00FC4291">
        <w:trPr>
          <w:trHeight w:val="261"/>
        </w:trPr>
        <w:tc>
          <w:tcPr>
            <w:tcW w:w="2425" w:type="dxa"/>
          </w:tcPr>
          <w:p w14:paraId="58283088" w14:textId="77777777" w:rsidR="0001723B" w:rsidRPr="00244343" w:rsidRDefault="0001723B" w:rsidP="00FC4291">
            <w:pPr>
              <w:spacing w:line="240" w:lineRule="auto"/>
              <w:rPr>
                <w:rFonts w:ascii="Times New Roman" w:hAnsi="Times New Roman" w:cs="Times New Roman"/>
                <w:sz w:val="28"/>
                <w:szCs w:val="28"/>
                <w:lang w:val="en-US"/>
              </w:rPr>
            </w:pPr>
            <w:r w:rsidRPr="00244343">
              <w:rPr>
                <w:rFonts w:ascii="Times New Roman" w:hAnsi="Times New Roman" w:cs="Times New Roman"/>
                <w:sz w:val="28"/>
                <w:szCs w:val="28"/>
                <w:lang w:val="en-US"/>
              </w:rPr>
              <w:t>No</w:t>
            </w:r>
          </w:p>
        </w:tc>
        <w:tc>
          <w:tcPr>
            <w:tcW w:w="757" w:type="dxa"/>
          </w:tcPr>
          <w:p w14:paraId="18DAA88B" w14:textId="77777777" w:rsidR="0001723B" w:rsidRPr="00244343" w:rsidRDefault="0001723B" w:rsidP="00FC4291">
            <w:pPr>
              <w:spacing w:line="240" w:lineRule="auto"/>
              <w:jc w:val="center"/>
              <w:rPr>
                <w:rFonts w:ascii="Times New Roman" w:hAnsi="Times New Roman" w:cs="Times New Roman"/>
                <w:iCs/>
                <w:sz w:val="28"/>
                <w:szCs w:val="28"/>
                <w:lang w:val="en-US"/>
              </w:rPr>
            </w:pPr>
            <w:r w:rsidRPr="00244343">
              <w:rPr>
                <w:rFonts w:ascii="Times New Roman" w:hAnsi="Times New Roman" w:cs="Times New Roman"/>
                <w:iCs/>
                <w:sz w:val="28"/>
                <w:szCs w:val="28"/>
                <w:lang w:val="en-US"/>
              </w:rPr>
              <w:t>2</w:t>
            </w:r>
          </w:p>
        </w:tc>
      </w:tr>
    </w:tbl>
    <w:p w14:paraId="3942BF16" w14:textId="77777777" w:rsidR="0001723B" w:rsidRPr="00244343" w:rsidRDefault="0001723B" w:rsidP="0001723B">
      <w:pPr>
        <w:pStyle w:val="af"/>
        <w:rPr>
          <w:rFonts w:ascii="Times New Roman" w:hAnsi="Times New Roman" w:cs="Times New Roman"/>
          <w:b/>
          <w:sz w:val="28"/>
          <w:szCs w:val="28"/>
          <w:lang w:val="en-US"/>
        </w:rPr>
      </w:pPr>
    </w:p>
    <w:p w14:paraId="50A992CC" w14:textId="77777777" w:rsidR="0001723B" w:rsidRPr="00244343" w:rsidRDefault="0001723B" w:rsidP="0001723B">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b/>
          <w:sz w:val="28"/>
          <w:szCs w:val="28"/>
          <w:lang w:val="en-US"/>
        </w:rPr>
        <w:t xml:space="preserve">Q3. How do you rate the following obstacles that prevent students from getting a job in their specialty? </w:t>
      </w:r>
      <w:r w:rsidRPr="00244343">
        <w:rPr>
          <w:rFonts w:ascii="Times New Roman" w:hAnsi="Times New Roman" w:cs="Times New Roman"/>
          <w:bCs/>
          <w:i/>
          <w:iCs/>
          <w:sz w:val="28"/>
          <w:szCs w:val="28"/>
          <w:lang w:val="en-US"/>
        </w:rPr>
        <w:t>When rating, use a 7-point rating scale, where 1 means - no impact and 7 means - very strong impact</w:t>
      </w:r>
      <w:r w:rsidRPr="00244343">
        <w:rPr>
          <w:rFonts w:ascii="Times New Roman" w:hAnsi="Times New Roman" w:cs="Times New Roman"/>
          <w:b/>
          <w:sz w:val="28"/>
          <w:szCs w:val="28"/>
          <w:lang w:val="en-US"/>
        </w:rPr>
        <w: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4"/>
        <w:gridCol w:w="443"/>
        <w:gridCol w:w="400"/>
        <w:gridCol w:w="401"/>
        <w:gridCol w:w="400"/>
        <w:gridCol w:w="400"/>
        <w:gridCol w:w="400"/>
        <w:gridCol w:w="400"/>
      </w:tblGrid>
      <w:tr w:rsidR="0001723B" w:rsidRPr="00244343" w14:paraId="493CD7E9" w14:textId="77777777" w:rsidTr="00FC4291">
        <w:trPr>
          <w:cantSplit/>
          <w:trHeight w:val="20"/>
          <w:jc w:val="center"/>
        </w:trPr>
        <w:tc>
          <w:tcPr>
            <w:tcW w:w="7074" w:type="dxa"/>
          </w:tcPr>
          <w:p w14:paraId="147173DA" w14:textId="77777777" w:rsidR="0001723B" w:rsidRPr="00244343" w:rsidRDefault="0001723B" w:rsidP="00FC4291">
            <w:pPr>
              <w:autoSpaceDE w:val="0"/>
              <w:autoSpaceDN w:val="0"/>
              <w:adjustRightInd w:val="0"/>
              <w:spacing w:line="240" w:lineRule="auto"/>
              <w:jc w:val="both"/>
              <w:rPr>
                <w:rFonts w:ascii="Times New Roman" w:hAnsi="Times New Roman" w:cs="Times New Roman"/>
                <w:b/>
                <w:bCs/>
                <w:sz w:val="28"/>
                <w:szCs w:val="28"/>
                <w:highlight w:val="green"/>
                <w:lang w:val="en-US"/>
              </w:rPr>
            </w:pPr>
            <w:r w:rsidRPr="00244343">
              <w:rPr>
                <w:rFonts w:ascii="Times New Roman" w:hAnsi="Times New Roman" w:cs="Times New Roman"/>
                <w:sz w:val="28"/>
                <w:szCs w:val="28"/>
                <w:lang w:val="en-US"/>
              </w:rPr>
              <w:t>1. Lack of experience</w:t>
            </w:r>
          </w:p>
        </w:tc>
        <w:tc>
          <w:tcPr>
            <w:tcW w:w="443" w:type="dxa"/>
            <w:vAlign w:val="center"/>
          </w:tcPr>
          <w:p w14:paraId="5F764092"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1</w:t>
            </w:r>
          </w:p>
        </w:tc>
        <w:tc>
          <w:tcPr>
            <w:tcW w:w="400" w:type="dxa"/>
            <w:vAlign w:val="center"/>
          </w:tcPr>
          <w:p w14:paraId="5697FABA"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2</w:t>
            </w:r>
          </w:p>
        </w:tc>
        <w:tc>
          <w:tcPr>
            <w:tcW w:w="401" w:type="dxa"/>
            <w:vAlign w:val="center"/>
          </w:tcPr>
          <w:p w14:paraId="1F7A9BAC"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3</w:t>
            </w:r>
          </w:p>
        </w:tc>
        <w:tc>
          <w:tcPr>
            <w:tcW w:w="400" w:type="dxa"/>
            <w:vAlign w:val="center"/>
          </w:tcPr>
          <w:p w14:paraId="3DB2D0C1"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4</w:t>
            </w:r>
          </w:p>
        </w:tc>
        <w:tc>
          <w:tcPr>
            <w:tcW w:w="400" w:type="dxa"/>
          </w:tcPr>
          <w:p w14:paraId="0FFF4998"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5</w:t>
            </w:r>
          </w:p>
        </w:tc>
        <w:tc>
          <w:tcPr>
            <w:tcW w:w="400" w:type="dxa"/>
          </w:tcPr>
          <w:p w14:paraId="4FB6F8A7"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6</w:t>
            </w:r>
          </w:p>
        </w:tc>
        <w:tc>
          <w:tcPr>
            <w:tcW w:w="400" w:type="dxa"/>
          </w:tcPr>
          <w:p w14:paraId="396DED7E"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7</w:t>
            </w:r>
          </w:p>
        </w:tc>
      </w:tr>
      <w:tr w:rsidR="0001723B" w:rsidRPr="00244343" w14:paraId="4CF9397E" w14:textId="77777777" w:rsidTr="00FC4291">
        <w:trPr>
          <w:cantSplit/>
          <w:trHeight w:val="20"/>
          <w:jc w:val="center"/>
        </w:trPr>
        <w:tc>
          <w:tcPr>
            <w:tcW w:w="7074" w:type="dxa"/>
          </w:tcPr>
          <w:p w14:paraId="3E33D704" w14:textId="77777777" w:rsidR="0001723B" w:rsidRPr="00244343" w:rsidRDefault="0001723B" w:rsidP="00FC4291">
            <w:pPr>
              <w:autoSpaceDE w:val="0"/>
              <w:autoSpaceDN w:val="0"/>
              <w:adjustRightInd w:val="0"/>
              <w:spacing w:line="240" w:lineRule="auto"/>
              <w:jc w:val="both"/>
              <w:rPr>
                <w:rFonts w:ascii="Times New Roman" w:hAnsi="Times New Roman" w:cs="Times New Roman"/>
                <w:b/>
                <w:bCs/>
                <w:sz w:val="28"/>
                <w:szCs w:val="28"/>
                <w:lang w:val="en-US"/>
              </w:rPr>
            </w:pPr>
            <w:r w:rsidRPr="00244343">
              <w:rPr>
                <w:rFonts w:ascii="Times New Roman" w:hAnsi="Times New Roman" w:cs="Times New Roman"/>
                <w:sz w:val="28"/>
                <w:szCs w:val="28"/>
                <w:lang w:val="en-US"/>
              </w:rPr>
              <w:t>2. Low graduation grades</w:t>
            </w:r>
          </w:p>
        </w:tc>
        <w:tc>
          <w:tcPr>
            <w:tcW w:w="443" w:type="dxa"/>
            <w:vAlign w:val="center"/>
          </w:tcPr>
          <w:p w14:paraId="65CC9855"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1</w:t>
            </w:r>
          </w:p>
        </w:tc>
        <w:tc>
          <w:tcPr>
            <w:tcW w:w="400" w:type="dxa"/>
            <w:vAlign w:val="center"/>
          </w:tcPr>
          <w:p w14:paraId="74FCD396"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2</w:t>
            </w:r>
          </w:p>
        </w:tc>
        <w:tc>
          <w:tcPr>
            <w:tcW w:w="401" w:type="dxa"/>
            <w:vAlign w:val="center"/>
          </w:tcPr>
          <w:p w14:paraId="224E121D"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3</w:t>
            </w:r>
          </w:p>
        </w:tc>
        <w:tc>
          <w:tcPr>
            <w:tcW w:w="400" w:type="dxa"/>
            <w:vAlign w:val="center"/>
          </w:tcPr>
          <w:p w14:paraId="28199650"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4</w:t>
            </w:r>
          </w:p>
        </w:tc>
        <w:tc>
          <w:tcPr>
            <w:tcW w:w="400" w:type="dxa"/>
          </w:tcPr>
          <w:p w14:paraId="78A8423E"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5</w:t>
            </w:r>
          </w:p>
        </w:tc>
        <w:tc>
          <w:tcPr>
            <w:tcW w:w="400" w:type="dxa"/>
          </w:tcPr>
          <w:p w14:paraId="6A0233CA"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6</w:t>
            </w:r>
          </w:p>
        </w:tc>
        <w:tc>
          <w:tcPr>
            <w:tcW w:w="400" w:type="dxa"/>
          </w:tcPr>
          <w:p w14:paraId="7189C28B"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7</w:t>
            </w:r>
          </w:p>
        </w:tc>
      </w:tr>
      <w:tr w:rsidR="0001723B" w:rsidRPr="00244343" w14:paraId="6989FF89" w14:textId="77777777" w:rsidTr="00FC4291">
        <w:trPr>
          <w:cantSplit/>
          <w:trHeight w:val="20"/>
          <w:jc w:val="center"/>
        </w:trPr>
        <w:tc>
          <w:tcPr>
            <w:tcW w:w="7074" w:type="dxa"/>
          </w:tcPr>
          <w:p w14:paraId="101F7F4D" w14:textId="77777777" w:rsidR="0001723B" w:rsidRPr="00244343" w:rsidRDefault="0001723B" w:rsidP="00FC4291">
            <w:pPr>
              <w:autoSpaceDE w:val="0"/>
              <w:autoSpaceDN w:val="0"/>
              <w:adjustRightInd w:val="0"/>
              <w:spacing w:line="240" w:lineRule="auto"/>
              <w:jc w:val="both"/>
              <w:rPr>
                <w:rFonts w:ascii="Times New Roman" w:hAnsi="Times New Roman" w:cs="Times New Roman"/>
                <w:b/>
                <w:bCs/>
                <w:sz w:val="28"/>
                <w:szCs w:val="28"/>
                <w:lang w:val="en-US"/>
              </w:rPr>
            </w:pPr>
            <w:r w:rsidRPr="00244343">
              <w:rPr>
                <w:rFonts w:ascii="Times New Roman" w:hAnsi="Times New Roman" w:cs="Times New Roman"/>
                <w:sz w:val="28"/>
                <w:szCs w:val="28"/>
                <w:lang w:val="en-US"/>
              </w:rPr>
              <w:t>3. Family circumstances (care for loved ones, maternity leave)</w:t>
            </w:r>
          </w:p>
        </w:tc>
        <w:tc>
          <w:tcPr>
            <w:tcW w:w="443" w:type="dxa"/>
            <w:vAlign w:val="center"/>
          </w:tcPr>
          <w:p w14:paraId="23636F5C"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1</w:t>
            </w:r>
          </w:p>
        </w:tc>
        <w:tc>
          <w:tcPr>
            <w:tcW w:w="400" w:type="dxa"/>
            <w:vAlign w:val="center"/>
          </w:tcPr>
          <w:p w14:paraId="38B3F3B7"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2</w:t>
            </w:r>
          </w:p>
        </w:tc>
        <w:tc>
          <w:tcPr>
            <w:tcW w:w="401" w:type="dxa"/>
            <w:vAlign w:val="center"/>
          </w:tcPr>
          <w:p w14:paraId="6A997E68"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3</w:t>
            </w:r>
          </w:p>
        </w:tc>
        <w:tc>
          <w:tcPr>
            <w:tcW w:w="400" w:type="dxa"/>
            <w:vAlign w:val="center"/>
          </w:tcPr>
          <w:p w14:paraId="1D934E33"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4</w:t>
            </w:r>
          </w:p>
        </w:tc>
        <w:tc>
          <w:tcPr>
            <w:tcW w:w="400" w:type="dxa"/>
          </w:tcPr>
          <w:p w14:paraId="372BBC04"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5</w:t>
            </w:r>
          </w:p>
        </w:tc>
        <w:tc>
          <w:tcPr>
            <w:tcW w:w="400" w:type="dxa"/>
          </w:tcPr>
          <w:p w14:paraId="23D8B5DA"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6</w:t>
            </w:r>
          </w:p>
        </w:tc>
        <w:tc>
          <w:tcPr>
            <w:tcW w:w="400" w:type="dxa"/>
          </w:tcPr>
          <w:p w14:paraId="4BC54236"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7</w:t>
            </w:r>
          </w:p>
        </w:tc>
      </w:tr>
      <w:tr w:rsidR="0001723B" w:rsidRPr="00244343" w14:paraId="2A9FD747" w14:textId="77777777" w:rsidTr="00FC4291">
        <w:trPr>
          <w:cantSplit/>
          <w:trHeight w:val="20"/>
          <w:jc w:val="center"/>
        </w:trPr>
        <w:tc>
          <w:tcPr>
            <w:tcW w:w="7074" w:type="dxa"/>
          </w:tcPr>
          <w:p w14:paraId="6E1D1684" w14:textId="77777777" w:rsidR="0001723B" w:rsidRPr="00244343" w:rsidRDefault="0001723B" w:rsidP="00FC4291">
            <w:pPr>
              <w:autoSpaceDE w:val="0"/>
              <w:autoSpaceDN w:val="0"/>
              <w:adjustRightInd w:val="0"/>
              <w:spacing w:line="240" w:lineRule="auto"/>
              <w:jc w:val="both"/>
              <w:rPr>
                <w:rFonts w:ascii="Times New Roman" w:hAnsi="Times New Roman" w:cs="Times New Roman"/>
                <w:b/>
                <w:bCs/>
                <w:sz w:val="28"/>
                <w:szCs w:val="28"/>
                <w:lang w:val="en-US"/>
              </w:rPr>
            </w:pPr>
            <w:r w:rsidRPr="00244343">
              <w:rPr>
                <w:rFonts w:ascii="Times New Roman" w:hAnsi="Times New Roman" w:cs="Times New Roman"/>
                <w:sz w:val="28"/>
                <w:szCs w:val="28"/>
                <w:lang w:val="en-US"/>
              </w:rPr>
              <w:t>4. There is no need to work, my family provides for me</w:t>
            </w:r>
          </w:p>
        </w:tc>
        <w:tc>
          <w:tcPr>
            <w:tcW w:w="443" w:type="dxa"/>
            <w:vAlign w:val="center"/>
          </w:tcPr>
          <w:p w14:paraId="6CF5A76F"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1</w:t>
            </w:r>
          </w:p>
        </w:tc>
        <w:tc>
          <w:tcPr>
            <w:tcW w:w="400" w:type="dxa"/>
            <w:vAlign w:val="center"/>
          </w:tcPr>
          <w:p w14:paraId="2725334E"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2</w:t>
            </w:r>
          </w:p>
        </w:tc>
        <w:tc>
          <w:tcPr>
            <w:tcW w:w="401" w:type="dxa"/>
            <w:vAlign w:val="center"/>
          </w:tcPr>
          <w:p w14:paraId="592DF30D"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3</w:t>
            </w:r>
          </w:p>
        </w:tc>
        <w:tc>
          <w:tcPr>
            <w:tcW w:w="400" w:type="dxa"/>
            <w:vAlign w:val="center"/>
          </w:tcPr>
          <w:p w14:paraId="52D23102"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4</w:t>
            </w:r>
          </w:p>
        </w:tc>
        <w:tc>
          <w:tcPr>
            <w:tcW w:w="400" w:type="dxa"/>
          </w:tcPr>
          <w:p w14:paraId="64AEFA28"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5</w:t>
            </w:r>
          </w:p>
        </w:tc>
        <w:tc>
          <w:tcPr>
            <w:tcW w:w="400" w:type="dxa"/>
          </w:tcPr>
          <w:p w14:paraId="27BFC7F8"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6</w:t>
            </w:r>
          </w:p>
        </w:tc>
        <w:tc>
          <w:tcPr>
            <w:tcW w:w="400" w:type="dxa"/>
          </w:tcPr>
          <w:p w14:paraId="03673D1B"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7</w:t>
            </w:r>
          </w:p>
        </w:tc>
      </w:tr>
      <w:tr w:rsidR="0001723B" w:rsidRPr="00244343" w14:paraId="73AA7C20" w14:textId="77777777" w:rsidTr="00FC4291">
        <w:trPr>
          <w:cantSplit/>
          <w:trHeight w:val="20"/>
          <w:jc w:val="center"/>
        </w:trPr>
        <w:tc>
          <w:tcPr>
            <w:tcW w:w="7074" w:type="dxa"/>
          </w:tcPr>
          <w:p w14:paraId="5112878C" w14:textId="77777777" w:rsidR="0001723B" w:rsidRPr="00244343" w:rsidRDefault="0001723B" w:rsidP="00FC4291">
            <w:pPr>
              <w:autoSpaceDE w:val="0"/>
              <w:autoSpaceDN w:val="0"/>
              <w:adjustRightInd w:val="0"/>
              <w:spacing w:line="240" w:lineRule="auto"/>
              <w:jc w:val="both"/>
              <w:rPr>
                <w:rFonts w:ascii="Times New Roman" w:hAnsi="Times New Roman" w:cs="Times New Roman"/>
                <w:b/>
                <w:bCs/>
                <w:sz w:val="28"/>
                <w:szCs w:val="28"/>
                <w:lang w:val="en-US"/>
              </w:rPr>
            </w:pPr>
            <w:r w:rsidRPr="00244343">
              <w:rPr>
                <w:rFonts w:ascii="Times New Roman" w:hAnsi="Times New Roman" w:cs="Times New Roman"/>
                <w:sz w:val="28"/>
                <w:szCs w:val="28"/>
                <w:lang w:val="en-US"/>
              </w:rPr>
              <w:t>5. No desire to work in your specialty</w:t>
            </w:r>
          </w:p>
        </w:tc>
        <w:tc>
          <w:tcPr>
            <w:tcW w:w="443" w:type="dxa"/>
            <w:vAlign w:val="center"/>
          </w:tcPr>
          <w:p w14:paraId="4EE6EE02"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1</w:t>
            </w:r>
          </w:p>
        </w:tc>
        <w:tc>
          <w:tcPr>
            <w:tcW w:w="400" w:type="dxa"/>
            <w:vAlign w:val="center"/>
          </w:tcPr>
          <w:p w14:paraId="0C45AF00"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2</w:t>
            </w:r>
          </w:p>
        </w:tc>
        <w:tc>
          <w:tcPr>
            <w:tcW w:w="401" w:type="dxa"/>
            <w:vAlign w:val="center"/>
          </w:tcPr>
          <w:p w14:paraId="68575888"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3</w:t>
            </w:r>
          </w:p>
        </w:tc>
        <w:tc>
          <w:tcPr>
            <w:tcW w:w="400" w:type="dxa"/>
            <w:vAlign w:val="center"/>
          </w:tcPr>
          <w:p w14:paraId="79EC48D2"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4</w:t>
            </w:r>
          </w:p>
        </w:tc>
        <w:tc>
          <w:tcPr>
            <w:tcW w:w="400" w:type="dxa"/>
          </w:tcPr>
          <w:p w14:paraId="78B2A44F"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5</w:t>
            </w:r>
          </w:p>
        </w:tc>
        <w:tc>
          <w:tcPr>
            <w:tcW w:w="400" w:type="dxa"/>
          </w:tcPr>
          <w:p w14:paraId="78566CFF"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6</w:t>
            </w:r>
          </w:p>
        </w:tc>
        <w:tc>
          <w:tcPr>
            <w:tcW w:w="400" w:type="dxa"/>
          </w:tcPr>
          <w:p w14:paraId="26A06E0C"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7</w:t>
            </w:r>
          </w:p>
        </w:tc>
      </w:tr>
      <w:tr w:rsidR="0001723B" w:rsidRPr="00244343" w14:paraId="42F20F20" w14:textId="77777777" w:rsidTr="00FC4291">
        <w:trPr>
          <w:cantSplit/>
          <w:trHeight w:val="20"/>
          <w:jc w:val="center"/>
        </w:trPr>
        <w:tc>
          <w:tcPr>
            <w:tcW w:w="7074" w:type="dxa"/>
          </w:tcPr>
          <w:p w14:paraId="6E68D98C" w14:textId="77777777" w:rsidR="0001723B" w:rsidRPr="00244343" w:rsidRDefault="0001723B" w:rsidP="00FC4291">
            <w:pPr>
              <w:autoSpaceDE w:val="0"/>
              <w:autoSpaceDN w:val="0"/>
              <w:adjustRightInd w:val="0"/>
              <w:spacing w:line="240" w:lineRule="auto"/>
              <w:jc w:val="both"/>
              <w:rPr>
                <w:rFonts w:ascii="Times New Roman" w:hAnsi="Times New Roman" w:cs="Times New Roman"/>
                <w:b/>
                <w:bCs/>
                <w:sz w:val="28"/>
                <w:szCs w:val="28"/>
                <w:lang w:val="en-US"/>
              </w:rPr>
            </w:pPr>
            <w:r w:rsidRPr="00244343">
              <w:rPr>
                <w:rFonts w:ascii="Times New Roman" w:hAnsi="Times New Roman" w:cs="Times New Roman"/>
                <w:sz w:val="28"/>
                <w:szCs w:val="28"/>
                <w:lang w:val="en-US"/>
              </w:rPr>
              <w:t>6. It is better to look for a job in my specialty in another city or country</w:t>
            </w:r>
          </w:p>
        </w:tc>
        <w:tc>
          <w:tcPr>
            <w:tcW w:w="443" w:type="dxa"/>
            <w:vAlign w:val="center"/>
          </w:tcPr>
          <w:p w14:paraId="476ECEDD"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1</w:t>
            </w:r>
          </w:p>
        </w:tc>
        <w:tc>
          <w:tcPr>
            <w:tcW w:w="400" w:type="dxa"/>
            <w:vAlign w:val="center"/>
          </w:tcPr>
          <w:p w14:paraId="0102C9A2"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2</w:t>
            </w:r>
          </w:p>
        </w:tc>
        <w:tc>
          <w:tcPr>
            <w:tcW w:w="401" w:type="dxa"/>
            <w:vAlign w:val="center"/>
          </w:tcPr>
          <w:p w14:paraId="62FDFB0E"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3</w:t>
            </w:r>
          </w:p>
        </w:tc>
        <w:tc>
          <w:tcPr>
            <w:tcW w:w="400" w:type="dxa"/>
            <w:vAlign w:val="center"/>
          </w:tcPr>
          <w:p w14:paraId="4495328F"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4</w:t>
            </w:r>
          </w:p>
        </w:tc>
        <w:tc>
          <w:tcPr>
            <w:tcW w:w="400" w:type="dxa"/>
            <w:vAlign w:val="center"/>
          </w:tcPr>
          <w:p w14:paraId="2AC18186" w14:textId="77777777" w:rsidR="0001723B" w:rsidRPr="00244343" w:rsidRDefault="0001723B" w:rsidP="00FC4291">
            <w:pPr>
              <w:autoSpaceDE w:val="0"/>
              <w:autoSpaceDN w:val="0"/>
              <w:adjustRightInd w:val="0"/>
              <w:spacing w:line="240" w:lineRule="auto"/>
              <w:rPr>
                <w:rFonts w:ascii="Times New Roman" w:hAnsi="Times New Roman" w:cs="Times New Roman"/>
                <w:sz w:val="28"/>
                <w:szCs w:val="28"/>
                <w:lang w:val="en-US"/>
              </w:rPr>
            </w:pPr>
            <w:r w:rsidRPr="00244343">
              <w:rPr>
                <w:rFonts w:ascii="Times New Roman" w:hAnsi="Times New Roman" w:cs="Times New Roman"/>
                <w:sz w:val="28"/>
                <w:szCs w:val="28"/>
                <w:lang w:val="en-US"/>
              </w:rPr>
              <w:t>5</w:t>
            </w:r>
          </w:p>
        </w:tc>
        <w:tc>
          <w:tcPr>
            <w:tcW w:w="400" w:type="dxa"/>
          </w:tcPr>
          <w:p w14:paraId="5C92C8E5" w14:textId="77777777" w:rsidR="0001723B" w:rsidRPr="00244343" w:rsidRDefault="0001723B" w:rsidP="00FC4291">
            <w:pPr>
              <w:autoSpaceDE w:val="0"/>
              <w:autoSpaceDN w:val="0"/>
              <w:adjustRightInd w:val="0"/>
              <w:spacing w:line="240" w:lineRule="auto"/>
              <w:rPr>
                <w:rFonts w:ascii="Times New Roman" w:hAnsi="Times New Roman" w:cs="Times New Roman"/>
                <w:sz w:val="28"/>
                <w:szCs w:val="28"/>
                <w:lang w:val="en-US"/>
              </w:rPr>
            </w:pPr>
            <w:r w:rsidRPr="00244343">
              <w:rPr>
                <w:rFonts w:ascii="Times New Roman" w:hAnsi="Times New Roman" w:cs="Times New Roman"/>
                <w:sz w:val="28"/>
                <w:szCs w:val="28"/>
                <w:lang w:val="en-US"/>
              </w:rPr>
              <w:t>6</w:t>
            </w:r>
          </w:p>
        </w:tc>
        <w:tc>
          <w:tcPr>
            <w:tcW w:w="400" w:type="dxa"/>
          </w:tcPr>
          <w:p w14:paraId="0631E385" w14:textId="77777777" w:rsidR="0001723B" w:rsidRPr="00244343" w:rsidRDefault="0001723B" w:rsidP="00FC4291">
            <w:pPr>
              <w:autoSpaceDE w:val="0"/>
              <w:autoSpaceDN w:val="0"/>
              <w:adjustRightInd w:val="0"/>
              <w:spacing w:line="240" w:lineRule="auto"/>
              <w:rPr>
                <w:rFonts w:ascii="Times New Roman" w:hAnsi="Times New Roman" w:cs="Times New Roman"/>
                <w:sz w:val="28"/>
                <w:szCs w:val="28"/>
                <w:lang w:val="en-US"/>
              </w:rPr>
            </w:pPr>
            <w:r w:rsidRPr="00244343">
              <w:rPr>
                <w:rFonts w:ascii="Times New Roman" w:hAnsi="Times New Roman" w:cs="Times New Roman"/>
                <w:sz w:val="28"/>
                <w:szCs w:val="28"/>
                <w:lang w:val="en-US"/>
              </w:rPr>
              <w:t>7</w:t>
            </w:r>
          </w:p>
        </w:tc>
      </w:tr>
      <w:tr w:rsidR="0001723B" w:rsidRPr="00244343" w14:paraId="6743EE78" w14:textId="77777777" w:rsidTr="00FC4291">
        <w:trPr>
          <w:cantSplit/>
          <w:trHeight w:val="20"/>
          <w:jc w:val="center"/>
        </w:trPr>
        <w:tc>
          <w:tcPr>
            <w:tcW w:w="7074" w:type="dxa"/>
          </w:tcPr>
          <w:p w14:paraId="5B3B261A"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highlight w:val="green"/>
                <w:lang w:val="en-US"/>
              </w:rPr>
            </w:pPr>
            <w:r w:rsidRPr="00244343">
              <w:rPr>
                <w:rFonts w:ascii="Times New Roman" w:hAnsi="Times New Roman" w:cs="Times New Roman"/>
                <w:sz w:val="28"/>
                <w:szCs w:val="28"/>
                <w:lang w:val="en-US"/>
              </w:rPr>
              <w:t>7. Few places were offered in my specialty</w:t>
            </w:r>
          </w:p>
        </w:tc>
        <w:tc>
          <w:tcPr>
            <w:tcW w:w="443" w:type="dxa"/>
            <w:vAlign w:val="center"/>
          </w:tcPr>
          <w:p w14:paraId="0731875E"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1</w:t>
            </w:r>
          </w:p>
        </w:tc>
        <w:tc>
          <w:tcPr>
            <w:tcW w:w="400" w:type="dxa"/>
            <w:vAlign w:val="center"/>
          </w:tcPr>
          <w:p w14:paraId="1222E569"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2</w:t>
            </w:r>
          </w:p>
        </w:tc>
        <w:tc>
          <w:tcPr>
            <w:tcW w:w="401" w:type="dxa"/>
            <w:vAlign w:val="center"/>
          </w:tcPr>
          <w:p w14:paraId="5FC7B2D4"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3</w:t>
            </w:r>
          </w:p>
        </w:tc>
        <w:tc>
          <w:tcPr>
            <w:tcW w:w="400" w:type="dxa"/>
            <w:vAlign w:val="center"/>
          </w:tcPr>
          <w:p w14:paraId="0B244603"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4</w:t>
            </w:r>
          </w:p>
        </w:tc>
        <w:tc>
          <w:tcPr>
            <w:tcW w:w="400" w:type="dxa"/>
          </w:tcPr>
          <w:p w14:paraId="099E9026" w14:textId="77777777" w:rsidR="0001723B" w:rsidRPr="00244343" w:rsidRDefault="0001723B" w:rsidP="00FC4291">
            <w:pPr>
              <w:autoSpaceDE w:val="0"/>
              <w:autoSpaceDN w:val="0"/>
              <w:adjustRightInd w:val="0"/>
              <w:spacing w:line="240" w:lineRule="auto"/>
              <w:rPr>
                <w:rFonts w:ascii="Times New Roman" w:hAnsi="Times New Roman" w:cs="Times New Roman"/>
                <w:sz w:val="28"/>
                <w:szCs w:val="28"/>
                <w:lang w:val="en-US"/>
              </w:rPr>
            </w:pPr>
            <w:r w:rsidRPr="00244343">
              <w:rPr>
                <w:rFonts w:ascii="Times New Roman" w:hAnsi="Times New Roman" w:cs="Times New Roman"/>
                <w:sz w:val="28"/>
                <w:szCs w:val="28"/>
                <w:lang w:val="en-US"/>
              </w:rPr>
              <w:t>5</w:t>
            </w:r>
          </w:p>
        </w:tc>
        <w:tc>
          <w:tcPr>
            <w:tcW w:w="400" w:type="dxa"/>
          </w:tcPr>
          <w:p w14:paraId="230CB7FB" w14:textId="77777777" w:rsidR="0001723B" w:rsidRPr="00244343" w:rsidRDefault="0001723B" w:rsidP="00FC4291">
            <w:pPr>
              <w:autoSpaceDE w:val="0"/>
              <w:autoSpaceDN w:val="0"/>
              <w:adjustRightInd w:val="0"/>
              <w:spacing w:line="240" w:lineRule="auto"/>
              <w:rPr>
                <w:rFonts w:ascii="Times New Roman" w:hAnsi="Times New Roman" w:cs="Times New Roman"/>
                <w:sz w:val="28"/>
                <w:szCs w:val="28"/>
                <w:lang w:val="en-US"/>
              </w:rPr>
            </w:pPr>
            <w:r w:rsidRPr="00244343">
              <w:rPr>
                <w:rFonts w:ascii="Times New Roman" w:hAnsi="Times New Roman" w:cs="Times New Roman"/>
                <w:sz w:val="28"/>
                <w:szCs w:val="28"/>
                <w:lang w:val="en-US"/>
              </w:rPr>
              <w:t>6</w:t>
            </w:r>
          </w:p>
        </w:tc>
        <w:tc>
          <w:tcPr>
            <w:tcW w:w="400" w:type="dxa"/>
          </w:tcPr>
          <w:p w14:paraId="39FAD82C" w14:textId="77777777" w:rsidR="0001723B" w:rsidRPr="00244343" w:rsidRDefault="0001723B" w:rsidP="00FC4291">
            <w:pPr>
              <w:autoSpaceDE w:val="0"/>
              <w:autoSpaceDN w:val="0"/>
              <w:adjustRightInd w:val="0"/>
              <w:spacing w:line="240" w:lineRule="auto"/>
              <w:rPr>
                <w:rFonts w:ascii="Times New Roman" w:hAnsi="Times New Roman" w:cs="Times New Roman"/>
                <w:sz w:val="28"/>
                <w:szCs w:val="28"/>
                <w:lang w:val="en-US"/>
              </w:rPr>
            </w:pPr>
            <w:r w:rsidRPr="00244343">
              <w:rPr>
                <w:rFonts w:ascii="Times New Roman" w:hAnsi="Times New Roman" w:cs="Times New Roman"/>
                <w:sz w:val="28"/>
                <w:szCs w:val="28"/>
                <w:lang w:val="en-US"/>
              </w:rPr>
              <w:t>7</w:t>
            </w:r>
          </w:p>
        </w:tc>
      </w:tr>
      <w:tr w:rsidR="0001723B" w:rsidRPr="00244343" w14:paraId="01A94E2F" w14:textId="77777777" w:rsidTr="00FC4291">
        <w:trPr>
          <w:cantSplit/>
          <w:trHeight w:val="20"/>
          <w:jc w:val="center"/>
        </w:trPr>
        <w:tc>
          <w:tcPr>
            <w:tcW w:w="7074" w:type="dxa"/>
          </w:tcPr>
          <w:p w14:paraId="34204D4F"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8. I work for myself, so I’m not looking for hired work.</w:t>
            </w:r>
          </w:p>
        </w:tc>
        <w:tc>
          <w:tcPr>
            <w:tcW w:w="443" w:type="dxa"/>
            <w:vAlign w:val="center"/>
          </w:tcPr>
          <w:p w14:paraId="56428FC3"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1</w:t>
            </w:r>
          </w:p>
        </w:tc>
        <w:tc>
          <w:tcPr>
            <w:tcW w:w="400" w:type="dxa"/>
            <w:vAlign w:val="center"/>
          </w:tcPr>
          <w:p w14:paraId="5292114B"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2</w:t>
            </w:r>
          </w:p>
        </w:tc>
        <w:tc>
          <w:tcPr>
            <w:tcW w:w="401" w:type="dxa"/>
            <w:vAlign w:val="center"/>
          </w:tcPr>
          <w:p w14:paraId="48AE41D6"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3</w:t>
            </w:r>
          </w:p>
        </w:tc>
        <w:tc>
          <w:tcPr>
            <w:tcW w:w="400" w:type="dxa"/>
            <w:vAlign w:val="center"/>
          </w:tcPr>
          <w:p w14:paraId="6020958B"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4</w:t>
            </w:r>
          </w:p>
        </w:tc>
        <w:tc>
          <w:tcPr>
            <w:tcW w:w="400" w:type="dxa"/>
            <w:vAlign w:val="center"/>
          </w:tcPr>
          <w:p w14:paraId="5D15D76D" w14:textId="77777777" w:rsidR="0001723B" w:rsidRPr="00244343" w:rsidRDefault="0001723B" w:rsidP="00FC4291">
            <w:pPr>
              <w:autoSpaceDE w:val="0"/>
              <w:autoSpaceDN w:val="0"/>
              <w:adjustRightInd w:val="0"/>
              <w:spacing w:line="240" w:lineRule="auto"/>
              <w:rPr>
                <w:rFonts w:ascii="Times New Roman" w:hAnsi="Times New Roman" w:cs="Times New Roman"/>
                <w:sz w:val="28"/>
                <w:szCs w:val="28"/>
                <w:lang w:val="en-US"/>
              </w:rPr>
            </w:pPr>
            <w:r w:rsidRPr="00244343">
              <w:rPr>
                <w:rFonts w:ascii="Times New Roman" w:hAnsi="Times New Roman" w:cs="Times New Roman"/>
                <w:sz w:val="28"/>
                <w:szCs w:val="28"/>
                <w:lang w:val="en-US"/>
              </w:rPr>
              <w:t>5</w:t>
            </w:r>
          </w:p>
        </w:tc>
        <w:tc>
          <w:tcPr>
            <w:tcW w:w="400" w:type="dxa"/>
          </w:tcPr>
          <w:p w14:paraId="29F659F3" w14:textId="77777777" w:rsidR="0001723B" w:rsidRPr="00244343" w:rsidRDefault="0001723B" w:rsidP="00FC4291">
            <w:pPr>
              <w:autoSpaceDE w:val="0"/>
              <w:autoSpaceDN w:val="0"/>
              <w:adjustRightInd w:val="0"/>
              <w:spacing w:line="240" w:lineRule="auto"/>
              <w:rPr>
                <w:rFonts w:ascii="Times New Roman" w:hAnsi="Times New Roman" w:cs="Times New Roman"/>
                <w:sz w:val="28"/>
                <w:szCs w:val="28"/>
                <w:lang w:val="en-US"/>
              </w:rPr>
            </w:pPr>
            <w:r w:rsidRPr="00244343">
              <w:rPr>
                <w:rFonts w:ascii="Times New Roman" w:hAnsi="Times New Roman" w:cs="Times New Roman"/>
                <w:sz w:val="28"/>
                <w:szCs w:val="28"/>
                <w:lang w:val="en-US"/>
              </w:rPr>
              <w:t>6</w:t>
            </w:r>
          </w:p>
        </w:tc>
        <w:tc>
          <w:tcPr>
            <w:tcW w:w="400" w:type="dxa"/>
          </w:tcPr>
          <w:p w14:paraId="6AE58196" w14:textId="77777777" w:rsidR="0001723B" w:rsidRPr="00244343" w:rsidRDefault="0001723B" w:rsidP="00FC4291">
            <w:pPr>
              <w:autoSpaceDE w:val="0"/>
              <w:autoSpaceDN w:val="0"/>
              <w:adjustRightInd w:val="0"/>
              <w:spacing w:line="240" w:lineRule="auto"/>
              <w:rPr>
                <w:rFonts w:ascii="Times New Roman" w:hAnsi="Times New Roman" w:cs="Times New Roman"/>
                <w:sz w:val="28"/>
                <w:szCs w:val="28"/>
                <w:lang w:val="en-US"/>
              </w:rPr>
            </w:pPr>
            <w:r w:rsidRPr="00244343">
              <w:rPr>
                <w:rFonts w:ascii="Times New Roman" w:hAnsi="Times New Roman" w:cs="Times New Roman"/>
                <w:sz w:val="28"/>
                <w:szCs w:val="28"/>
                <w:lang w:val="en-US"/>
              </w:rPr>
              <w:t>7</w:t>
            </w:r>
          </w:p>
        </w:tc>
      </w:tr>
      <w:tr w:rsidR="0001723B" w:rsidRPr="00244343" w14:paraId="7B623DD7" w14:textId="77777777" w:rsidTr="00FC4291">
        <w:trPr>
          <w:cantSplit/>
          <w:trHeight w:val="20"/>
          <w:jc w:val="center"/>
        </w:trPr>
        <w:tc>
          <w:tcPr>
            <w:tcW w:w="7074" w:type="dxa"/>
          </w:tcPr>
          <w:p w14:paraId="572909C2"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9. It required knowledge and competencies that I did not have.</w:t>
            </w:r>
          </w:p>
        </w:tc>
        <w:tc>
          <w:tcPr>
            <w:tcW w:w="443" w:type="dxa"/>
            <w:vAlign w:val="center"/>
          </w:tcPr>
          <w:p w14:paraId="5C684984"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1</w:t>
            </w:r>
          </w:p>
        </w:tc>
        <w:tc>
          <w:tcPr>
            <w:tcW w:w="400" w:type="dxa"/>
            <w:vAlign w:val="center"/>
          </w:tcPr>
          <w:p w14:paraId="27D943CB"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2</w:t>
            </w:r>
          </w:p>
        </w:tc>
        <w:tc>
          <w:tcPr>
            <w:tcW w:w="401" w:type="dxa"/>
            <w:vAlign w:val="center"/>
          </w:tcPr>
          <w:p w14:paraId="550A795E"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3</w:t>
            </w:r>
          </w:p>
        </w:tc>
        <w:tc>
          <w:tcPr>
            <w:tcW w:w="400" w:type="dxa"/>
            <w:vAlign w:val="center"/>
          </w:tcPr>
          <w:p w14:paraId="0DDEF4F3"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4</w:t>
            </w:r>
          </w:p>
        </w:tc>
        <w:tc>
          <w:tcPr>
            <w:tcW w:w="400" w:type="dxa"/>
          </w:tcPr>
          <w:p w14:paraId="3D67D409" w14:textId="77777777" w:rsidR="0001723B" w:rsidRPr="00244343" w:rsidRDefault="0001723B" w:rsidP="00FC4291">
            <w:pPr>
              <w:autoSpaceDE w:val="0"/>
              <w:autoSpaceDN w:val="0"/>
              <w:adjustRightInd w:val="0"/>
              <w:spacing w:line="240" w:lineRule="auto"/>
              <w:rPr>
                <w:rFonts w:ascii="Times New Roman" w:hAnsi="Times New Roman" w:cs="Times New Roman"/>
                <w:sz w:val="28"/>
                <w:szCs w:val="28"/>
                <w:lang w:val="en-US"/>
              </w:rPr>
            </w:pPr>
            <w:r w:rsidRPr="00244343">
              <w:rPr>
                <w:rFonts w:ascii="Times New Roman" w:hAnsi="Times New Roman" w:cs="Times New Roman"/>
                <w:sz w:val="28"/>
                <w:szCs w:val="28"/>
                <w:lang w:val="en-US"/>
              </w:rPr>
              <w:t>5</w:t>
            </w:r>
          </w:p>
        </w:tc>
        <w:tc>
          <w:tcPr>
            <w:tcW w:w="400" w:type="dxa"/>
          </w:tcPr>
          <w:p w14:paraId="533E3B3B" w14:textId="77777777" w:rsidR="0001723B" w:rsidRPr="00244343" w:rsidRDefault="0001723B" w:rsidP="00FC4291">
            <w:pPr>
              <w:autoSpaceDE w:val="0"/>
              <w:autoSpaceDN w:val="0"/>
              <w:adjustRightInd w:val="0"/>
              <w:spacing w:line="240" w:lineRule="auto"/>
              <w:rPr>
                <w:rFonts w:ascii="Times New Roman" w:hAnsi="Times New Roman" w:cs="Times New Roman"/>
                <w:sz w:val="28"/>
                <w:szCs w:val="28"/>
                <w:lang w:val="en-US"/>
              </w:rPr>
            </w:pPr>
            <w:r w:rsidRPr="00244343">
              <w:rPr>
                <w:rFonts w:ascii="Times New Roman" w:hAnsi="Times New Roman" w:cs="Times New Roman"/>
                <w:sz w:val="28"/>
                <w:szCs w:val="28"/>
                <w:lang w:val="en-US"/>
              </w:rPr>
              <w:t>6</w:t>
            </w:r>
          </w:p>
        </w:tc>
        <w:tc>
          <w:tcPr>
            <w:tcW w:w="400" w:type="dxa"/>
          </w:tcPr>
          <w:p w14:paraId="157317BC" w14:textId="77777777" w:rsidR="0001723B" w:rsidRPr="00244343" w:rsidRDefault="0001723B" w:rsidP="00FC4291">
            <w:pPr>
              <w:autoSpaceDE w:val="0"/>
              <w:autoSpaceDN w:val="0"/>
              <w:adjustRightInd w:val="0"/>
              <w:spacing w:line="240" w:lineRule="auto"/>
              <w:rPr>
                <w:rFonts w:ascii="Times New Roman" w:hAnsi="Times New Roman" w:cs="Times New Roman"/>
                <w:sz w:val="28"/>
                <w:szCs w:val="28"/>
                <w:lang w:val="en-US"/>
              </w:rPr>
            </w:pPr>
            <w:r w:rsidRPr="00244343">
              <w:rPr>
                <w:rFonts w:ascii="Times New Roman" w:hAnsi="Times New Roman" w:cs="Times New Roman"/>
                <w:sz w:val="28"/>
                <w:szCs w:val="28"/>
                <w:lang w:val="en-US"/>
              </w:rPr>
              <w:t>7</w:t>
            </w:r>
          </w:p>
        </w:tc>
      </w:tr>
      <w:tr w:rsidR="0001723B" w:rsidRPr="00244343" w14:paraId="4CE2400C" w14:textId="77777777" w:rsidTr="00FC4291">
        <w:trPr>
          <w:cantSplit/>
          <w:trHeight w:val="20"/>
          <w:jc w:val="center"/>
        </w:trPr>
        <w:tc>
          <w:tcPr>
            <w:tcW w:w="7074" w:type="dxa"/>
          </w:tcPr>
          <w:p w14:paraId="02EB6A4E" w14:textId="77777777" w:rsidR="0001723B" w:rsidRPr="00244343" w:rsidRDefault="0001723B" w:rsidP="00FC4291">
            <w:pPr>
              <w:autoSpaceDE w:val="0"/>
              <w:autoSpaceDN w:val="0"/>
              <w:adjustRightInd w:val="0"/>
              <w:spacing w:line="240" w:lineRule="auto"/>
              <w:jc w:val="both"/>
              <w:rPr>
                <w:rFonts w:ascii="Times New Roman" w:hAnsi="Times New Roman" w:cs="Times New Roman"/>
                <w:b/>
                <w:bCs/>
                <w:sz w:val="28"/>
                <w:szCs w:val="28"/>
                <w:lang w:val="en-US"/>
              </w:rPr>
            </w:pPr>
            <w:r w:rsidRPr="00244343">
              <w:rPr>
                <w:rFonts w:ascii="Times New Roman" w:hAnsi="Times New Roman" w:cs="Times New Roman"/>
                <w:sz w:val="28"/>
                <w:szCs w:val="28"/>
                <w:lang w:val="en-US"/>
              </w:rPr>
              <w:t>Other. WRITE OUT WHAT EXACTLY</w:t>
            </w:r>
          </w:p>
        </w:tc>
        <w:tc>
          <w:tcPr>
            <w:tcW w:w="443" w:type="dxa"/>
            <w:vAlign w:val="center"/>
          </w:tcPr>
          <w:p w14:paraId="1C59D5EE"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1</w:t>
            </w:r>
          </w:p>
        </w:tc>
        <w:tc>
          <w:tcPr>
            <w:tcW w:w="400" w:type="dxa"/>
            <w:vAlign w:val="center"/>
          </w:tcPr>
          <w:p w14:paraId="3D70C9A7"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2</w:t>
            </w:r>
          </w:p>
        </w:tc>
        <w:tc>
          <w:tcPr>
            <w:tcW w:w="401" w:type="dxa"/>
            <w:vAlign w:val="center"/>
          </w:tcPr>
          <w:p w14:paraId="2AF4F35F"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3</w:t>
            </w:r>
          </w:p>
        </w:tc>
        <w:tc>
          <w:tcPr>
            <w:tcW w:w="400" w:type="dxa"/>
            <w:vAlign w:val="center"/>
          </w:tcPr>
          <w:p w14:paraId="122945FA"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4</w:t>
            </w:r>
          </w:p>
        </w:tc>
        <w:tc>
          <w:tcPr>
            <w:tcW w:w="400" w:type="dxa"/>
          </w:tcPr>
          <w:p w14:paraId="546E3FB7"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5</w:t>
            </w:r>
          </w:p>
        </w:tc>
        <w:tc>
          <w:tcPr>
            <w:tcW w:w="400" w:type="dxa"/>
          </w:tcPr>
          <w:p w14:paraId="248F3CA7"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6</w:t>
            </w:r>
          </w:p>
        </w:tc>
        <w:tc>
          <w:tcPr>
            <w:tcW w:w="400" w:type="dxa"/>
          </w:tcPr>
          <w:p w14:paraId="26169F19" w14:textId="77777777" w:rsidR="0001723B" w:rsidRPr="00244343" w:rsidRDefault="0001723B" w:rsidP="00FC4291">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7</w:t>
            </w:r>
          </w:p>
        </w:tc>
      </w:tr>
    </w:tbl>
    <w:p w14:paraId="1EBFEE85" w14:textId="77777777" w:rsidR="0001723B" w:rsidRPr="00244343" w:rsidRDefault="0001723B" w:rsidP="0001723B">
      <w:pPr>
        <w:autoSpaceDE w:val="0"/>
        <w:autoSpaceDN w:val="0"/>
        <w:adjustRightInd w:val="0"/>
        <w:spacing w:line="240" w:lineRule="auto"/>
        <w:jc w:val="both"/>
        <w:rPr>
          <w:rFonts w:ascii="Times New Roman" w:hAnsi="Times New Roman" w:cs="Times New Roman"/>
          <w:sz w:val="28"/>
          <w:szCs w:val="28"/>
          <w:u w:val="single"/>
          <w:lang w:val="en-US"/>
        </w:rPr>
      </w:pPr>
    </w:p>
    <w:p w14:paraId="442E15D8" w14:textId="77777777" w:rsidR="0001723B" w:rsidRPr="00244343" w:rsidRDefault="0001723B" w:rsidP="0001723B">
      <w:pPr>
        <w:autoSpaceDE w:val="0"/>
        <w:autoSpaceDN w:val="0"/>
        <w:adjustRightInd w:val="0"/>
        <w:spacing w:line="240" w:lineRule="auto"/>
        <w:jc w:val="both"/>
        <w:rPr>
          <w:rFonts w:ascii="Times New Roman" w:hAnsi="Times New Roman" w:cs="Times New Roman"/>
          <w:i/>
          <w:iCs/>
          <w:sz w:val="28"/>
          <w:szCs w:val="28"/>
          <w:lang w:val="en-US"/>
        </w:rPr>
      </w:pPr>
      <w:r w:rsidRPr="00244343">
        <w:rPr>
          <w:rFonts w:ascii="Times New Roman" w:hAnsi="Times New Roman" w:cs="Times New Roman"/>
          <w:b/>
          <w:sz w:val="28"/>
          <w:szCs w:val="28"/>
          <w:lang w:val="en-US"/>
        </w:rPr>
        <w:t>Q4</w:t>
      </w:r>
      <w:r w:rsidRPr="00244343">
        <w:rPr>
          <w:rFonts w:ascii="Times New Roman" w:hAnsi="Times New Roman" w:cs="Times New Roman"/>
          <w:b/>
          <w:bCs/>
          <w:sz w:val="28"/>
          <w:szCs w:val="28"/>
          <w:lang w:val="en-US"/>
        </w:rPr>
        <w:t>. What helps students, from your point of view, get a job after graduating? /</w:t>
      </w:r>
      <w:r w:rsidRPr="00244343">
        <w:rPr>
          <w:rFonts w:ascii="Times New Roman" w:hAnsi="Times New Roman" w:cs="Times New Roman"/>
          <w:i/>
          <w:iCs/>
          <w:sz w:val="28"/>
          <w:szCs w:val="28"/>
          <w:lang w:val="en-US"/>
        </w:rPr>
        <w:t>MULTIPLE ANSWERS POSSIBLE/</w:t>
      </w:r>
    </w:p>
    <w:p w14:paraId="3708DBC8" w14:textId="77777777" w:rsidR="0001723B" w:rsidRPr="00244343" w:rsidRDefault="0001723B" w:rsidP="0001723B">
      <w:pPr>
        <w:autoSpaceDE w:val="0"/>
        <w:autoSpaceDN w:val="0"/>
        <w:adjustRightInd w:val="0"/>
        <w:spacing w:line="240" w:lineRule="auto"/>
        <w:jc w:val="both"/>
        <w:rPr>
          <w:rFonts w:ascii="Times New Roman" w:hAnsi="Times New Roman" w:cs="Times New Roman"/>
          <w:bCs/>
          <w:i/>
          <w:iCs/>
          <w:sz w:val="28"/>
          <w:szCs w:val="28"/>
          <w:lang w:val="en-US"/>
        </w:rPr>
      </w:pPr>
      <w:r w:rsidRPr="00244343">
        <w:rPr>
          <w:rFonts w:ascii="Times New Roman" w:hAnsi="Times New Roman" w:cs="Times New Roman"/>
          <w:b/>
          <w:sz w:val="28"/>
          <w:szCs w:val="28"/>
          <w:lang w:val="en-US"/>
        </w:rPr>
        <w:t xml:space="preserve">Q5. How effective do you think these programs are in promoting the employment of university graduates? </w:t>
      </w:r>
      <w:r w:rsidRPr="00244343">
        <w:rPr>
          <w:rFonts w:ascii="Times New Roman" w:hAnsi="Times New Roman" w:cs="Times New Roman"/>
          <w:bCs/>
          <w:i/>
          <w:iCs/>
          <w:sz w:val="28"/>
          <w:szCs w:val="28"/>
          <w:lang w:val="en-US"/>
        </w:rPr>
        <w:t>THE ANSWER MUST BE ON EVERY LINE. When rating, use a 7-point rating scale, where 1 is - not at all effective and 7 - is very effective.</w:t>
      </w:r>
    </w:p>
    <w:tbl>
      <w:tblPr>
        <w:tblStyle w:val="a8"/>
        <w:tblW w:w="9776" w:type="dxa"/>
        <w:tblLook w:val="04A0" w:firstRow="1" w:lastRow="0" w:firstColumn="1" w:lastColumn="0" w:noHBand="0" w:noVBand="1"/>
      </w:tblPr>
      <w:tblGrid>
        <w:gridCol w:w="5949"/>
        <w:gridCol w:w="1559"/>
        <w:gridCol w:w="2268"/>
      </w:tblGrid>
      <w:tr w:rsidR="0001723B" w:rsidRPr="00244343" w14:paraId="32184472" w14:textId="77777777" w:rsidTr="00FC4291">
        <w:tc>
          <w:tcPr>
            <w:tcW w:w="5949" w:type="dxa"/>
            <w:vMerge w:val="restart"/>
            <w:vAlign w:val="center"/>
          </w:tcPr>
          <w:p w14:paraId="69E4591A" w14:textId="77777777" w:rsidR="0001723B" w:rsidRPr="00244343" w:rsidRDefault="0001723B" w:rsidP="00FC4291">
            <w:pPr>
              <w:pStyle w:val="af"/>
              <w:jc w:val="center"/>
              <w:rPr>
                <w:rFonts w:ascii="Times New Roman" w:hAnsi="Times New Roman"/>
                <w:sz w:val="28"/>
                <w:szCs w:val="28"/>
                <w:lang w:val="en-US"/>
              </w:rPr>
            </w:pPr>
          </w:p>
        </w:tc>
        <w:tc>
          <w:tcPr>
            <w:tcW w:w="1559" w:type="dxa"/>
            <w:vMerge w:val="restart"/>
            <w:shd w:val="clear" w:color="auto" w:fill="A6A6A6" w:themeFill="background1" w:themeFillShade="A6"/>
            <w:vAlign w:val="center"/>
          </w:tcPr>
          <w:p w14:paraId="783B254A"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Q4</w:t>
            </w:r>
          </w:p>
        </w:tc>
        <w:tc>
          <w:tcPr>
            <w:tcW w:w="2268" w:type="dxa"/>
            <w:shd w:val="clear" w:color="auto" w:fill="A6A6A6" w:themeFill="background1" w:themeFillShade="A6"/>
            <w:vAlign w:val="center"/>
          </w:tcPr>
          <w:p w14:paraId="101288D6"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Q5</w:t>
            </w:r>
          </w:p>
        </w:tc>
      </w:tr>
      <w:tr w:rsidR="0001723B" w:rsidRPr="00244343" w14:paraId="4A078DCE" w14:textId="77777777" w:rsidTr="00FC4291">
        <w:tc>
          <w:tcPr>
            <w:tcW w:w="5949" w:type="dxa"/>
            <w:vMerge/>
            <w:vAlign w:val="center"/>
          </w:tcPr>
          <w:p w14:paraId="6806A6EC" w14:textId="77777777" w:rsidR="0001723B" w:rsidRPr="00244343" w:rsidRDefault="0001723B" w:rsidP="00FC4291">
            <w:pPr>
              <w:pStyle w:val="af"/>
              <w:jc w:val="center"/>
              <w:rPr>
                <w:rFonts w:ascii="Times New Roman" w:hAnsi="Times New Roman"/>
                <w:sz w:val="28"/>
                <w:szCs w:val="28"/>
                <w:lang w:val="en-US"/>
              </w:rPr>
            </w:pPr>
          </w:p>
        </w:tc>
        <w:tc>
          <w:tcPr>
            <w:tcW w:w="1559" w:type="dxa"/>
            <w:vMerge/>
            <w:vAlign w:val="center"/>
          </w:tcPr>
          <w:p w14:paraId="623E9FF2" w14:textId="77777777" w:rsidR="0001723B" w:rsidRPr="00244343" w:rsidRDefault="0001723B" w:rsidP="00FC4291">
            <w:pPr>
              <w:pStyle w:val="af"/>
              <w:jc w:val="center"/>
              <w:rPr>
                <w:rFonts w:ascii="Times New Roman" w:hAnsi="Times New Roman"/>
                <w:sz w:val="28"/>
                <w:szCs w:val="28"/>
                <w:lang w:val="en-US"/>
              </w:rPr>
            </w:pPr>
          </w:p>
        </w:tc>
        <w:tc>
          <w:tcPr>
            <w:tcW w:w="2268" w:type="dxa"/>
            <w:vAlign w:val="center"/>
          </w:tcPr>
          <w:p w14:paraId="178AFC8E"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Rating from 1 to 7</w:t>
            </w:r>
          </w:p>
        </w:tc>
      </w:tr>
      <w:tr w:rsidR="0001723B" w:rsidRPr="00244343" w14:paraId="565CB9F8" w14:textId="77777777" w:rsidTr="00FC4291">
        <w:tc>
          <w:tcPr>
            <w:tcW w:w="5949" w:type="dxa"/>
          </w:tcPr>
          <w:p w14:paraId="1ED7F6D9" w14:textId="77777777" w:rsidR="0001723B" w:rsidRPr="00244343" w:rsidRDefault="0001723B" w:rsidP="00FC4291">
            <w:pPr>
              <w:pStyle w:val="af"/>
              <w:rPr>
                <w:rFonts w:ascii="Times New Roman" w:hAnsi="Times New Roman"/>
                <w:sz w:val="28"/>
                <w:szCs w:val="28"/>
                <w:lang w:val="en-US"/>
              </w:rPr>
            </w:pPr>
            <w:r w:rsidRPr="00244343">
              <w:rPr>
                <w:rFonts w:ascii="Times New Roman" w:hAnsi="Times New Roman"/>
                <w:sz w:val="28"/>
                <w:szCs w:val="28"/>
                <w:lang w:val="en-US"/>
              </w:rPr>
              <w:t>University Career Center / Career Center</w:t>
            </w:r>
          </w:p>
        </w:tc>
        <w:tc>
          <w:tcPr>
            <w:tcW w:w="1559" w:type="dxa"/>
          </w:tcPr>
          <w:p w14:paraId="5E25A298"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1</w:t>
            </w:r>
          </w:p>
        </w:tc>
        <w:tc>
          <w:tcPr>
            <w:tcW w:w="2268" w:type="dxa"/>
          </w:tcPr>
          <w:p w14:paraId="64DB9129" w14:textId="77777777" w:rsidR="0001723B" w:rsidRPr="00244343" w:rsidRDefault="0001723B" w:rsidP="00FC4291">
            <w:pPr>
              <w:pStyle w:val="af"/>
              <w:jc w:val="center"/>
              <w:rPr>
                <w:rFonts w:ascii="Times New Roman" w:hAnsi="Times New Roman"/>
                <w:sz w:val="28"/>
                <w:szCs w:val="28"/>
                <w:lang w:val="en-US"/>
              </w:rPr>
            </w:pPr>
          </w:p>
        </w:tc>
      </w:tr>
      <w:tr w:rsidR="0001723B" w:rsidRPr="00244343" w14:paraId="4BF4FF4A" w14:textId="77777777" w:rsidTr="00FC4291">
        <w:tc>
          <w:tcPr>
            <w:tcW w:w="5949" w:type="dxa"/>
          </w:tcPr>
          <w:p w14:paraId="3E574466" w14:textId="77777777" w:rsidR="0001723B" w:rsidRPr="00244343" w:rsidRDefault="0001723B" w:rsidP="00FC4291">
            <w:pPr>
              <w:pStyle w:val="af"/>
              <w:rPr>
                <w:rFonts w:ascii="Times New Roman" w:hAnsi="Times New Roman"/>
                <w:sz w:val="28"/>
                <w:szCs w:val="28"/>
                <w:lang w:val="en-US"/>
              </w:rPr>
            </w:pPr>
            <w:r w:rsidRPr="00244343">
              <w:rPr>
                <w:rFonts w:ascii="Times New Roman" w:hAnsi="Times New Roman"/>
                <w:sz w:val="28"/>
                <w:szCs w:val="28"/>
                <w:lang w:val="en-US"/>
              </w:rPr>
              <w:t>State employment center</w:t>
            </w:r>
          </w:p>
        </w:tc>
        <w:tc>
          <w:tcPr>
            <w:tcW w:w="1559" w:type="dxa"/>
          </w:tcPr>
          <w:p w14:paraId="34E7C6B6"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2</w:t>
            </w:r>
          </w:p>
        </w:tc>
        <w:tc>
          <w:tcPr>
            <w:tcW w:w="2268" w:type="dxa"/>
          </w:tcPr>
          <w:p w14:paraId="3ABEFCCC" w14:textId="77777777" w:rsidR="0001723B" w:rsidRPr="00244343" w:rsidRDefault="0001723B" w:rsidP="00FC4291">
            <w:pPr>
              <w:pStyle w:val="af"/>
              <w:jc w:val="center"/>
              <w:rPr>
                <w:rFonts w:ascii="Times New Roman" w:hAnsi="Times New Roman"/>
                <w:sz w:val="28"/>
                <w:szCs w:val="28"/>
                <w:lang w:val="en-US"/>
              </w:rPr>
            </w:pPr>
          </w:p>
        </w:tc>
      </w:tr>
      <w:tr w:rsidR="0001723B" w:rsidRPr="00244343" w14:paraId="7C87F33E" w14:textId="77777777" w:rsidTr="00FC4291">
        <w:tc>
          <w:tcPr>
            <w:tcW w:w="5949" w:type="dxa"/>
          </w:tcPr>
          <w:p w14:paraId="10F2AA47" w14:textId="77777777" w:rsidR="0001723B" w:rsidRPr="00244343" w:rsidRDefault="0001723B" w:rsidP="00FC4291">
            <w:pPr>
              <w:pStyle w:val="af"/>
              <w:rPr>
                <w:rFonts w:ascii="Times New Roman" w:hAnsi="Times New Roman"/>
                <w:sz w:val="28"/>
                <w:szCs w:val="28"/>
                <w:lang w:val="en-US"/>
              </w:rPr>
            </w:pPr>
            <w:r w:rsidRPr="00244343">
              <w:rPr>
                <w:rFonts w:ascii="Times New Roman" w:hAnsi="Times New Roman"/>
                <w:sz w:val="28"/>
                <w:szCs w:val="28"/>
                <w:lang w:val="en-US"/>
              </w:rPr>
              <w:t>Private career employment agencies</w:t>
            </w:r>
          </w:p>
        </w:tc>
        <w:tc>
          <w:tcPr>
            <w:tcW w:w="1559" w:type="dxa"/>
          </w:tcPr>
          <w:p w14:paraId="487B2AF4"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3</w:t>
            </w:r>
          </w:p>
        </w:tc>
        <w:tc>
          <w:tcPr>
            <w:tcW w:w="2268" w:type="dxa"/>
          </w:tcPr>
          <w:p w14:paraId="382B9F38" w14:textId="77777777" w:rsidR="0001723B" w:rsidRPr="00244343" w:rsidRDefault="0001723B" w:rsidP="00FC4291">
            <w:pPr>
              <w:pStyle w:val="af"/>
              <w:jc w:val="center"/>
              <w:rPr>
                <w:rFonts w:ascii="Times New Roman" w:hAnsi="Times New Roman"/>
                <w:sz w:val="28"/>
                <w:szCs w:val="28"/>
                <w:lang w:val="en-US"/>
              </w:rPr>
            </w:pPr>
          </w:p>
        </w:tc>
      </w:tr>
      <w:tr w:rsidR="0001723B" w:rsidRPr="00244343" w14:paraId="585AB46F" w14:textId="77777777" w:rsidTr="00FC4291">
        <w:tc>
          <w:tcPr>
            <w:tcW w:w="5949" w:type="dxa"/>
          </w:tcPr>
          <w:p w14:paraId="068B91CE" w14:textId="77777777" w:rsidR="0001723B" w:rsidRPr="00244343" w:rsidRDefault="0001723B" w:rsidP="00FC4291">
            <w:pPr>
              <w:pStyle w:val="af"/>
              <w:rPr>
                <w:rFonts w:ascii="Times New Roman" w:hAnsi="Times New Roman"/>
                <w:sz w:val="28"/>
                <w:szCs w:val="28"/>
                <w:lang w:val="en-US"/>
              </w:rPr>
            </w:pPr>
            <w:r w:rsidRPr="00244343">
              <w:rPr>
                <w:rFonts w:ascii="Times New Roman" w:hAnsi="Times New Roman"/>
                <w:sz w:val="28"/>
                <w:szCs w:val="28"/>
                <w:lang w:val="en-US"/>
              </w:rPr>
              <w:t xml:space="preserve"> Headhunter / hh.kz</w:t>
            </w:r>
          </w:p>
        </w:tc>
        <w:tc>
          <w:tcPr>
            <w:tcW w:w="1559" w:type="dxa"/>
          </w:tcPr>
          <w:p w14:paraId="33653E1D"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4</w:t>
            </w:r>
          </w:p>
        </w:tc>
        <w:tc>
          <w:tcPr>
            <w:tcW w:w="2268" w:type="dxa"/>
          </w:tcPr>
          <w:p w14:paraId="4E0CB3CE" w14:textId="77777777" w:rsidR="0001723B" w:rsidRPr="00244343" w:rsidRDefault="0001723B" w:rsidP="00FC4291">
            <w:pPr>
              <w:pStyle w:val="af"/>
              <w:jc w:val="center"/>
              <w:rPr>
                <w:rFonts w:ascii="Times New Roman" w:hAnsi="Times New Roman"/>
                <w:sz w:val="28"/>
                <w:szCs w:val="28"/>
                <w:lang w:val="en-US"/>
              </w:rPr>
            </w:pPr>
          </w:p>
        </w:tc>
      </w:tr>
      <w:tr w:rsidR="0001723B" w:rsidRPr="00244343" w14:paraId="676B34BC" w14:textId="77777777" w:rsidTr="00FC4291">
        <w:tc>
          <w:tcPr>
            <w:tcW w:w="5949" w:type="dxa"/>
          </w:tcPr>
          <w:p w14:paraId="2AC8F4EC" w14:textId="77777777" w:rsidR="0001723B" w:rsidRPr="00244343" w:rsidRDefault="0001723B" w:rsidP="00FC4291">
            <w:pPr>
              <w:pStyle w:val="af"/>
              <w:rPr>
                <w:rFonts w:ascii="Times New Roman" w:hAnsi="Times New Roman"/>
                <w:sz w:val="28"/>
                <w:szCs w:val="28"/>
                <w:lang w:val="en-US"/>
              </w:rPr>
            </w:pPr>
            <w:r w:rsidRPr="00244343">
              <w:rPr>
                <w:rFonts w:ascii="Times New Roman" w:hAnsi="Times New Roman"/>
                <w:sz w:val="28"/>
                <w:szCs w:val="28"/>
                <w:lang w:val="en-US"/>
              </w:rPr>
              <w:t>Social media</w:t>
            </w:r>
          </w:p>
        </w:tc>
        <w:tc>
          <w:tcPr>
            <w:tcW w:w="1559" w:type="dxa"/>
          </w:tcPr>
          <w:p w14:paraId="7A68B91A"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5</w:t>
            </w:r>
          </w:p>
        </w:tc>
        <w:tc>
          <w:tcPr>
            <w:tcW w:w="2268" w:type="dxa"/>
          </w:tcPr>
          <w:p w14:paraId="1E922391" w14:textId="77777777" w:rsidR="0001723B" w:rsidRPr="00244343" w:rsidRDefault="0001723B" w:rsidP="00FC4291">
            <w:pPr>
              <w:pStyle w:val="af"/>
              <w:jc w:val="center"/>
              <w:rPr>
                <w:rFonts w:ascii="Times New Roman" w:hAnsi="Times New Roman"/>
                <w:sz w:val="28"/>
                <w:szCs w:val="28"/>
                <w:lang w:val="en-US"/>
              </w:rPr>
            </w:pPr>
          </w:p>
        </w:tc>
      </w:tr>
      <w:tr w:rsidR="0001723B" w:rsidRPr="00244343" w14:paraId="6DCF5149" w14:textId="77777777" w:rsidTr="00FC4291">
        <w:tc>
          <w:tcPr>
            <w:tcW w:w="5949" w:type="dxa"/>
          </w:tcPr>
          <w:p w14:paraId="16D2FFF1" w14:textId="77777777" w:rsidR="0001723B" w:rsidRPr="00244343" w:rsidRDefault="0001723B" w:rsidP="00FC4291">
            <w:pPr>
              <w:pStyle w:val="af"/>
              <w:rPr>
                <w:rFonts w:ascii="Times New Roman" w:hAnsi="Times New Roman"/>
                <w:sz w:val="28"/>
                <w:szCs w:val="28"/>
                <w:lang w:val="en-US"/>
              </w:rPr>
            </w:pPr>
            <w:r w:rsidRPr="00244343">
              <w:rPr>
                <w:rFonts w:ascii="Times New Roman" w:hAnsi="Times New Roman"/>
                <w:sz w:val="28"/>
                <w:szCs w:val="28"/>
                <w:lang w:val="en-US"/>
              </w:rPr>
              <w:t>Paper newspapers</w:t>
            </w:r>
          </w:p>
        </w:tc>
        <w:tc>
          <w:tcPr>
            <w:tcW w:w="1559" w:type="dxa"/>
          </w:tcPr>
          <w:p w14:paraId="37B18CC1"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6</w:t>
            </w:r>
          </w:p>
        </w:tc>
        <w:tc>
          <w:tcPr>
            <w:tcW w:w="2268" w:type="dxa"/>
          </w:tcPr>
          <w:p w14:paraId="3171978A" w14:textId="77777777" w:rsidR="0001723B" w:rsidRPr="00244343" w:rsidRDefault="0001723B" w:rsidP="00FC4291">
            <w:pPr>
              <w:pStyle w:val="af"/>
              <w:jc w:val="center"/>
              <w:rPr>
                <w:rFonts w:ascii="Times New Roman" w:hAnsi="Times New Roman"/>
                <w:sz w:val="28"/>
                <w:szCs w:val="28"/>
                <w:lang w:val="en-US"/>
              </w:rPr>
            </w:pPr>
          </w:p>
        </w:tc>
      </w:tr>
      <w:tr w:rsidR="0001723B" w:rsidRPr="00244343" w14:paraId="2B5C93AF" w14:textId="77777777" w:rsidTr="0001723B">
        <w:tc>
          <w:tcPr>
            <w:tcW w:w="5949" w:type="dxa"/>
            <w:tcBorders>
              <w:bottom w:val="nil"/>
            </w:tcBorders>
          </w:tcPr>
          <w:p w14:paraId="456E5AA6" w14:textId="77777777" w:rsidR="0001723B" w:rsidRPr="00244343" w:rsidRDefault="0001723B" w:rsidP="00FC4291">
            <w:pPr>
              <w:pStyle w:val="af"/>
              <w:rPr>
                <w:rFonts w:ascii="Times New Roman" w:hAnsi="Times New Roman"/>
                <w:sz w:val="28"/>
                <w:szCs w:val="28"/>
                <w:lang w:val="en-US"/>
              </w:rPr>
            </w:pPr>
            <w:r w:rsidRPr="00244343">
              <w:rPr>
                <w:rFonts w:ascii="Times New Roman" w:hAnsi="Times New Roman"/>
                <w:sz w:val="28"/>
                <w:szCs w:val="28"/>
                <w:lang w:val="en-US"/>
              </w:rPr>
              <w:t>Job fairs</w:t>
            </w:r>
          </w:p>
        </w:tc>
        <w:tc>
          <w:tcPr>
            <w:tcW w:w="1559" w:type="dxa"/>
            <w:tcBorders>
              <w:bottom w:val="nil"/>
            </w:tcBorders>
          </w:tcPr>
          <w:p w14:paraId="35987955"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7</w:t>
            </w:r>
          </w:p>
        </w:tc>
        <w:tc>
          <w:tcPr>
            <w:tcW w:w="2268" w:type="dxa"/>
            <w:tcBorders>
              <w:bottom w:val="nil"/>
            </w:tcBorders>
          </w:tcPr>
          <w:p w14:paraId="3573825A" w14:textId="77777777" w:rsidR="0001723B" w:rsidRPr="00244343" w:rsidRDefault="0001723B" w:rsidP="00FC4291">
            <w:pPr>
              <w:pStyle w:val="af"/>
              <w:jc w:val="center"/>
              <w:rPr>
                <w:rFonts w:ascii="Times New Roman" w:hAnsi="Times New Roman"/>
                <w:sz w:val="28"/>
                <w:szCs w:val="28"/>
                <w:lang w:val="en-US"/>
              </w:rPr>
            </w:pPr>
          </w:p>
        </w:tc>
      </w:tr>
      <w:tr w:rsidR="0001723B" w:rsidRPr="00244343" w14:paraId="0910C30C" w14:textId="77777777" w:rsidTr="0001723B">
        <w:tc>
          <w:tcPr>
            <w:tcW w:w="5949" w:type="dxa"/>
            <w:tcBorders>
              <w:top w:val="nil"/>
            </w:tcBorders>
          </w:tcPr>
          <w:p w14:paraId="199A6403" w14:textId="77777777" w:rsidR="0001723B" w:rsidRPr="00244343" w:rsidRDefault="0001723B" w:rsidP="00FC4291">
            <w:pPr>
              <w:pStyle w:val="af"/>
              <w:rPr>
                <w:rFonts w:ascii="Times New Roman" w:hAnsi="Times New Roman"/>
                <w:sz w:val="28"/>
                <w:szCs w:val="28"/>
                <w:highlight w:val="green"/>
                <w:lang w:val="en-US"/>
              </w:rPr>
            </w:pPr>
            <w:r w:rsidRPr="00244343">
              <w:rPr>
                <w:rFonts w:ascii="Times New Roman" w:hAnsi="Times New Roman"/>
                <w:sz w:val="28"/>
                <w:szCs w:val="28"/>
                <w:lang w:val="en-US"/>
              </w:rPr>
              <w:lastRenderedPageBreak/>
              <w:t>Acquaintances, relatives, personal connections</w:t>
            </w:r>
          </w:p>
        </w:tc>
        <w:tc>
          <w:tcPr>
            <w:tcW w:w="1559" w:type="dxa"/>
            <w:tcBorders>
              <w:top w:val="nil"/>
            </w:tcBorders>
          </w:tcPr>
          <w:p w14:paraId="52FB8CD9"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8</w:t>
            </w:r>
          </w:p>
        </w:tc>
        <w:tc>
          <w:tcPr>
            <w:tcW w:w="2268" w:type="dxa"/>
            <w:tcBorders>
              <w:top w:val="nil"/>
            </w:tcBorders>
          </w:tcPr>
          <w:p w14:paraId="17573ECB"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w:t>
            </w:r>
          </w:p>
        </w:tc>
      </w:tr>
      <w:tr w:rsidR="0001723B" w:rsidRPr="00244343" w14:paraId="2313F618" w14:textId="77777777" w:rsidTr="00FC4291">
        <w:tc>
          <w:tcPr>
            <w:tcW w:w="5949" w:type="dxa"/>
          </w:tcPr>
          <w:p w14:paraId="631759E8" w14:textId="77777777" w:rsidR="0001723B" w:rsidRPr="00244343" w:rsidRDefault="0001723B" w:rsidP="00FC4291">
            <w:pPr>
              <w:pStyle w:val="af"/>
              <w:rPr>
                <w:rFonts w:ascii="Times New Roman" w:hAnsi="Times New Roman"/>
                <w:sz w:val="28"/>
                <w:szCs w:val="28"/>
                <w:lang w:val="en-US"/>
              </w:rPr>
            </w:pPr>
            <w:r w:rsidRPr="00244343">
              <w:rPr>
                <w:rFonts w:ascii="Times New Roman" w:hAnsi="Times New Roman"/>
                <w:sz w:val="28"/>
                <w:szCs w:val="28"/>
                <w:lang w:val="en-US"/>
              </w:rPr>
              <w:t>Internship</w:t>
            </w:r>
          </w:p>
        </w:tc>
        <w:tc>
          <w:tcPr>
            <w:tcW w:w="1559" w:type="dxa"/>
          </w:tcPr>
          <w:p w14:paraId="11E0FC1D"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9</w:t>
            </w:r>
          </w:p>
        </w:tc>
        <w:tc>
          <w:tcPr>
            <w:tcW w:w="2268" w:type="dxa"/>
          </w:tcPr>
          <w:p w14:paraId="7F34AE69" w14:textId="77777777" w:rsidR="0001723B" w:rsidRPr="00244343" w:rsidRDefault="0001723B" w:rsidP="00FC4291">
            <w:pPr>
              <w:pStyle w:val="af"/>
              <w:jc w:val="center"/>
              <w:rPr>
                <w:rFonts w:ascii="Times New Roman" w:hAnsi="Times New Roman"/>
                <w:sz w:val="28"/>
                <w:szCs w:val="28"/>
                <w:lang w:val="en-US"/>
              </w:rPr>
            </w:pPr>
          </w:p>
        </w:tc>
      </w:tr>
      <w:tr w:rsidR="0001723B" w:rsidRPr="00244343" w14:paraId="68755902" w14:textId="77777777" w:rsidTr="00FC4291">
        <w:tc>
          <w:tcPr>
            <w:tcW w:w="5949" w:type="dxa"/>
          </w:tcPr>
          <w:p w14:paraId="4FD4CB9D" w14:textId="77777777" w:rsidR="0001723B" w:rsidRPr="00244343" w:rsidRDefault="0001723B" w:rsidP="00FC4291">
            <w:pPr>
              <w:pStyle w:val="af"/>
              <w:rPr>
                <w:rFonts w:ascii="Times New Roman" w:hAnsi="Times New Roman"/>
                <w:sz w:val="28"/>
                <w:szCs w:val="28"/>
                <w:lang w:val="en-US"/>
              </w:rPr>
            </w:pPr>
            <w:r w:rsidRPr="00244343">
              <w:rPr>
                <w:rFonts w:ascii="Times New Roman" w:hAnsi="Times New Roman"/>
                <w:sz w:val="28"/>
                <w:szCs w:val="28"/>
                <w:lang w:val="en-US"/>
              </w:rPr>
              <w:t>Contacting the company directly</w:t>
            </w:r>
          </w:p>
        </w:tc>
        <w:tc>
          <w:tcPr>
            <w:tcW w:w="1559" w:type="dxa"/>
          </w:tcPr>
          <w:p w14:paraId="31941828"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10</w:t>
            </w:r>
          </w:p>
        </w:tc>
        <w:tc>
          <w:tcPr>
            <w:tcW w:w="2268" w:type="dxa"/>
          </w:tcPr>
          <w:p w14:paraId="196F935F" w14:textId="77777777" w:rsidR="0001723B" w:rsidRPr="00244343" w:rsidRDefault="0001723B" w:rsidP="00FC4291">
            <w:pPr>
              <w:pStyle w:val="af"/>
              <w:jc w:val="center"/>
              <w:rPr>
                <w:rFonts w:ascii="Times New Roman" w:hAnsi="Times New Roman"/>
                <w:sz w:val="28"/>
                <w:szCs w:val="28"/>
                <w:lang w:val="en-US"/>
              </w:rPr>
            </w:pPr>
          </w:p>
        </w:tc>
      </w:tr>
      <w:tr w:rsidR="0001723B" w:rsidRPr="00244343" w14:paraId="6736D549" w14:textId="77777777" w:rsidTr="00FC4291">
        <w:tc>
          <w:tcPr>
            <w:tcW w:w="5949" w:type="dxa"/>
          </w:tcPr>
          <w:p w14:paraId="78E49616" w14:textId="77777777" w:rsidR="0001723B" w:rsidRPr="00244343" w:rsidRDefault="0001723B" w:rsidP="00FC4291">
            <w:pPr>
              <w:pStyle w:val="af"/>
              <w:rPr>
                <w:rFonts w:ascii="Times New Roman" w:hAnsi="Times New Roman"/>
                <w:sz w:val="28"/>
                <w:szCs w:val="28"/>
                <w:highlight w:val="yellow"/>
                <w:lang w:val="en-US"/>
              </w:rPr>
            </w:pPr>
            <w:r w:rsidRPr="00244343">
              <w:rPr>
                <w:rFonts w:ascii="Times New Roman" w:hAnsi="Times New Roman"/>
                <w:sz w:val="28"/>
                <w:szCs w:val="28"/>
                <w:lang w:val="en-US"/>
              </w:rPr>
              <w:t>Participation in university startup projects</w:t>
            </w:r>
          </w:p>
        </w:tc>
        <w:tc>
          <w:tcPr>
            <w:tcW w:w="1559" w:type="dxa"/>
          </w:tcPr>
          <w:p w14:paraId="745ECD90"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11</w:t>
            </w:r>
          </w:p>
        </w:tc>
        <w:tc>
          <w:tcPr>
            <w:tcW w:w="2268" w:type="dxa"/>
          </w:tcPr>
          <w:p w14:paraId="74010C03" w14:textId="77777777" w:rsidR="0001723B" w:rsidRPr="00244343" w:rsidRDefault="0001723B" w:rsidP="00FC4291">
            <w:pPr>
              <w:pStyle w:val="af"/>
              <w:jc w:val="center"/>
              <w:rPr>
                <w:rFonts w:ascii="Times New Roman" w:hAnsi="Times New Roman"/>
                <w:sz w:val="28"/>
                <w:szCs w:val="28"/>
                <w:lang w:val="en-US"/>
              </w:rPr>
            </w:pPr>
          </w:p>
        </w:tc>
      </w:tr>
      <w:tr w:rsidR="0001723B" w:rsidRPr="00244343" w14:paraId="1DEA55BA" w14:textId="77777777" w:rsidTr="00FC4291">
        <w:tc>
          <w:tcPr>
            <w:tcW w:w="5949" w:type="dxa"/>
          </w:tcPr>
          <w:p w14:paraId="3DA137A6" w14:textId="77777777" w:rsidR="0001723B" w:rsidRPr="00244343" w:rsidRDefault="0001723B" w:rsidP="00FC4291">
            <w:pPr>
              <w:pStyle w:val="af"/>
              <w:rPr>
                <w:rFonts w:ascii="Times New Roman" w:hAnsi="Times New Roman"/>
                <w:sz w:val="28"/>
                <w:szCs w:val="28"/>
                <w:lang w:val="en-US"/>
              </w:rPr>
            </w:pPr>
            <w:r w:rsidRPr="00244343">
              <w:rPr>
                <w:rFonts w:ascii="Times New Roman" w:hAnsi="Times New Roman"/>
                <w:sz w:val="28"/>
                <w:szCs w:val="28"/>
                <w:lang w:val="en-US"/>
              </w:rPr>
              <w:t>Other Internet platforms (PLEASE WRITE OUT WHICH _______________________)</w:t>
            </w:r>
          </w:p>
        </w:tc>
        <w:tc>
          <w:tcPr>
            <w:tcW w:w="1559" w:type="dxa"/>
            <w:vAlign w:val="center"/>
          </w:tcPr>
          <w:p w14:paraId="6CE0A4E2"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12</w:t>
            </w:r>
          </w:p>
        </w:tc>
        <w:tc>
          <w:tcPr>
            <w:tcW w:w="2268" w:type="dxa"/>
          </w:tcPr>
          <w:p w14:paraId="01225A2E" w14:textId="77777777" w:rsidR="0001723B" w:rsidRPr="00244343" w:rsidRDefault="0001723B" w:rsidP="00FC4291">
            <w:pPr>
              <w:pStyle w:val="af"/>
              <w:jc w:val="center"/>
              <w:rPr>
                <w:rFonts w:ascii="Times New Roman" w:hAnsi="Times New Roman"/>
                <w:sz w:val="28"/>
                <w:szCs w:val="28"/>
                <w:lang w:val="en-US"/>
              </w:rPr>
            </w:pPr>
          </w:p>
        </w:tc>
      </w:tr>
      <w:tr w:rsidR="0001723B" w:rsidRPr="000E0481" w14:paraId="4A6FAD03" w14:textId="77777777" w:rsidTr="00FC4291">
        <w:tc>
          <w:tcPr>
            <w:tcW w:w="5949" w:type="dxa"/>
          </w:tcPr>
          <w:p w14:paraId="41E79132" w14:textId="77777777" w:rsidR="0001723B" w:rsidRPr="00244343" w:rsidRDefault="0001723B" w:rsidP="00FC4291">
            <w:pPr>
              <w:pStyle w:val="af"/>
              <w:rPr>
                <w:rFonts w:ascii="Times New Roman" w:hAnsi="Times New Roman"/>
                <w:sz w:val="28"/>
                <w:szCs w:val="28"/>
                <w:lang w:val="en-US"/>
              </w:rPr>
            </w:pPr>
            <w:r w:rsidRPr="00244343">
              <w:rPr>
                <w:rFonts w:ascii="Times New Roman" w:hAnsi="Times New Roman"/>
                <w:sz w:val="28"/>
                <w:szCs w:val="28"/>
                <w:lang w:val="en-US"/>
              </w:rPr>
              <w:t>Other (PLEASE WRITE WHAT EXACTLY _______________________)</w:t>
            </w:r>
          </w:p>
        </w:tc>
        <w:tc>
          <w:tcPr>
            <w:tcW w:w="1559" w:type="dxa"/>
            <w:vAlign w:val="center"/>
          </w:tcPr>
          <w:p w14:paraId="6BB9FB39" w14:textId="77777777" w:rsidR="0001723B" w:rsidRPr="00244343" w:rsidRDefault="0001723B" w:rsidP="00FC4291">
            <w:pPr>
              <w:pStyle w:val="af"/>
              <w:jc w:val="center"/>
              <w:rPr>
                <w:rFonts w:ascii="Times New Roman" w:hAnsi="Times New Roman"/>
                <w:sz w:val="28"/>
                <w:szCs w:val="28"/>
                <w:lang w:val="en-US"/>
              </w:rPr>
            </w:pPr>
          </w:p>
        </w:tc>
        <w:tc>
          <w:tcPr>
            <w:tcW w:w="2268" w:type="dxa"/>
          </w:tcPr>
          <w:p w14:paraId="58E7A9F3" w14:textId="77777777" w:rsidR="0001723B" w:rsidRPr="00244343" w:rsidRDefault="0001723B" w:rsidP="00FC4291">
            <w:pPr>
              <w:pStyle w:val="af"/>
              <w:jc w:val="center"/>
              <w:rPr>
                <w:rFonts w:ascii="Times New Roman" w:hAnsi="Times New Roman"/>
                <w:sz w:val="28"/>
                <w:szCs w:val="28"/>
                <w:lang w:val="en-US"/>
              </w:rPr>
            </w:pPr>
          </w:p>
        </w:tc>
      </w:tr>
    </w:tbl>
    <w:p w14:paraId="394D2ED9" w14:textId="77777777" w:rsidR="0001723B" w:rsidRPr="00244343" w:rsidRDefault="0001723B" w:rsidP="0001723B">
      <w:pPr>
        <w:pStyle w:val="af"/>
        <w:rPr>
          <w:rFonts w:ascii="Times New Roman" w:hAnsi="Times New Roman" w:cs="Times New Roman"/>
          <w:b/>
          <w:sz w:val="28"/>
          <w:szCs w:val="28"/>
          <w:lang w:val="en-US"/>
        </w:rPr>
      </w:pPr>
    </w:p>
    <w:p w14:paraId="610AFDBE" w14:textId="77777777" w:rsidR="0001723B" w:rsidRPr="00244343" w:rsidRDefault="0001723B" w:rsidP="0001723B">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b/>
          <w:sz w:val="28"/>
          <w:szCs w:val="28"/>
          <w:lang w:val="en-US"/>
        </w:rPr>
        <w:t xml:space="preserve">Q6. Please indicate to what extent you agree with the following statements: “My university improves, facilitates and supports...”? </w:t>
      </w:r>
      <w:r w:rsidRPr="00244343">
        <w:rPr>
          <w:rFonts w:ascii="Times New Roman" w:hAnsi="Times New Roman" w:cs="Times New Roman"/>
          <w:sz w:val="28"/>
          <w:szCs w:val="28"/>
          <w:lang w:val="en-US"/>
        </w:rPr>
        <w:t>When rating, use a 7-point rating scale, where 1 means completely disagree and 7 means completely agree.</w:t>
      </w:r>
    </w:p>
    <w:p w14:paraId="7DB543BA" w14:textId="77777777" w:rsidR="0001723B" w:rsidRPr="00244343" w:rsidRDefault="0001723B" w:rsidP="0001723B">
      <w:pPr>
        <w:autoSpaceDE w:val="0"/>
        <w:autoSpaceDN w:val="0"/>
        <w:adjustRightInd w:val="0"/>
        <w:spacing w:line="240" w:lineRule="auto"/>
        <w:jc w:val="both"/>
        <w:rPr>
          <w:rFonts w:ascii="Times New Roman" w:hAnsi="Times New Roman" w:cs="Times New Roman"/>
          <w:sz w:val="28"/>
          <w:szCs w:val="28"/>
          <w:lang w:val="en-US"/>
        </w:rPr>
      </w:pPr>
      <w:r w:rsidRPr="00244343">
        <w:rPr>
          <w:rFonts w:ascii="Times New Roman" w:hAnsi="Times New Roman" w:cs="Times New Roman"/>
          <w:sz w:val="28"/>
          <w:szCs w:val="28"/>
          <w:lang w:val="en-US"/>
        </w:rPr>
        <w:t>This question is taken from the GUESSS questionnaire.</w:t>
      </w:r>
    </w:p>
    <w:p w14:paraId="2DF43161" w14:textId="77777777" w:rsidR="0001723B" w:rsidRPr="00244343" w:rsidRDefault="0001723B" w:rsidP="0001723B">
      <w:pPr>
        <w:autoSpaceDE w:val="0"/>
        <w:autoSpaceDN w:val="0"/>
        <w:adjustRightInd w:val="0"/>
        <w:spacing w:after="0" w:line="240" w:lineRule="auto"/>
        <w:jc w:val="both"/>
        <w:rPr>
          <w:rFonts w:ascii="Times New Roman" w:hAnsi="Times New Roman" w:cs="Times New Roman"/>
          <w:sz w:val="28"/>
          <w:szCs w:val="28"/>
          <w:lang w:val="en-US"/>
        </w:rPr>
      </w:pPr>
    </w:p>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8"/>
        <w:gridCol w:w="471"/>
        <w:gridCol w:w="425"/>
        <w:gridCol w:w="426"/>
        <w:gridCol w:w="425"/>
        <w:gridCol w:w="425"/>
        <w:gridCol w:w="425"/>
        <w:gridCol w:w="425"/>
      </w:tblGrid>
      <w:tr w:rsidR="0001723B" w:rsidRPr="00244343" w14:paraId="757A0111" w14:textId="77777777" w:rsidTr="00FC4291">
        <w:trPr>
          <w:cantSplit/>
          <w:trHeight w:val="20"/>
        </w:trPr>
        <w:tc>
          <w:tcPr>
            <w:tcW w:w="6658" w:type="dxa"/>
          </w:tcPr>
          <w:p w14:paraId="0C1724FE" w14:textId="77777777" w:rsidR="0001723B" w:rsidRPr="00244343" w:rsidRDefault="0001723B" w:rsidP="00FC4291">
            <w:pPr>
              <w:autoSpaceDE w:val="0"/>
              <w:autoSpaceDN w:val="0"/>
              <w:adjustRightInd w:val="0"/>
              <w:spacing w:line="240" w:lineRule="auto"/>
              <w:rPr>
                <w:rFonts w:ascii="Times New Roman" w:hAnsi="Times New Roman" w:cs="Times New Roman"/>
                <w:b/>
                <w:bCs/>
                <w:sz w:val="28"/>
                <w:szCs w:val="28"/>
                <w:lang w:val="en-US"/>
              </w:rPr>
            </w:pPr>
            <w:r w:rsidRPr="00244343">
              <w:rPr>
                <w:rFonts w:ascii="Times New Roman" w:hAnsi="Times New Roman" w:cs="Times New Roman"/>
                <w:sz w:val="28"/>
                <w:szCs w:val="28"/>
                <w:lang w:val="en-US"/>
              </w:rPr>
              <w:t>1. Development of research, technology, innovation and entrepreneurship</w:t>
            </w:r>
          </w:p>
        </w:tc>
        <w:tc>
          <w:tcPr>
            <w:tcW w:w="471" w:type="dxa"/>
            <w:vAlign w:val="center"/>
          </w:tcPr>
          <w:p w14:paraId="6EF2D413"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1</w:t>
            </w:r>
          </w:p>
        </w:tc>
        <w:tc>
          <w:tcPr>
            <w:tcW w:w="425" w:type="dxa"/>
            <w:vAlign w:val="center"/>
          </w:tcPr>
          <w:p w14:paraId="74BED8C2"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2</w:t>
            </w:r>
          </w:p>
        </w:tc>
        <w:tc>
          <w:tcPr>
            <w:tcW w:w="426" w:type="dxa"/>
            <w:vAlign w:val="center"/>
          </w:tcPr>
          <w:p w14:paraId="588E6E0E"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3</w:t>
            </w:r>
          </w:p>
        </w:tc>
        <w:tc>
          <w:tcPr>
            <w:tcW w:w="425" w:type="dxa"/>
            <w:vAlign w:val="center"/>
          </w:tcPr>
          <w:p w14:paraId="6B20F85C"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4</w:t>
            </w:r>
          </w:p>
        </w:tc>
        <w:tc>
          <w:tcPr>
            <w:tcW w:w="425" w:type="dxa"/>
            <w:vAlign w:val="center"/>
          </w:tcPr>
          <w:p w14:paraId="6AE4C320"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5</w:t>
            </w:r>
          </w:p>
        </w:tc>
        <w:tc>
          <w:tcPr>
            <w:tcW w:w="425" w:type="dxa"/>
            <w:vAlign w:val="center"/>
          </w:tcPr>
          <w:p w14:paraId="651E9D6E"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6</w:t>
            </w:r>
          </w:p>
        </w:tc>
        <w:tc>
          <w:tcPr>
            <w:tcW w:w="425" w:type="dxa"/>
            <w:vAlign w:val="center"/>
          </w:tcPr>
          <w:p w14:paraId="628A7A12"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7</w:t>
            </w:r>
          </w:p>
        </w:tc>
      </w:tr>
      <w:tr w:rsidR="0001723B" w:rsidRPr="00244343" w14:paraId="7C2AFF13" w14:textId="77777777" w:rsidTr="00FC4291">
        <w:trPr>
          <w:cantSplit/>
          <w:trHeight w:val="20"/>
        </w:trPr>
        <w:tc>
          <w:tcPr>
            <w:tcW w:w="6658" w:type="dxa"/>
          </w:tcPr>
          <w:p w14:paraId="6487E508" w14:textId="77777777" w:rsidR="0001723B" w:rsidRPr="00244343" w:rsidRDefault="0001723B" w:rsidP="00FC4291">
            <w:pPr>
              <w:autoSpaceDE w:val="0"/>
              <w:autoSpaceDN w:val="0"/>
              <w:adjustRightInd w:val="0"/>
              <w:spacing w:line="240" w:lineRule="auto"/>
              <w:rPr>
                <w:rFonts w:ascii="Times New Roman" w:hAnsi="Times New Roman" w:cs="Times New Roman"/>
                <w:sz w:val="28"/>
                <w:szCs w:val="28"/>
                <w:lang w:val="en-US"/>
              </w:rPr>
            </w:pPr>
            <w:r w:rsidRPr="00244343">
              <w:rPr>
                <w:rFonts w:ascii="Times New Roman" w:hAnsi="Times New Roman" w:cs="Times New Roman"/>
                <w:sz w:val="28"/>
                <w:szCs w:val="28"/>
                <w:lang w:val="en-US"/>
              </w:rPr>
              <w:t>2. Practical internship in companies and organizations</w:t>
            </w:r>
          </w:p>
        </w:tc>
        <w:tc>
          <w:tcPr>
            <w:tcW w:w="471" w:type="dxa"/>
            <w:vAlign w:val="center"/>
          </w:tcPr>
          <w:p w14:paraId="4C6A477C"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1</w:t>
            </w:r>
          </w:p>
        </w:tc>
        <w:tc>
          <w:tcPr>
            <w:tcW w:w="425" w:type="dxa"/>
            <w:vAlign w:val="center"/>
          </w:tcPr>
          <w:p w14:paraId="24454940"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2</w:t>
            </w:r>
          </w:p>
        </w:tc>
        <w:tc>
          <w:tcPr>
            <w:tcW w:w="426" w:type="dxa"/>
            <w:vAlign w:val="center"/>
          </w:tcPr>
          <w:p w14:paraId="1117D0A1"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3</w:t>
            </w:r>
          </w:p>
        </w:tc>
        <w:tc>
          <w:tcPr>
            <w:tcW w:w="425" w:type="dxa"/>
            <w:vAlign w:val="center"/>
          </w:tcPr>
          <w:p w14:paraId="59AB62B0"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4</w:t>
            </w:r>
          </w:p>
        </w:tc>
        <w:tc>
          <w:tcPr>
            <w:tcW w:w="425" w:type="dxa"/>
            <w:vAlign w:val="center"/>
          </w:tcPr>
          <w:p w14:paraId="1EF5EE9A"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5</w:t>
            </w:r>
          </w:p>
        </w:tc>
        <w:tc>
          <w:tcPr>
            <w:tcW w:w="425" w:type="dxa"/>
            <w:vAlign w:val="center"/>
          </w:tcPr>
          <w:p w14:paraId="5BCF5CAA"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6</w:t>
            </w:r>
          </w:p>
        </w:tc>
        <w:tc>
          <w:tcPr>
            <w:tcW w:w="425" w:type="dxa"/>
            <w:vAlign w:val="center"/>
          </w:tcPr>
          <w:p w14:paraId="3D22D3FA"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7</w:t>
            </w:r>
          </w:p>
        </w:tc>
      </w:tr>
      <w:tr w:rsidR="0001723B" w:rsidRPr="00244343" w14:paraId="7F385A2F" w14:textId="77777777" w:rsidTr="00FC4291">
        <w:trPr>
          <w:cantSplit/>
          <w:trHeight w:val="20"/>
        </w:trPr>
        <w:tc>
          <w:tcPr>
            <w:tcW w:w="6658" w:type="dxa"/>
          </w:tcPr>
          <w:p w14:paraId="18887344" w14:textId="77777777" w:rsidR="0001723B" w:rsidRPr="00244343" w:rsidRDefault="0001723B" w:rsidP="00FC4291">
            <w:pPr>
              <w:autoSpaceDE w:val="0"/>
              <w:autoSpaceDN w:val="0"/>
              <w:adjustRightInd w:val="0"/>
              <w:spacing w:line="240" w:lineRule="auto"/>
              <w:rPr>
                <w:rFonts w:ascii="Times New Roman" w:hAnsi="Times New Roman" w:cs="Times New Roman"/>
                <w:b/>
                <w:bCs/>
                <w:sz w:val="28"/>
                <w:szCs w:val="28"/>
                <w:lang w:val="en-US"/>
              </w:rPr>
            </w:pPr>
            <w:r w:rsidRPr="00244343">
              <w:rPr>
                <w:rFonts w:ascii="Times New Roman" w:hAnsi="Times New Roman" w:cs="Times New Roman"/>
                <w:sz w:val="28"/>
                <w:szCs w:val="28"/>
                <w:lang w:val="en-US"/>
              </w:rPr>
              <w:t>3. Cooperation with local authorities/firms to ensure employment of all students</w:t>
            </w:r>
          </w:p>
        </w:tc>
        <w:tc>
          <w:tcPr>
            <w:tcW w:w="471" w:type="dxa"/>
            <w:vAlign w:val="center"/>
          </w:tcPr>
          <w:p w14:paraId="45BAB8D1"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1</w:t>
            </w:r>
          </w:p>
        </w:tc>
        <w:tc>
          <w:tcPr>
            <w:tcW w:w="425" w:type="dxa"/>
            <w:vAlign w:val="center"/>
          </w:tcPr>
          <w:p w14:paraId="2750FDD9"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2</w:t>
            </w:r>
          </w:p>
        </w:tc>
        <w:tc>
          <w:tcPr>
            <w:tcW w:w="426" w:type="dxa"/>
            <w:vAlign w:val="center"/>
          </w:tcPr>
          <w:p w14:paraId="69273217"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3</w:t>
            </w:r>
          </w:p>
        </w:tc>
        <w:tc>
          <w:tcPr>
            <w:tcW w:w="425" w:type="dxa"/>
            <w:vAlign w:val="center"/>
          </w:tcPr>
          <w:p w14:paraId="1FB98868"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4</w:t>
            </w:r>
          </w:p>
        </w:tc>
        <w:tc>
          <w:tcPr>
            <w:tcW w:w="425" w:type="dxa"/>
            <w:vAlign w:val="center"/>
          </w:tcPr>
          <w:p w14:paraId="2BB2AE69"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5</w:t>
            </w:r>
          </w:p>
        </w:tc>
        <w:tc>
          <w:tcPr>
            <w:tcW w:w="425" w:type="dxa"/>
            <w:vAlign w:val="center"/>
          </w:tcPr>
          <w:p w14:paraId="00D9C791"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6</w:t>
            </w:r>
          </w:p>
        </w:tc>
        <w:tc>
          <w:tcPr>
            <w:tcW w:w="425" w:type="dxa"/>
            <w:vAlign w:val="center"/>
          </w:tcPr>
          <w:p w14:paraId="3DC9BBD9"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7</w:t>
            </w:r>
          </w:p>
        </w:tc>
      </w:tr>
      <w:tr w:rsidR="0001723B" w:rsidRPr="00244343" w14:paraId="32129D8A" w14:textId="77777777" w:rsidTr="00FC4291">
        <w:trPr>
          <w:cantSplit/>
          <w:trHeight w:val="20"/>
        </w:trPr>
        <w:tc>
          <w:tcPr>
            <w:tcW w:w="6658" w:type="dxa"/>
          </w:tcPr>
          <w:p w14:paraId="2FE8A706" w14:textId="77777777" w:rsidR="0001723B" w:rsidRPr="00244343" w:rsidRDefault="0001723B" w:rsidP="00FC4291">
            <w:pPr>
              <w:autoSpaceDE w:val="0"/>
              <w:autoSpaceDN w:val="0"/>
              <w:adjustRightInd w:val="0"/>
              <w:spacing w:line="240" w:lineRule="auto"/>
              <w:rPr>
                <w:rFonts w:ascii="Times New Roman" w:hAnsi="Times New Roman" w:cs="Times New Roman"/>
                <w:sz w:val="28"/>
                <w:szCs w:val="28"/>
                <w:lang w:val="en-US"/>
              </w:rPr>
            </w:pPr>
            <w:r w:rsidRPr="00244343">
              <w:rPr>
                <w:rFonts w:ascii="Times New Roman" w:hAnsi="Times New Roman" w:cs="Times New Roman"/>
                <w:sz w:val="28"/>
                <w:szCs w:val="28"/>
                <w:lang w:val="en-US"/>
              </w:rPr>
              <w:t>4. The quality level of entrepreneurship teaching</w:t>
            </w:r>
          </w:p>
        </w:tc>
        <w:tc>
          <w:tcPr>
            <w:tcW w:w="471" w:type="dxa"/>
            <w:vAlign w:val="center"/>
          </w:tcPr>
          <w:p w14:paraId="0B5C6507"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1</w:t>
            </w:r>
          </w:p>
        </w:tc>
        <w:tc>
          <w:tcPr>
            <w:tcW w:w="425" w:type="dxa"/>
            <w:vAlign w:val="center"/>
          </w:tcPr>
          <w:p w14:paraId="729C7AD5"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2</w:t>
            </w:r>
          </w:p>
        </w:tc>
        <w:tc>
          <w:tcPr>
            <w:tcW w:w="426" w:type="dxa"/>
            <w:vAlign w:val="center"/>
          </w:tcPr>
          <w:p w14:paraId="78212D8B"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3</w:t>
            </w:r>
          </w:p>
        </w:tc>
        <w:tc>
          <w:tcPr>
            <w:tcW w:w="425" w:type="dxa"/>
            <w:vAlign w:val="center"/>
          </w:tcPr>
          <w:p w14:paraId="2BDD2A8E"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4</w:t>
            </w:r>
          </w:p>
        </w:tc>
        <w:tc>
          <w:tcPr>
            <w:tcW w:w="425" w:type="dxa"/>
            <w:vAlign w:val="center"/>
          </w:tcPr>
          <w:p w14:paraId="5EB64334"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5</w:t>
            </w:r>
          </w:p>
        </w:tc>
        <w:tc>
          <w:tcPr>
            <w:tcW w:w="425" w:type="dxa"/>
            <w:vAlign w:val="center"/>
          </w:tcPr>
          <w:p w14:paraId="113D15E2"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6</w:t>
            </w:r>
          </w:p>
        </w:tc>
        <w:tc>
          <w:tcPr>
            <w:tcW w:w="425" w:type="dxa"/>
            <w:vAlign w:val="center"/>
          </w:tcPr>
          <w:p w14:paraId="6F7D3978" w14:textId="77777777" w:rsidR="0001723B" w:rsidRPr="00244343" w:rsidRDefault="0001723B" w:rsidP="00FC4291">
            <w:pPr>
              <w:autoSpaceDE w:val="0"/>
              <w:autoSpaceDN w:val="0"/>
              <w:adjustRightInd w:val="0"/>
              <w:spacing w:line="240" w:lineRule="auto"/>
              <w:jc w:val="center"/>
              <w:rPr>
                <w:rFonts w:ascii="Times New Roman" w:hAnsi="Times New Roman" w:cs="Times New Roman"/>
                <w:sz w:val="28"/>
                <w:szCs w:val="28"/>
                <w:lang w:val="en-US"/>
              </w:rPr>
            </w:pPr>
            <w:r w:rsidRPr="00244343">
              <w:rPr>
                <w:rFonts w:ascii="Times New Roman" w:hAnsi="Times New Roman" w:cs="Times New Roman"/>
                <w:sz w:val="28"/>
                <w:szCs w:val="28"/>
                <w:lang w:val="en-US"/>
              </w:rPr>
              <w:t>7</w:t>
            </w:r>
          </w:p>
        </w:tc>
      </w:tr>
    </w:tbl>
    <w:p w14:paraId="0F32952C" w14:textId="77777777" w:rsidR="0001723B" w:rsidRPr="00244343" w:rsidRDefault="0001723B" w:rsidP="0001723B">
      <w:pPr>
        <w:autoSpaceDE w:val="0"/>
        <w:autoSpaceDN w:val="0"/>
        <w:adjustRightInd w:val="0"/>
        <w:spacing w:line="240" w:lineRule="auto"/>
        <w:jc w:val="both"/>
        <w:rPr>
          <w:rFonts w:ascii="Times New Roman" w:hAnsi="Times New Roman" w:cs="Times New Roman"/>
          <w:sz w:val="28"/>
          <w:szCs w:val="28"/>
          <w:u w:val="single"/>
          <w:lang w:val="en-US"/>
        </w:rPr>
      </w:pPr>
    </w:p>
    <w:p w14:paraId="22916AE4" w14:textId="77777777" w:rsidR="0001723B" w:rsidRPr="00244343" w:rsidRDefault="0001723B" w:rsidP="0001723B">
      <w:pPr>
        <w:pStyle w:val="af"/>
        <w:rPr>
          <w:rFonts w:ascii="Times New Roman" w:hAnsi="Times New Roman" w:cs="Times New Roman"/>
          <w:b/>
          <w:sz w:val="28"/>
          <w:szCs w:val="28"/>
          <w:lang w:val="en-US"/>
        </w:rPr>
      </w:pPr>
      <w:r w:rsidRPr="00244343">
        <w:rPr>
          <w:rFonts w:ascii="Times New Roman" w:hAnsi="Times New Roman" w:cs="Times New Roman"/>
          <w:b/>
          <w:sz w:val="28"/>
          <w:szCs w:val="28"/>
          <w:lang w:val="en-US"/>
        </w:rPr>
        <w:t>Q7. If you had to choose your specialty and educational organization again, what would you do?</w:t>
      </w:r>
    </w:p>
    <w:p w14:paraId="3FBE5F41" w14:textId="77777777" w:rsidR="0001723B" w:rsidRPr="00244343" w:rsidRDefault="0001723B" w:rsidP="0001723B">
      <w:pPr>
        <w:pStyle w:val="af"/>
        <w:rPr>
          <w:rFonts w:ascii="Times New Roman" w:hAnsi="Times New Roman" w:cs="Times New Roman"/>
          <w:b/>
          <w:sz w:val="28"/>
          <w:szCs w:val="28"/>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gridCol w:w="993"/>
      </w:tblGrid>
      <w:tr w:rsidR="0001723B" w:rsidRPr="00244343" w14:paraId="2A3FAA49" w14:textId="77777777" w:rsidTr="00FC4291">
        <w:trPr>
          <w:trHeight w:val="312"/>
        </w:trPr>
        <w:tc>
          <w:tcPr>
            <w:tcW w:w="8613" w:type="dxa"/>
          </w:tcPr>
          <w:p w14:paraId="055923D2" w14:textId="77777777" w:rsidR="0001723B" w:rsidRPr="00244343" w:rsidRDefault="0001723B" w:rsidP="00FC4291">
            <w:pPr>
              <w:pStyle w:val="ad"/>
              <w:widowControl w:val="0"/>
              <w:spacing w:line="240" w:lineRule="auto"/>
              <w:ind w:left="0"/>
              <w:rPr>
                <w:rFonts w:ascii="Times New Roman" w:hAnsi="Times New Roman" w:cs="Times New Roman"/>
                <w:sz w:val="28"/>
                <w:szCs w:val="28"/>
                <w:lang w:val="en-US" w:eastAsia="fr-FR"/>
              </w:rPr>
            </w:pPr>
            <w:r w:rsidRPr="00244343">
              <w:rPr>
                <w:rFonts w:ascii="Times New Roman" w:hAnsi="Times New Roman" w:cs="Times New Roman"/>
                <w:sz w:val="28"/>
                <w:szCs w:val="28"/>
                <w:lang w:val="en-US"/>
              </w:rPr>
              <w:t>I would choose a different specialty and a different educational organization</w:t>
            </w:r>
          </w:p>
        </w:tc>
        <w:tc>
          <w:tcPr>
            <w:tcW w:w="993" w:type="dxa"/>
            <w:vAlign w:val="center"/>
          </w:tcPr>
          <w:p w14:paraId="47BFF5A6" w14:textId="77777777" w:rsidR="0001723B" w:rsidRPr="00244343" w:rsidRDefault="0001723B" w:rsidP="00FC4291">
            <w:pPr>
              <w:pStyle w:val="ad"/>
              <w:widowControl w:val="0"/>
              <w:spacing w:line="240" w:lineRule="auto"/>
              <w:ind w:left="0"/>
              <w:jc w:val="center"/>
              <w:rPr>
                <w:rFonts w:ascii="Times New Roman" w:hAnsi="Times New Roman" w:cs="Times New Roman"/>
                <w:sz w:val="28"/>
                <w:szCs w:val="28"/>
                <w:lang w:val="en-US" w:eastAsia="fr-FR"/>
              </w:rPr>
            </w:pPr>
            <w:r w:rsidRPr="00244343">
              <w:rPr>
                <w:rFonts w:ascii="Times New Roman" w:hAnsi="Times New Roman" w:cs="Times New Roman"/>
                <w:sz w:val="28"/>
                <w:szCs w:val="28"/>
                <w:lang w:val="en-US" w:eastAsia="fr-FR"/>
              </w:rPr>
              <w:t>1</w:t>
            </w:r>
          </w:p>
        </w:tc>
      </w:tr>
      <w:tr w:rsidR="0001723B" w:rsidRPr="00244343" w14:paraId="090D4DB4" w14:textId="77777777" w:rsidTr="00FC4291">
        <w:trPr>
          <w:trHeight w:val="312"/>
        </w:trPr>
        <w:tc>
          <w:tcPr>
            <w:tcW w:w="8613" w:type="dxa"/>
          </w:tcPr>
          <w:p w14:paraId="67748936" w14:textId="77777777" w:rsidR="0001723B" w:rsidRPr="00244343" w:rsidRDefault="0001723B" w:rsidP="00FC4291">
            <w:pPr>
              <w:pStyle w:val="ad"/>
              <w:widowControl w:val="0"/>
              <w:spacing w:line="240" w:lineRule="auto"/>
              <w:ind w:left="0"/>
              <w:rPr>
                <w:rFonts w:ascii="Times New Roman" w:hAnsi="Times New Roman" w:cs="Times New Roman"/>
                <w:sz w:val="28"/>
                <w:szCs w:val="28"/>
                <w:highlight w:val="yellow"/>
                <w:lang w:val="en-US" w:eastAsia="fr-FR"/>
              </w:rPr>
            </w:pPr>
            <w:r w:rsidRPr="00244343">
              <w:rPr>
                <w:rFonts w:ascii="Times New Roman" w:hAnsi="Times New Roman" w:cs="Times New Roman"/>
                <w:sz w:val="28"/>
                <w:szCs w:val="28"/>
                <w:lang w:val="en-US"/>
              </w:rPr>
              <w:t>I would choose a different specialty/field of study but at the same university</w:t>
            </w:r>
          </w:p>
        </w:tc>
        <w:tc>
          <w:tcPr>
            <w:tcW w:w="993" w:type="dxa"/>
            <w:vAlign w:val="center"/>
          </w:tcPr>
          <w:p w14:paraId="7CC0BC86" w14:textId="77777777" w:rsidR="0001723B" w:rsidRPr="00244343" w:rsidRDefault="0001723B" w:rsidP="00FC4291">
            <w:pPr>
              <w:pStyle w:val="ad"/>
              <w:widowControl w:val="0"/>
              <w:spacing w:line="240" w:lineRule="auto"/>
              <w:ind w:left="0"/>
              <w:jc w:val="center"/>
              <w:rPr>
                <w:rFonts w:ascii="Times New Roman" w:hAnsi="Times New Roman" w:cs="Times New Roman"/>
                <w:sz w:val="28"/>
                <w:szCs w:val="28"/>
                <w:highlight w:val="yellow"/>
                <w:lang w:val="en-US" w:eastAsia="fr-FR"/>
              </w:rPr>
            </w:pPr>
            <w:r w:rsidRPr="00244343">
              <w:rPr>
                <w:rFonts w:ascii="Times New Roman" w:hAnsi="Times New Roman" w:cs="Times New Roman"/>
                <w:sz w:val="28"/>
                <w:szCs w:val="28"/>
                <w:lang w:val="en-US" w:eastAsia="fr-FR"/>
              </w:rPr>
              <w:t>2</w:t>
            </w:r>
          </w:p>
        </w:tc>
      </w:tr>
      <w:tr w:rsidR="0001723B" w:rsidRPr="00244343" w14:paraId="0B5CE600" w14:textId="77777777" w:rsidTr="00FC4291">
        <w:trPr>
          <w:trHeight w:val="312"/>
        </w:trPr>
        <w:tc>
          <w:tcPr>
            <w:tcW w:w="8613" w:type="dxa"/>
          </w:tcPr>
          <w:p w14:paraId="5E6AB0F4" w14:textId="77777777" w:rsidR="0001723B" w:rsidRPr="00244343" w:rsidRDefault="0001723B" w:rsidP="00FC4291">
            <w:pPr>
              <w:pStyle w:val="ad"/>
              <w:widowControl w:val="0"/>
              <w:spacing w:line="240" w:lineRule="auto"/>
              <w:ind w:left="0"/>
              <w:rPr>
                <w:rFonts w:ascii="Times New Roman" w:hAnsi="Times New Roman" w:cs="Times New Roman"/>
                <w:sz w:val="28"/>
                <w:szCs w:val="28"/>
                <w:lang w:val="en-US" w:eastAsia="fr-FR"/>
              </w:rPr>
            </w:pPr>
            <w:r w:rsidRPr="00244343">
              <w:rPr>
                <w:rFonts w:ascii="Times New Roman" w:hAnsi="Times New Roman" w:cs="Times New Roman"/>
                <w:sz w:val="28"/>
                <w:szCs w:val="28"/>
                <w:lang w:val="en-US"/>
              </w:rPr>
              <w:t>I would choose the same specialty/field of training but in a different educational organization</w:t>
            </w:r>
          </w:p>
        </w:tc>
        <w:tc>
          <w:tcPr>
            <w:tcW w:w="993" w:type="dxa"/>
            <w:vAlign w:val="center"/>
          </w:tcPr>
          <w:p w14:paraId="3E13742E" w14:textId="77777777" w:rsidR="0001723B" w:rsidRPr="00244343" w:rsidRDefault="0001723B" w:rsidP="00FC4291">
            <w:pPr>
              <w:pStyle w:val="ad"/>
              <w:widowControl w:val="0"/>
              <w:spacing w:line="240" w:lineRule="auto"/>
              <w:ind w:left="0"/>
              <w:jc w:val="center"/>
              <w:rPr>
                <w:rFonts w:ascii="Times New Roman" w:hAnsi="Times New Roman" w:cs="Times New Roman"/>
                <w:sz w:val="28"/>
                <w:szCs w:val="28"/>
                <w:lang w:val="en-US" w:eastAsia="fr-FR"/>
              </w:rPr>
            </w:pPr>
            <w:r w:rsidRPr="00244343">
              <w:rPr>
                <w:rFonts w:ascii="Times New Roman" w:hAnsi="Times New Roman" w:cs="Times New Roman"/>
                <w:sz w:val="28"/>
                <w:szCs w:val="28"/>
                <w:lang w:val="en-US" w:eastAsia="fr-FR"/>
              </w:rPr>
              <w:t>3</w:t>
            </w:r>
          </w:p>
        </w:tc>
      </w:tr>
      <w:tr w:rsidR="0001723B" w:rsidRPr="00244343" w14:paraId="0DE939AF" w14:textId="77777777" w:rsidTr="00FC4291">
        <w:trPr>
          <w:trHeight w:val="312"/>
        </w:trPr>
        <w:tc>
          <w:tcPr>
            <w:tcW w:w="8613" w:type="dxa"/>
          </w:tcPr>
          <w:p w14:paraId="05F046F3" w14:textId="77777777" w:rsidR="0001723B" w:rsidRPr="00244343" w:rsidRDefault="0001723B" w:rsidP="00FC4291">
            <w:pPr>
              <w:pStyle w:val="ad"/>
              <w:widowControl w:val="0"/>
              <w:spacing w:line="240" w:lineRule="auto"/>
              <w:ind w:left="0"/>
              <w:rPr>
                <w:rFonts w:ascii="Times New Roman" w:hAnsi="Times New Roman" w:cs="Times New Roman"/>
                <w:sz w:val="28"/>
                <w:szCs w:val="28"/>
                <w:lang w:val="en-US" w:eastAsia="fr-FR"/>
              </w:rPr>
            </w:pPr>
            <w:r w:rsidRPr="00244343">
              <w:rPr>
                <w:rFonts w:ascii="Times New Roman" w:hAnsi="Times New Roman" w:cs="Times New Roman"/>
                <w:sz w:val="28"/>
                <w:szCs w:val="28"/>
                <w:lang w:val="en-US"/>
              </w:rPr>
              <w:t>Chose the same specialty/field of study at the same university</w:t>
            </w:r>
          </w:p>
        </w:tc>
        <w:tc>
          <w:tcPr>
            <w:tcW w:w="993" w:type="dxa"/>
            <w:vAlign w:val="center"/>
          </w:tcPr>
          <w:p w14:paraId="6DDE8D8D" w14:textId="77777777" w:rsidR="0001723B" w:rsidRPr="00244343" w:rsidRDefault="0001723B" w:rsidP="00FC4291">
            <w:pPr>
              <w:pStyle w:val="ad"/>
              <w:widowControl w:val="0"/>
              <w:spacing w:line="240" w:lineRule="auto"/>
              <w:ind w:left="0"/>
              <w:jc w:val="center"/>
              <w:rPr>
                <w:rFonts w:ascii="Times New Roman" w:hAnsi="Times New Roman" w:cs="Times New Roman"/>
                <w:sz w:val="28"/>
                <w:szCs w:val="28"/>
                <w:lang w:val="en-US" w:eastAsia="fr-FR"/>
              </w:rPr>
            </w:pPr>
            <w:r w:rsidRPr="00244343">
              <w:rPr>
                <w:rFonts w:ascii="Times New Roman" w:hAnsi="Times New Roman" w:cs="Times New Roman"/>
                <w:sz w:val="28"/>
                <w:szCs w:val="28"/>
                <w:lang w:val="en-US" w:eastAsia="fr-FR"/>
              </w:rPr>
              <w:t>4</w:t>
            </w:r>
          </w:p>
        </w:tc>
      </w:tr>
      <w:tr w:rsidR="0001723B" w:rsidRPr="00244343" w14:paraId="498012E7" w14:textId="77777777" w:rsidTr="00FC4291">
        <w:trPr>
          <w:trHeight w:val="312"/>
        </w:trPr>
        <w:tc>
          <w:tcPr>
            <w:tcW w:w="8613" w:type="dxa"/>
          </w:tcPr>
          <w:p w14:paraId="4756B1EF" w14:textId="77777777" w:rsidR="0001723B" w:rsidRPr="00244343" w:rsidRDefault="0001723B" w:rsidP="00FC4291">
            <w:pPr>
              <w:pStyle w:val="ad"/>
              <w:widowControl w:val="0"/>
              <w:spacing w:line="240" w:lineRule="auto"/>
              <w:ind w:left="0"/>
              <w:rPr>
                <w:rFonts w:ascii="Times New Roman" w:hAnsi="Times New Roman" w:cs="Times New Roman"/>
                <w:sz w:val="28"/>
                <w:szCs w:val="28"/>
                <w:lang w:val="en-US" w:eastAsia="fr-FR"/>
              </w:rPr>
            </w:pPr>
            <w:r w:rsidRPr="00244343">
              <w:rPr>
                <w:rFonts w:ascii="Times New Roman" w:hAnsi="Times New Roman" w:cs="Times New Roman"/>
                <w:sz w:val="28"/>
                <w:szCs w:val="28"/>
                <w:lang w:val="en-US"/>
              </w:rPr>
              <w:t>I find it difficult to answer</w:t>
            </w:r>
          </w:p>
        </w:tc>
        <w:tc>
          <w:tcPr>
            <w:tcW w:w="993" w:type="dxa"/>
            <w:vAlign w:val="center"/>
          </w:tcPr>
          <w:p w14:paraId="63F502FA" w14:textId="77777777" w:rsidR="0001723B" w:rsidRPr="00244343" w:rsidRDefault="0001723B" w:rsidP="00FC4291">
            <w:pPr>
              <w:pStyle w:val="ad"/>
              <w:widowControl w:val="0"/>
              <w:spacing w:line="240" w:lineRule="auto"/>
              <w:ind w:left="0"/>
              <w:jc w:val="center"/>
              <w:rPr>
                <w:rFonts w:ascii="Times New Roman" w:hAnsi="Times New Roman" w:cs="Times New Roman"/>
                <w:sz w:val="28"/>
                <w:szCs w:val="28"/>
                <w:lang w:val="en-US" w:eastAsia="fr-FR"/>
              </w:rPr>
            </w:pPr>
            <w:r w:rsidRPr="00244343">
              <w:rPr>
                <w:rFonts w:ascii="Times New Roman" w:hAnsi="Times New Roman" w:cs="Times New Roman"/>
                <w:sz w:val="28"/>
                <w:szCs w:val="28"/>
                <w:lang w:val="en-US" w:eastAsia="fr-FR"/>
              </w:rPr>
              <w:t>9</w:t>
            </w:r>
          </w:p>
        </w:tc>
      </w:tr>
    </w:tbl>
    <w:p w14:paraId="5161F8D7" w14:textId="77777777" w:rsidR="0001723B" w:rsidRPr="00244343" w:rsidRDefault="0001723B" w:rsidP="0001723B">
      <w:pPr>
        <w:pStyle w:val="af"/>
        <w:rPr>
          <w:rFonts w:ascii="Times New Roman" w:hAnsi="Times New Roman" w:cs="Times New Roman"/>
          <w:b/>
          <w:sz w:val="28"/>
          <w:szCs w:val="28"/>
          <w:lang w:val="en-US"/>
        </w:rPr>
      </w:pPr>
    </w:p>
    <w:p w14:paraId="3694308A" w14:textId="77777777" w:rsidR="0001723B" w:rsidRPr="00244343" w:rsidRDefault="0001723B" w:rsidP="0001723B">
      <w:pPr>
        <w:autoSpaceDE w:val="0"/>
        <w:autoSpaceDN w:val="0"/>
        <w:adjustRightInd w:val="0"/>
        <w:spacing w:line="240" w:lineRule="auto"/>
        <w:jc w:val="both"/>
        <w:rPr>
          <w:rFonts w:ascii="Times New Roman" w:hAnsi="Times New Roman" w:cs="Times New Roman"/>
          <w:bCs/>
          <w:i/>
          <w:iCs/>
          <w:sz w:val="28"/>
          <w:szCs w:val="28"/>
          <w:lang w:val="en-US"/>
        </w:rPr>
      </w:pPr>
      <w:r w:rsidRPr="00244343">
        <w:rPr>
          <w:rFonts w:ascii="Times New Roman" w:hAnsi="Times New Roman" w:cs="Times New Roman"/>
          <w:b/>
          <w:sz w:val="28"/>
          <w:szCs w:val="28"/>
          <w:lang w:val="en-US"/>
        </w:rPr>
        <w:t xml:space="preserve">Q8. What systems of cooperation between universities, business and government do you know about? </w:t>
      </w:r>
      <w:r w:rsidRPr="00244343">
        <w:rPr>
          <w:rFonts w:ascii="Times New Roman" w:hAnsi="Times New Roman" w:cs="Times New Roman"/>
          <w:bCs/>
          <w:i/>
          <w:iCs/>
          <w:sz w:val="28"/>
          <w:szCs w:val="28"/>
          <w:lang w:val="en-US"/>
        </w:rPr>
        <w:t>THE ANSWER MUST BE ON EVERY LINE</w:t>
      </w:r>
    </w:p>
    <w:p w14:paraId="6E16EF34" w14:textId="77777777" w:rsidR="0001723B" w:rsidRPr="00244343" w:rsidRDefault="0001723B" w:rsidP="0001723B">
      <w:pPr>
        <w:autoSpaceDE w:val="0"/>
        <w:autoSpaceDN w:val="0"/>
        <w:adjustRightInd w:val="0"/>
        <w:spacing w:line="240" w:lineRule="auto"/>
        <w:jc w:val="both"/>
        <w:rPr>
          <w:rFonts w:ascii="Times New Roman" w:hAnsi="Times New Roman" w:cs="Times New Roman"/>
          <w:b/>
          <w:sz w:val="28"/>
          <w:szCs w:val="28"/>
          <w:lang w:val="en-US"/>
        </w:rPr>
      </w:pPr>
      <w:r w:rsidRPr="00244343">
        <w:rPr>
          <w:rFonts w:ascii="Times New Roman" w:hAnsi="Times New Roman" w:cs="Times New Roman"/>
          <w:b/>
          <w:sz w:val="28"/>
          <w:szCs w:val="28"/>
          <w:lang w:val="en-US"/>
        </w:rPr>
        <w:t>Q9. How effective do you think these cooperation systems are?</w:t>
      </w:r>
    </w:p>
    <w:p w14:paraId="3488AF3F" w14:textId="1F719FA0" w:rsidR="0001723B" w:rsidRPr="00244343" w:rsidRDefault="0001723B" w:rsidP="0001723B">
      <w:pPr>
        <w:autoSpaceDE w:val="0"/>
        <w:autoSpaceDN w:val="0"/>
        <w:adjustRightInd w:val="0"/>
        <w:spacing w:line="240" w:lineRule="auto"/>
        <w:jc w:val="both"/>
        <w:rPr>
          <w:rFonts w:ascii="Times New Roman" w:hAnsi="Times New Roman" w:cs="Times New Roman"/>
          <w:bCs/>
          <w:i/>
          <w:iCs/>
          <w:sz w:val="28"/>
          <w:szCs w:val="28"/>
          <w:lang w:val="en-US"/>
        </w:rPr>
      </w:pPr>
      <w:r w:rsidRPr="00244343">
        <w:rPr>
          <w:rFonts w:ascii="Times New Roman" w:hAnsi="Times New Roman" w:cs="Times New Roman"/>
          <w:bCs/>
          <w:i/>
          <w:iCs/>
          <w:sz w:val="28"/>
          <w:szCs w:val="28"/>
          <w:lang w:val="en-US"/>
        </w:rPr>
        <w:t>THE ANSWER MUST BE ON EVERY LINE. When rating, use a 7-point rating scale, where 1 is - not at all effective and 7 is - very effective.</w:t>
      </w:r>
    </w:p>
    <w:tbl>
      <w:tblPr>
        <w:tblStyle w:val="a8"/>
        <w:tblW w:w="9634" w:type="dxa"/>
        <w:tblLook w:val="04A0" w:firstRow="1" w:lastRow="0" w:firstColumn="1" w:lastColumn="0" w:noHBand="0" w:noVBand="1"/>
      </w:tblPr>
      <w:tblGrid>
        <w:gridCol w:w="3039"/>
        <w:gridCol w:w="1196"/>
        <w:gridCol w:w="1112"/>
        <w:gridCol w:w="1387"/>
        <w:gridCol w:w="1658"/>
        <w:gridCol w:w="1242"/>
      </w:tblGrid>
      <w:tr w:rsidR="0001723B" w:rsidRPr="00244343" w14:paraId="3B4A62F5" w14:textId="77777777" w:rsidTr="00FC4291">
        <w:trPr>
          <w:trHeight w:val="275"/>
        </w:trPr>
        <w:tc>
          <w:tcPr>
            <w:tcW w:w="3056" w:type="dxa"/>
            <w:vMerge w:val="restart"/>
            <w:vAlign w:val="center"/>
          </w:tcPr>
          <w:p w14:paraId="7AB7D39C" w14:textId="77777777" w:rsidR="0001723B" w:rsidRPr="00244343" w:rsidRDefault="0001723B" w:rsidP="00FC4291">
            <w:pPr>
              <w:pStyle w:val="af"/>
              <w:jc w:val="center"/>
              <w:rPr>
                <w:rFonts w:ascii="Times New Roman" w:hAnsi="Times New Roman"/>
                <w:sz w:val="28"/>
                <w:szCs w:val="28"/>
                <w:lang w:val="en-US"/>
              </w:rPr>
            </w:pPr>
          </w:p>
        </w:tc>
        <w:tc>
          <w:tcPr>
            <w:tcW w:w="5303" w:type="dxa"/>
            <w:gridSpan w:val="4"/>
            <w:shd w:val="clear" w:color="auto" w:fill="A6A6A6" w:themeFill="background1" w:themeFillShade="A6"/>
            <w:vAlign w:val="center"/>
          </w:tcPr>
          <w:p w14:paraId="793DF733"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Q8</w:t>
            </w:r>
          </w:p>
        </w:tc>
        <w:tc>
          <w:tcPr>
            <w:tcW w:w="1275" w:type="dxa"/>
            <w:shd w:val="clear" w:color="auto" w:fill="A6A6A6" w:themeFill="background1" w:themeFillShade="A6"/>
            <w:vAlign w:val="center"/>
          </w:tcPr>
          <w:p w14:paraId="59415AEF"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Q9</w:t>
            </w:r>
          </w:p>
        </w:tc>
      </w:tr>
      <w:tr w:rsidR="0001723B" w:rsidRPr="00244343" w14:paraId="59CCBAA2" w14:textId="77777777" w:rsidTr="00FC4291">
        <w:trPr>
          <w:trHeight w:val="1121"/>
        </w:trPr>
        <w:tc>
          <w:tcPr>
            <w:tcW w:w="3056" w:type="dxa"/>
            <w:vMerge/>
            <w:vAlign w:val="center"/>
          </w:tcPr>
          <w:p w14:paraId="2FC32C91" w14:textId="77777777" w:rsidR="0001723B" w:rsidRPr="00244343" w:rsidRDefault="0001723B" w:rsidP="00FC4291">
            <w:pPr>
              <w:pStyle w:val="af"/>
              <w:jc w:val="center"/>
              <w:rPr>
                <w:rFonts w:ascii="Times New Roman" w:hAnsi="Times New Roman"/>
                <w:sz w:val="28"/>
                <w:szCs w:val="28"/>
                <w:lang w:val="en-US"/>
              </w:rPr>
            </w:pPr>
          </w:p>
        </w:tc>
        <w:tc>
          <w:tcPr>
            <w:tcW w:w="1056" w:type="dxa"/>
          </w:tcPr>
          <w:p w14:paraId="6D918F2A"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Haven’t heard anything about it</w:t>
            </w:r>
          </w:p>
        </w:tc>
        <w:tc>
          <w:tcPr>
            <w:tcW w:w="1128" w:type="dxa"/>
          </w:tcPr>
          <w:p w14:paraId="042E2BF5"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Heard briefly</w:t>
            </w:r>
          </w:p>
        </w:tc>
        <w:tc>
          <w:tcPr>
            <w:tcW w:w="1418" w:type="dxa"/>
          </w:tcPr>
          <w:p w14:paraId="7A59067B"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Aware, saw videos, read on the Internet</w:t>
            </w:r>
          </w:p>
        </w:tc>
        <w:tc>
          <w:tcPr>
            <w:tcW w:w="1701" w:type="dxa"/>
          </w:tcPr>
          <w:p w14:paraId="445A8A87"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Well familiar, read about it in scientific literature</w:t>
            </w:r>
          </w:p>
        </w:tc>
        <w:tc>
          <w:tcPr>
            <w:tcW w:w="1275" w:type="dxa"/>
          </w:tcPr>
          <w:p w14:paraId="608141F8"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Score, from 1 to 7</w:t>
            </w:r>
          </w:p>
        </w:tc>
      </w:tr>
      <w:tr w:rsidR="0001723B" w:rsidRPr="00244343" w14:paraId="2DE3D2A3" w14:textId="77777777" w:rsidTr="00FC4291">
        <w:trPr>
          <w:trHeight w:val="549"/>
        </w:trPr>
        <w:tc>
          <w:tcPr>
            <w:tcW w:w="3056" w:type="dxa"/>
          </w:tcPr>
          <w:p w14:paraId="1E20B624" w14:textId="39C6A7C8" w:rsidR="0001723B" w:rsidRPr="00244343" w:rsidRDefault="0001723B" w:rsidP="00FC4291">
            <w:pPr>
              <w:pStyle w:val="af"/>
              <w:rPr>
                <w:rFonts w:ascii="Times New Roman" w:hAnsi="Times New Roman"/>
                <w:sz w:val="28"/>
                <w:szCs w:val="28"/>
                <w:lang w:val="en-US"/>
              </w:rPr>
            </w:pPr>
            <w:r w:rsidRPr="00244343">
              <w:rPr>
                <w:rFonts w:ascii="Times New Roman" w:hAnsi="Times New Roman"/>
                <w:sz w:val="28"/>
                <w:szCs w:val="28"/>
                <w:lang w:val="en-US"/>
              </w:rPr>
              <w:t>1. University Career Center / Career Center</w:t>
            </w:r>
          </w:p>
        </w:tc>
        <w:tc>
          <w:tcPr>
            <w:tcW w:w="1056" w:type="dxa"/>
            <w:vAlign w:val="center"/>
          </w:tcPr>
          <w:p w14:paraId="67F83C06"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1</w:t>
            </w:r>
          </w:p>
        </w:tc>
        <w:tc>
          <w:tcPr>
            <w:tcW w:w="1128" w:type="dxa"/>
            <w:vAlign w:val="center"/>
          </w:tcPr>
          <w:p w14:paraId="39238DD1"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2</w:t>
            </w:r>
          </w:p>
        </w:tc>
        <w:tc>
          <w:tcPr>
            <w:tcW w:w="1418" w:type="dxa"/>
            <w:vAlign w:val="center"/>
          </w:tcPr>
          <w:p w14:paraId="24046A63"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3</w:t>
            </w:r>
          </w:p>
        </w:tc>
        <w:tc>
          <w:tcPr>
            <w:tcW w:w="1701" w:type="dxa"/>
            <w:vAlign w:val="center"/>
          </w:tcPr>
          <w:p w14:paraId="58721B2D"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4</w:t>
            </w:r>
          </w:p>
        </w:tc>
        <w:tc>
          <w:tcPr>
            <w:tcW w:w="1275" w:type="dxa"/>
            <w:vAlign w:val="center"/>
          </w:tcPr>
          <w:p w14:paraId="2C896491" w14:textId="77777777" w:rsidR="0001723B" w:rsidRPr="00244343" w:rsidRDefault="0001723B" w:rsidP="00FC4291">
            <w:pPr>
              <w:pStyle w:val="af"/>
              <w:jc w:val="center"/>
              <w:rPr>
                <w:rFonts w:ascii="Times New Roman" w:hAnsi="Times New Roman"/>
                <w:sz w:val="28"/>
                <w:szCs w:val="28"/>
                <w:lang w:val="en-US"/>
              </w:rPr>
            </w:pPr>
          </w:p>
        </w:tc>
      </w:tr>
      <w:tr w:rsidR="0001723B" w:rsidRPr="00244343" w14:paraId="3A877E6E" w14:textId="77777777" w:rsidTr="00FC4291">
        <w:trPr>
          <w:trHeight w:val="286"/>
        </w:trPr>
        <w:tc>
          <w:tcPr>
            <w:tcW w:w="3056" w:type="dxa"/>
          </w:tcPr>
          <w:p w14:paraId="18148764" w14:textId="77777777" w:rsidR="0001723B" w:rsidRPr="00244343" w:rsidRDefault="0001723B" w:rsidP="00FC4291">
            <w:pPr>
              <w:pStyle w:val="af"/>
              <w:rPr>
                <w:rFonts w:ascii="Times New Roman" w:hAnsi="Times New Roman"/>
                <w:sz w:val="28"/>
                <w:szCs w:val="28"/>
                <w:lang w:val="en-US"/>
              </w:rPr>
            </w:pPr>
            <w:r w:rsidRPr="00244343">
              <w:rPr>
                <w:rFonts w:ascii="Times New Roman" w:hAnsi="Times New Roman"/>
                <w:sz w:val="28"/>
                <w:szCs w:val="28"/>
                <w:lang w:val="en-US"/>
              </w:rPr>
              <w:t>2. State employment center</w:t>
            </w:r>
          </w:p>
        </w:tc>
        <w:tc>
          <w:tcPr>
            <w:tcW w:w="1056" w:type="dxa"/>
            <w:vAlign w:val="center"/>
          </w:tcPr>
          <w:p w14:paraId="669AC870"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1</w:t>
            </w:r>
          </w:p>
        </w:tc>
        <w:tc>
          <w:tcPr>
            <w:tcW w:w="1128" w:type="dxa"/>
            <w:vAlign w:val="center"/>
          </w:tcPr>
          <w:p w14:paraId="5B086AF8"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2</w:t>
            </w:r>
          </w:p>
        </w:tc>
        <w:tc>
          <w:tcPr>
            <w:tcW w:w="1418" w:type="dxa"/>
            <w:vAlign w:val="center"/>
          </w:tcPr>
          <w:p w14:paraId="6CFC96B7"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3</w:t>
            </w:r>
          </w:p>
        </w:tc>
        <w:tc>
          <w:tcPr>
            <w:tcW w:w="1701" w:type="dxa"/>
            <w:vAlign w:val="center"/>
          </w:tcPr>
          <w:p w14:paraId="312ED687"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4</w:t>
            </w:r>
          </w:p>
        </w:tc>
        <w:tc>
          <w:tcPr>
            <w:tcW w:w="1275" w:type="dxa"/>
            <w:vAlign w:val="center"/>
          </w:tcPr>
          <w:p w14:paraId="6CE8D02F" w14:textId="77777777" w:rsidR="0001723B" w:rsidRPr="00244343" w:rsidRDefault="0001723B" w:rsidP="00FC4291">
            <w:pPr>
              <w:pStyle w:val="af"/>
              <w:jc w:val="center"/>
              <w:rPr>
                <w:rFonts w:ascii="Times New Roman" w:hAnsi="Times New Roman"/>
                <w:sz w:val="28"/>
                <w:szCs w:val="28"/>
                <w:lang w:val="en-US"/>
              </w:rPr>
            </w:pPr>
          </w:p>
        </w:tc>
      </w:tr>
      <w:tr w:rsidR="0001723B" w:rsidRPr="00244343" w14:paraId="2352F2E2" w14:textId="77777777" w:rsidTr="00FC4291">
        <w:trPr>
          <w:trHeight w:val="1111"/>
        </w:trPr>
        <w:tc>
          <w:tcPr>
            <w:tcW w:w="3056" w:type="dxa"/>
          </w:tcPr>
          <w:p w14:paraId="7B0A1667" w14:textId="77777777" w:rsidR="0001723B" w:rsidRPr="00244343" w:rsidRDefault="0001723B" w:rsidP="00FC4291">
            <w:pPr>
              <w:pStyle w:val="af"/>
              <w:rPr>
                <w:rFonts w:ascii="Times New Roman" w:hAnsi="Times New Roman"/>
                <w:sz w:val="28"/>
                <w:szCs w:val="28"/>
                <w:highlight w:val="yellow"/>
                <w:lang w:val="en-US"/>
              </w:rPr>
            </w:pPr>
            <w:r w:rsidRPr="00244343">
              <w:rPr>
                <w:rFonts w:ascii="Times New Roman" w:hAnsi="Times New Roman"/>
                <w:sz w:val="28"/>
                <w:szCs w:val="28"/>
                <w:lang w:val="en-US"/>
              </w:rPr>
              <w:t>3. Programs to establish cooperation between universities, business and government</w:t>
            </w:r>
          </w:p>
        </w:tc>
        <w:tc>
          <w:tcPr>
            <w:tcW w:w="1056" w:type="dxa"/>
            <w:vAlign w:val="center"/>
          </w:tcPr>
          <w:p w14:paraId="4D0A6275"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1</w:t>
            </w:r>
          </w:p>
        </w:tc>
        <w:tc>
          <w:tcPr>
            <w:tcW w:w="1128" w:type="dxa"/>
            <w:vAlign w:val="center"/>
          </w:tcPr>
          <w:p w14:paraId="226FF1DB"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2</w:t>
            </w:r>
          </w:p>
        </w:tc>
        <w:tc>
          <w:tcPr>
            <w:tcW w:w="1418" w:type="dxa"/>
            <w:vAlign w:val="center"/>
          </w:tcPr>
          <w:p w14:paraId="3B9E1FBF"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3</w:t>
            </w:r>
          </w:p>
        </w:tc>
        <w:tc>
          <w:tcPr>
            <w:tcW w:w="1701" w:type="dxa"/>
            <w:vAlign w:val="center"/>
          </w:tcPr>
          <w:p w14:paraId="3C34BD46"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4</w:t>
            </w:r>
          </w:p>
        </w:tc>
        <w:tc>
          <w:tcPr>
            <w:tcW w:w="1275" w:type="dxa"/>
            <w:vAlign w:val="center"/>
          </w:tcPr>
          <w:p w14:paraId="4E4E0CEE" w14:textId="77777777" w:rsidR="0001723B" w:rsidRPr="00244343" w:rsidRDefault="0001723B" w:rsidP="00FC4291">
            <w:pPr>
              <w:pStyle w:val="af"/>
              <w:jc w:val="center"/>
              <w:rPr>
                <w:rFonts w:ascii="Times New Roman" w:hAnsi="Times New Roman"/>
                <w:sz w:val="28"/>
                <w:szCs w:val="28"/>
                <w:lang w:val="en-US"/>
              </w:rPr>
            </w:pPr>
          </w:p>
        </w:tc>
      </w:tr>
      <w:tr w:rsidR="0001723B" w:rsidRPr="00244343" w14:paraId="73EA458A" w14:textId="77777777" w:rsidTr="00FC4291">
        <w:trPr>
          <w:trHeight w:val="275"/>
        </w:trPr>
        <w:tc>
          <w:tcPr>
            <w:tcW w:w="3056" w:type="dxa"/>
          </w:tcPr>
          <w:p w14:paraId="403C9B92" w14:textId="77777777" w:rsidR="0001723B" w:rsidRPr="00244343" w:rsidRDefault="0001723B" w:rsidP="00FC4291">
            <w:pPr>
              <w:pStyle w:val="af"/>
              <w:rPr>
                <w:rFonts w:ascii="Times New Roman" w:hAnsi="Times New Roman"/>
                <w:sz w:val="28"/>
                <w:szCs w:val="28"/>
                <w:lang w:val="en-US"/>
              </w:rPr>
            </w:pPr>
            <w:r w:rsidRPr="00244343">
              <w:rPr>
                <w:rFonts w:ascii="Times New Roman" w:hAnsi="Times New Roman"/>
                <w:sz w:val="28"/>
                <w:szCs w:val="28"/>
                <w:lang w:val="en-US"/>
              </w:rPr>
              <w:t>4. Job fairs</w:t>
            </w:r>
          </w:p>
        </w:tc>
        <w:tc>
          <w:tcPr>
            <w:tcW w:w="1056" w:type="dxa"/>
            <w:vAlign w:val="center"/>
          </w:tcPr>
          <w:p w14:paraId="70291736"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1</w:t>
            </w:r>
          </w:p>
        </w:tc>
        <w:tc>
          <w:tcPr>
            <w:tcW w:w="1128" w:type="dxa"/>
            <w:vAlign w:val="center"/>
          </w:tcPr>
          <w:p w14:paraId="736C7763"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2</w:t>
            </w:r>
          </w:p>
        </w:tc>
        <w:tc>
          <w:tcPr>
            <w:tcW w:w="1418" w:type="dxa"/>
            <w:vAlign w:val="center"/>
          </w:tcPr>
          <w:p w14:paraId="232D0C13"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3</w:t>
            </w:r>
          </w:p>
        </w:tc>
        <w:tc>
          <w:tcPr>
            <w:tcW w:w="1701" w:type="dxa"/>
            <w:vAlign w:val="center"/>
          </w:tcPr>
          <w:p w14:paraId="1234F92A"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4</w:t>
            </w:r>
          </w:p>
        </w:tc>
        <w:tc>
          <w:tcPr>
            <w:tcW w:w="1275" w:type="dxa"/>
            <w:vAlign w:val="center"/>
          </w:tcPr>
          <w:p w14:paraId="154785F2" w14:textId="77777777" w:rsidR="0001723B" w:rsidRPr="00244343" w:rsidRDefault="0001723B" w:rsidP="00FC4291">
            <w:pPr>
              <w:pStyle w:val="af"/>
              <w:jc w:val="center"/>
              <w:rPr>
                <w:rFonts w:ascii="Times New Roman" w:hAnsi="Times New Roman"/>
                <w:sz w:val="28"/>
                <w:szCs w:val="28"/>
                <w:lang w:val="en-US"/>
              </w:rPr>
            </w:pPr>
          </w:p>
        </w:tc>
      </w:tr>
      <w:tr w:rsidR="0001723B" w:rsidRPr="00244343" w14:paraId="1D58F9AF" w14:textId="77777777" w:rsidTr="00FC4291">
        <w:trPr>
          <w:trHeight w:val="415"/>
        </w:trPr>
        <w:tc>
          <w:tcPr>
            <w:tcW w:w="3056" w:type="dxa"/>
          </w:tcPr>
          <w:p w14:paraId="7D7ABAE9" w14:textId="77777777" w:rsidR="0001723B" w:rsidRPr="00244343" w:rsidRDefault="0001723B" w:rsidP="00FC4291">
            <w:pPr>
              <w:pStyle w:val="af"/>
              <w:rPr>
                <w:rFonts w:ascii="Times New Roman" w:hAnsi="Times New Roman"/>
                <w:sz w:val="28"/>
                <w:szCs w:val="28"/>
                <w:lang w:val="en-US"/>
              </w:rPr>
            </w:pPr>
            <w:r w:rsidRPr="00244343">
              <w:rPr>
                <w:rFonts w:ascii="Times New Roman" w:hAnsi="Times New Roman"/>
                <w:sz w:val="28"/>
                <w:szCs w:val="28"/>
                <w:lang w:val="en-US"/>
              </w:rPr>
              <w:t xml:space="preserve">Other (PLEASE WRITE OUT EXACTLY_________) </w:t>
            </w:r>
          </w:p>
        </w:tc>
        <w:tc>
          <w:tcPr>
            <w:tcW w:w="1056" w:type="dxa"/>
            <w:vAlign w:val="center"/>
          </w:tcPr>
          <w:p w14:paraId="68617F8B"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1</w:t>
            </w:r>
          </w:p>
        </w:tc>
        <w:tc>
          <w:tcPr>
            <w:tcW w:w="1128" w:type="dxa"/>
            <w:vAlign w:val="center"/>
          </w:tcPr>
          <w:p w14:paraId="7F66DDEB"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2</w:t>
            </w:r>
          </w:p>
        </w:tc>
        <w:tc>
          <w:tcPr>
            <w:tcW w:w="1418" w:type="dxa"/>
            <w:vAlign w:val="center"/>
          </w:tcPr>
          <w:p w14:paraId="285C8C30"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3</w:t>
            </w:r>
          </w:p>
        </w:tc>
        <w:tc>
          <w:tcPr>
            <w:tcW w:w="1701" w:type="dxa"/>
            <w:vAlign w:val="center"/>
          </w:tcPr>
          <w:p w14:paraId="017AE52F" w14:textId="77777777" w:rsidR="0001723B" w:rsidRPr="00244343" w:rsidRDefault="0001723B" w:rsidP="00FC4291">
            <w:pPr>
              <w:pStyle w:val="af"/>
              <w:jc w:val="center"/>
              <w:rPr>
                <w:rFonts w:ascii="Times New Roman" w:hAnsi="Times New Roman"/>
                <w:sz w:val="28"/>
                <w:szCs w:val="28"/>
                <w:lang w:val="en-US"/>
              </w:rPr>
            </w:pPr>
            <w:r w:rsidRPr="00244343">
              <w:rPr>
                <w:rFonts w:ascii="Times New Roman" w:hAnsi="Times New Roman"/>
                <w:sz w:val="28"/>
                <w:szCs w:val="28"/>
                <w:lang w:val="en-US"/>
              </w:rPr>
              <w:t>4</w:t>
            </w:r>
          </w:p>
        </w:tc>
        <w:tc>
          <w:tcPr>
            <w:tcW w:w="1275" w:type="dxa"/>
            <w:vAlign w:val="center"/>
          </w:tcPr>
          <w:p w14:paraId="62B6E416" w14:textId="77777777" w:rsidR="0001723B" w:rsidRPr="00244343" w:rsidRDefault="0001723B" w:rsidP="00FC4291">
            <w:pPr>
              <w:pStyle w:val="af"/>
              <w:jc w:val="center"/>
              <w:rPr>
                <w:rFonts w:ascii="Times New Roman" w:hAnsi="Times New Roman"/>
                <w:sz w:val="28"/>
                <w:szCs w:val="28"/>
                <w:lang w:val="en-US"/>
              </w:rPr>
            </w:pPr>
          </w:p>
        </w:tc>
      </w:tr>
    </w:tbl>
    <w:p w14:paraId="796F7DC5" w14:textId="77777777" w:rsidR="0001723B" w:rsidRPr="00F25C1C" w:rsidRDefault="0001723B" w:rsidP="0001723B">
      <w:pPr>
        <w:autoSpaceDE w:val="0"/>
        <w:autoSpaceDN w:val="0"/>
        <w:adjustRightInd w:val="0"/>
        <w:spacing w:line="240" w:lineRule="auto"/>
        <w:jc w:val="both"/>
        <w:rPr>
          <w:rFonts w:ascii="Times New Roman" w:hAnsi="Times New Roman" w:cs="Times New Roman"/>
          <w:b/>
          <w:bCs/>
          <w:sz w:val="28"/>
          <w:szCs w:val="28"/>
          <w:lang w:val="en-US"/>
        </w:rPr>
      </w:pPr>
      <w:r w:rsidRPr="00244343">
        <w:rPr>
          <w:rFonts w:ascii="Times New Roman" w:hAnsi="Times New Roman" w:cs="Times New Roman"/>
          <w:b/>
          <w:bCs/>
          <w:sz w:val="28"/>
          <w:szCs w:val="28"/>
          <w:lang w:val="en-US"/>
        </w:rPr>
        <w:t xml:space="preserve">Q10. Your suggestions for improving the work of the university in terms of </w:t>
      </w:r>
      <w:proofErr w:type="gramStart"/>
      <w:r w:rsidRPr="00244343">
        <w:rPr>
          <w:rFonts w:ascii="Times New Roman" w:hAnsi="Times New Roman" w:cs="Times New Roman"/>
          <w:b/>
          <w:bCs/>
          <w:sz w:val="28"/>
          <w:szCs w:val="28"/>
          <w:lang w:val="en-US"/>
        </w:rPr>
        <w:t>employment:</w:t>
      </w:r>
      <w:r w:rsidRPr="00244343">
        <w:rPr>
          <w:rFonts w:ascii="Times New Roman" w:hAnsi="Times New Roman" w:cs="Times New Roman"/>
          <w:sz w:val="28"/>
          <w:szCs w:val="28"/>
          <w:lang w:val="en-US"/>
        </w:rPr>
        <w:t>_</w:t>
      </w:r>
      <w:proofErr w:type="gramEnd"/>
      <w:r w:rsidRPr="00244343">
        <w:rPr>
          <w:rFonts w:ascii="Times New Roman" w:hAnsi="Times New Roman" w:cs="Times New Roman"/>
          <w:sz w:val="28"/>
          <w:szCs w:val="28"/>
          <w:lang w:val="en-US"/>
        </w:rPr>
        <w:t>________________________________________________________</w:t>
      </w:r>
    </w:p>
    <w:p w14:paraId="4538EE8B" w14:textId="77777777" w:rsidR="0001723B" w:rsidRPr="00244343" w:rsidRDefault="0001723B" w:rsidP="0001723B">
      <w:pPr>
        <w:pBdr>
          <w:top w:val="single" w:sz="4" w:space="1" w:color="auto"/>
          <w:left w:val="single" w:sz="4" w:space="4" w:color="auto"/>
          <w:bottom w:val="single" w:sz="4" w:space="0" w:color="auto"/>
          <w:right w:val="single" w:sz="4" w:space="4" w:color="auto"/>
        </w:pBdr>
        <w:shd w:val="clear" w:color="auto" w:fill="C0C0C0"/>
        <w:spacing w:after="60" w:line="240" w:lineRule="auto"/>
        <w:jc w:val="center"/>
        <w:outlineLvl w:val="1"/>
        <w:rPr>
          <w:rFonts w:ascii="Times New Roman" w:hAnsi="Times New Roman" w:cs="Times New Roman"/>
          <w:b/>
          <w:bCs/>
          <w:iCs/>
          <w:sz w:val="28"/>
          <w:szCs w:val="28"/>
          <w:lang w:val="en-US"/>
        </w:rPr>
      </w:pPr>
      <w:r w:rsidRPr="00244343">
        <w:rPr>
          <w:rFonts w:ascii="Times New Roman" w:hAnsi="Times New Roman" w:cs="Times New Roman"/>
          <w:b/>
          <w:bCs/>
          <w:iCs/>
          <w:sz w:val="28"/>
          <w:szCs w:val="28"/>
          <w:lang w:val="en-US"/>
        </w:rPr>
        <w:t>DEMOGRAPHIC BLOCK</w:t>
      </w:r>
    </w:p>
    <w:p w14:paraId="34242DA1" w14:textId="77777777" w:rsidR="0001723B" w:rsidRPr="00244343" w:rsidRDefault="0001723B" w:rsidP="0001723B">
      <w:pPr>
        <w:pStyle w:val="aff2"/>
        <w:rPr>
          <w:b/>
          <w:sz w:val="28"/>
          <w:szCs w:val="28"/>
          <w:lang w:val="en-US"/>
        </w:rPr>
      </w:pPr>
    </w:p>
    <w:p w14:paraId="6AF738E0" w14:textId="77777777" w:rsidR="0001723B" w:rsidRPr="00244343" w:rsidRDefault="0001723B" w:rsidP="0001723B">
      <w:pPr>
        <w:spacing w:after="120" w:line="240" w:lineRule="auto"/>
        <w:rPr>
          <w:rFonts w:ascii="Times New Roman" w:hAnsi="Times New Roman" w:cs="Times New Roman"/>
          <w:b/>
          <w:sz w:val="28"/>
          <w:szCs w:val="28"/>
          <w:lang w:val="en-US"/>
        </w:rPr>
      </w:pPr>
      <w:r w:rsidRPr="00244343">
        <w:rPr>
          <w:rFonts w:ascii="Times New Roman" w:hAnsi="Times New Roman" w:cs="Times New Roman"/>
          <w:b/>
          <w:sz w:val="28"/>
          <w:szCs w:val="28"/>
          <w:lang w:val="en-US"/>
        </w:rPr>
        <w:t xml:space="preserve">D1. How old you? </w:t>
      </w:r>
      <w:r w:rsidRPr="00244343">
        <w:rPr>
          <w:rFonts w:ascii="Times New Roman" w:hAnsi="Times New Roman" w:cs="Times New Roman"/>
          <w:i/>
          <w:sz w:val="28"/>
          <w:szCs w:val="28"/>
          <w:lang w:val="en-US"/>
        </w:rPr>
        <w:t>Write down</w:t>
      </w:r>
      <w:r w:rsidRPr="00244343">
        <w:rPr>
          <w:rFonts w:ascii="Times New Roman" w:hAnsi="Times New Roman" w:cs="Times New Roman"/>
          <w:b/>
          <w:sz w:val="28"/>
          <w:szCs w:val="28"/>
          <w:lang w:val="en-US"/>
        </w:rPr>
        <w:t>____________</w:t>
      </w:r>
    </w:p>
    <w:p w14:paraId="294DDCD7" w14:textId="77777777" w:rsidR="0001723B" w:rsidRPr="00244343" w:rsidRDefault="0001723B" w:rsidP="0001723B">
      <w:pPr>
        <w:pStyle w:val="aff2"/>
        <w:rPr>
          <w:b/>
          <w:sz w:val="28"/>
          <w:szCs w:val="28"/>
          <w:lang w:val="en-US"/>
        </w:rPr>
      </w:pPr>
      <w:r w:rsidRPr="00244343">
        <w:rPr>
          <w:b/>
          <w:sz w:val="28"/>
          <w:szCs w:val="28"/>
          <w:lang w:val="en-US"/>
        </w:rPr>
        <w:t xml:space="preserve">D2. </w:t>
      </w:r>
      <w:r w:rsidRPr="00244343">
        <w:rPr>
          <w:b/>
          <w:bCs/>
          <w:sz w:val="28"/>
          <w:szCs w:val="28"/>
          <w:lang w:val="en-US"/>
        </w:rPr>
        <w:t xml:space="preserve">Marital status/ </w:t>
      </w:r>
      <w:r w:rsidRPr="00244343">
        <w:rPr>
          <w:i/>
          <w:iCs/>
          <w:sz w:val="28"/>
          <w:szCs w:val="28"/>
          <w:lang w:val="en-US"/>
        </w:rPr>
        <w:t>One answer</w:t>
      </w:r>
      <w:r w:rsidRPr="00244343">
        <w:rPr>
          <w:b/>
          <w:bCs/>
          <w:sz w:val="28"/>
          <w:szCs w:val="28"/>
          <w:lang w:val="en-US"/>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gridCol w:w="993"/>
      </w:tblGrid>
      <w:tr w:rsidR="0001723B" w:rsidRPr="00244343" w14:paraId="35C392E9" w14:textId="77777777" w:rsidTr="00FC4291">
        <w:trPr>
          <w:trHeight w:val="312"/>
        </w:trPr>
        <w:tc>
          <w:tcPr>
            <w:tcW w:w="8613" w:type="dxa"/>
          </w:tcPr>
          <w:p w14:paraId="2B1DFA80" w14:textId="77777777" w:rsidR="0001723B" w:rsidRPr="00244343" w:rsidRDefault="0001723B" w:rsidP="00FC4291">
            <w:pPr>
              <w:pStyle w:val="ad"/>
              <w:widowControl w:val="0"/>
              <w:spacing w:line="240" w:lineRule="auto"/>
              <w:ind w:left="0"/>
              <w:rPr>
                <w:rFonts w:ascii="Times New Roman" w:hAnsi="Times New Roman" w:cs="Times New Roman"/>
                <w:sz w:val="28"/>
                <w:szCs w:val="28"/>
                <w:lang w:val="en-US" w:eastAsia="fr-FR"/>
              </w:rPr>
            </w:pPr>
            <w:r w:rsidRPr="00244343">
              <w:rPr>
                <w:rFonts w:ascii="Times New Roman" w:hAnsi="Times New Roman" w:cs="Times New Roman"/>
                <w:sz w:val="28"/>
                <w:szCs w:val="28"/>
                <w:lang w:val="en-US"/>
              </w:rPr>
              <w:t>Single/Not married</w:t>
            </w:r>
          </w:p>
        </w:tc>
        <w:tc>
          <w:tcPr>
            <w:tcW w:w="993" w:type="dxa"/>
            <w:vAlign w:val="center"/>
          </w:tcPr>
          <w:p w14:paraId="381FC489" w14:textId="77777777" w:rsidR="0001723B" w:rsidRPr="00244343" w:rsidRDefault="0001723B" w:rsidP="00FC4291">
            <w:pPr>
              <w:pStyle w:val="ad"/>
              <w:widowControl w:val="0"/>
              <w:spacing w:line="240" w:lineRule="auto"/>
              <w:ind w:left="0"/>
              <w:jc w:val="center"/>
              <w:rPr>
                <w:rFonts w:ascii="Times New Roman" w:hAnsi="Times New Roman" w:cs="Times New Roman"/>
                <w:sz w:val="28"/>
                <w:szCs w:val="28"/>
                <w:lang w:val="en-US" w:eastAsia="fr-FR"/>
              </w:rPr>
            </w:pPr>
            <w:r w:rsidRPr="00244343">
              <w:rPr>
                <w:rFonts w:ascii="Times New Roman" w:hAnsi="Times New Roman" w:cs="Times New Roman"/>
                <w:sz w:val="28"/>
                <w:szCs w:val="28"/>
                <w:lang w:val="en-US" w:eastAsia="fr-FR"/>
              </w:rPr>
              <w:t>1</w:t>
            </w:r>
          </w:p>
        </w:tc>
      </w:tr>
      <w:tr w:rsidR="0001723B" w:rsidRPr="00244343" w14:paraId="58B9C059" w14:textId="77777777" w:rsidTr="00FC4291">
        <w:trPr>
          <w:trHeight w:val="312"/>
        </w:trPr>
        <w:tc>
          <w:tcPr>
            <w:tcW w:w="8613" w:type="dxa"/>
          </w:tcPr>
          <w:p w14:paraId="2AE7D800" w14:textId="77777777" w:rsidR="0001723B" w:rsidRPr="00244343" w:rsidRDefault="0001723B" w:rsidP="00FC4291">
            <w:pPr>
              <w:pStyle w:val="ad"/>
              <w:widowControl w:val="0"/>
              <w:spacing w:line="240" w:lineRule="auto"/>
              <w:ind w:left="0"/>
              <w:rPr>
                <w:rFonts w:ascii="Times New Roman" w:hAnsi="Times New Roman" w:cs="Times New Roman"/>
                <w:sz w:val="28"/>
                <w:szCs w:val="28"/>
                <w:highlight w:val="yellow"/>
                <w:lang w:val="en-US" w:eastAsia="fr-FR"/>
              </w:rPr>
            </w:pPr>
            <w:r w:rsidRPr="00244343">
              <w:rPr>
                <w:rFonts w:ascii="Times New Roman" w:hAnsi="Times New Roman" w:cs="Times New Roman"/>
                <w:sz w:val="28"/>
                <w:szCs w:val="28"/>
                <w:lang w:val="en-US"/>
              </w:rPr>
              <w:t>Married (including civil marriage)</w:t>
            </w:r>
          </w:p>
        </w:tc>
        <w:tc>
          <w:tcPr>
            <w:tcW w:w="993" w:type="dxa"/>
            <w:vAlign w:val="center"/>
          </w:tcPr>
          <w:p w14:paraId="1B564C4C" w14:textId="77777777" w:rsidR="0001723B" w:rsidRPr="00244343" w:rsidRDefault="0001723B" w:rsidP="00FC4291">
            <w:pPr>
              <w:pStyle w:val="ad"/>
              <w:widowControl w:val="0"/>
              <w:spacing w:line="240" w:lineRule="auto"/>
              <w:ind w:left="0"/>
              <w:jc w:val="center"/>
              <w:rPr>
                <w:rFonts w:ascii="Times New Roman" w:hAnsi="Times New Roman" w:cs="Times New Roman"/>
                <w:sz w:val="28"/>
                <w:szCs w:val="28"/>
                <w:highlight w:val="yellow"/>
                <w:lang w:val="en-US" w:eastAsia="fr-FR"/>
              </w:rPr>
            </w:pPr>
            <w:r w:rsidRPr="00244343">
              <w:rPr>
                <w:rFonts w:ascii="Times New Roman" w:hAnsi="Times New Roman" w:cs="Times New Roman"/>
                <w:sz w:val="28"/>
                <w:szCs w:val="28"/>
                <w:lang w:val="en-US" w:eastAsia="fr-FR"/>
              </w:rPr>
              <w:t>2</w:t>
            </w:r>
          </w:p>
        </w:tc>
      </w:tr>
      <w:tr w:rsidR="0001723B" w:rsidRPr="00244343" w14:paraId="109C5EEC" w14:textId="77777777" w:rsidTr="00FC4291">
        <w:trPr>
          <w:trHeight w:val="312"/>
        </w:trPr>
        <w:tc>
          <w:tcPr>
            <w:tcW w:w="8613" w:type="dxa"/>
          </w:tcPr>
          <w:p w14:paraId="6914EDC5" w14:textId="77777777" w:rsidR="0001723B" w:rsidRPr="00244343" w:rsidRDefault="0001723B" w:rsidP="00FC4291">
            <w:pPr>
              <w:pStyle w:val="ad"/>
              <w:widowControl w:val="0"/>
              <w:spacing w:line="240" w:lineRule="auto"/>
              <w:ind w:left="0"/>
              <w:rPr>
                <w:rFonts w:ascii="Times New Roman" w:hAnsi="Times New Roman" w:cs="Times New Roman"/>
                <w:sz w:val="28"/>
                <w:szCs w:val="28"/>
                <w:lang w:val="en-US" w:eastAsia="fr-FR"/>
              </w:rPr>
            </w:pPr>
            <w:r w:rsidRPr="00244343">
              <w:rPr>
                <w:rFonts w:ascii="Times New Roman" w:hAnsi="Times New Roman" w:cs="Times New Roman"/>
                <w:sz w:val="28"/>
                <w:szCs w:val="28"/>
                <w:lang w:val="en-US"/>
              </w:rPr>
              <w:t>Divorced/Separated</w:t>
            </w:r>
          </w:p>
        </w:tc>
        <w:tc>
          <w:tcPr>
            <w:tcW w:w="993" w:type="dxa"/>
            <w:vAlign w:val="center"/>
          </w:tcPr>
          <w:p w14:paraId="62F29DCB" w14:textId="77777777" w:rsidR="0001723B" w:rsidRPr="00244343" w:rsidRDefault="0001723B" w:rsidP="00FC4291">
            <w:pPr>
              <w:pStyle w:val="ad"/>
              <w:widowControl w:val="0"/>
              <w:spacing w:line="240" w:lineRule="auto"/>
              <w:ind w:left="0"/>
              <w:jc w:val="center"/>
              <w:rPr>
                <w:rFonts w:ascii="Times New Roman" w:hAnsi="Times New Roman" w:cs="Times New Roman"/>
                <w:sz w:val="28"/>
                <w:szCs w:val="28"/>
                <w:lang w:val="en-US" w:eastAsia="fr-FR"/>
              </w:rPr>
            </w:pPr>
            <w:r w:rsidRPr="00244343">
              <w:rPr>
                <w:rFonts w:ascii="Times New Roman" w:hAnsi="Times New Roman" w:cs="Times New Roman"/>
                <w:sz w:val="28"/>
                <w:szCs w:val="28"/>
                <w:lang w:val="en-US" w:eastAsia="fr-FR"/>
              </w:rPr>
              <w:t>3</w:t>
            </w:r>
          </w:p>
        </w:tc>
      </w:tr>
      <w:tr w:rsidR="0001723B" w:rsidRPr="00244343" w14:paraId="633E40BB" w14:textId="77777777" w:rsidTr="00FC4291">
        <w:trPr>
          <w:trHeight w:val="312"/>
        </w:trPr>
        <w:tc>
          <w:tcPr>
            <w:tcW w:w="8613" w:type="dxa"/>
          </w:tcPr>
          <w:p w14:paraId="59F245F8" w14:textId="77777777" w:rsidR="0001723B" w:rsidRPr="00244343" w:rsidRDefault="0001723B" w:rsidP="00FC4291">
            <w:pPr>
              <w:pStyle w:val="ad"/>
              <w:widowControl w:val="0"/>
              <w:spacing w:line="240" w:lineRule="auto"/>
              <w:ind w:left="0"/>
              <w:rPr>
                <w:rFonts w:ascii="Times New Roman" w:hAnsi="Times New Roman" w:cs="Times New Roman"/>
                <w:sz w:val="28"/>
                <w:szCs w:val="28"/>
                <w:lang w:val="en-US" w:eastAsia="fr-FR"/>
              </w:rPr>
            </w:pPr>
            <w:r w:rsidRPr="00244343">
              <w:rPr>
                <w:rFonts w:ascii="Times New Roman" w:hAnsi="Times New Roman" w:cs="Times New Roman"/>
                <w:sz w:val="28"/>
                <w:szCs w:val="28"/>
                <w:lang w:val="en-US"/>
              </w:rPr>
              <w:t>Widow/Widower</w:t>
            </w:r>
          </w:p>
        </w:tc>
        <w:tc>
          <w:tcPr>
            <w:tcW w:w="993" w:type="dxa"/>
            <w:vAlign w:val="center"/>
          </w:tcPr>
          <w:p w14:paraId="3E732AD0" w14:textId="77777777" w:rsidR="0001723B" w:rsidRPr="00244343" w:rsidRDefault="0001723B" w:rsidP="00FC4291">
            <w:pPr>
              <w:pStyle w:val="ad"/>
              <w:widowControl w:val="0"/>
              <w:spacing w:line="240" w:lineRule="auto"/>
              <w:ind w:left="0"/>
              <w:jc w:val="center"/>
              <w:rPr>
                <w:rFonts w:ascii="Times New Roman" w:hAnsi="Times New Roman" w:cs="Times New Roman"/>
                <w:sz w:val="28"/>
                <w:szCs w:val="28"/>
                <w:lang w:val="en-US" w:eastAsia="fr-FR"/>
              </w:rPr>
            </w:pPr>
            <w:r w:rsidRPr="00244343">
              <w:rPr>
                <w:rFonts w:ascii="Times New Roman" w:hAnsi="Times New Roman" w:cs="Times New Roman"/>
                <w:sz w:val="28"/>
                <w:szCs w:val="28"/>
                <w:lang w:val="en-US" w:eastAsia="fr-FR"/>
              </w:rPr>
              <w:t>4</w:t>
            </w:r>
          </w:p>
        </w:tc>
      </w:tr>
      <w:tr w:rsidR="0001723B" w:rsidRPr="00244343" w14:paraId="768A3690" w14:textId="77777777" w:rsidTr="00FC4291">
        <w:trPr>
          <w:trHeight w:val="312"/>
        </w:trPr>
        <w:tc>
          <w:tcPr>
            <w:tcW w:w="8613" w:type="dxa"/>
          </w:tcPr>
          <w:p w14:paraId="66463799" w14:textId="77777777" w:rsidR="0001723B" w:rsidRPr="00244343" w:rsidRDefault="0001723B" w:rsidP="00FC4291">
            <w:pPr>
              <w:pStyle w:val="ad"/>
              <w:widowControl w:val="0"/>
              <w:spacing w:line="240" w:lineRule="auto"/>
              <w:ind w:left="0"/>
              <w:rPr>
                <w:rFonts w:ascii="Times New Roman" w:hAnsi="Times New Roman" w:cs="Times New Roman"/>
                <w:sz w:val="28"/>
                <w:szCs w:val="28"/>
                <w:lang w:val="en-US" w:eastAsia="fr-FR"/>
              </w:rPr>
            </w:pPr>
            <w:r w:rsidRPr="00244343">
              <w:rPr>
                <w:rFonts w:ascii="Times New Roman" w:hAnsi="Times New Roman" w:cs="Times New Roman"/>
                <w:sz w:val="28"/>
                <w:szCs w:val="28"/>
                <w:lang w:val="en-US"/>
              </w:rPr>
              <w:t>Refusal to answer</w:t>
            </w:r>
          </w:p>
        </w:tc>
        <w:tc>
          <w:tcPr>
            <w:tcW w:w="993" w:type="dxa"/>
            <w:vAlign w:val="center"/>
          </w:tcPr>
          <w:p w14:paraId="2ECFD77A" w14:textId="77777777" w:rsidR="0001723B" w:rsidRPr="00244343" w:rsidRDefault="0001723B" w:rsidP="00FC4291">
            <w:pPr>
              <w:pStyle w:val="ad"/>
              <w:widowControl w:val="0"/>
              <w:spacing w:line="240" w:lineRule="auto"/>
              <w:ind w:left="0"/>
              <w:jc w:val="center"/>
              <w:rPr>
                <w:rFonts w:ascii="Times New Roman" w:hAnsi="Times New Roman" w:cs="Times New Roman"/>
                <w:sz w:val="28"/>
                <w:szCs w:val="28"/>
                <w:lang w:val="en-US" w:eastAsia="fr-FR"/>
              </w:rPr>
            </w:pPr>
            <w:r w:rsidRPr="00244343">
              <w:rPr>
                <w:rFonts w:ascii="Times New Roman" w:hAnsi="Times New Roman" w:cs="Times New Roman"/>
                <w:sz w:val="28"/>
                <w:szCs w:val="28"/>
                <w:lang w:val="en-US" w:eastAsia="fr-FR"/>
              </w:rPr>
              <w:t>9</w:t>
            </w:r>
          </w:p>
        </w:tc>
      </w:tr>
    </w:tbl>
    <w:p w14:paraId="2F5C2AF3" w14:textId="77777777" w:rsidR="0001723B" w:rsidRPr="00244343" w:rsidRDefault="0001723B" w:rsidP="0001723B">
      <w:pPr>
        <w:pStyle w:val="aff2"/>
        <w:rPr>
          <w:sz w:val="28"/>
          <w:szCs w:val="28"/>
          <w:lang w:val="en-US"/>
        </w:rPr>
      </w:pPr>
    </w:p>
    <w:p w14:paraId="7DE870D5" w14:textId="77777777" w:rsidR="0001723B" w:rsidRPr="00244343" w:rsidRDefault="0001723B" w:rsidP="0001723B">
      <w:pPr>
        <w:keepNext/>
        <w:keepLines/>
        <w:spacing w:after="60" w:line="240" w:lineRule="auto"/>
        <w:rPr>
          <w:rFonts w:ascii="Times New Roman" w:hAnsi="Times New Roman" w:cs="Times New Roman"/>
          <w:b/>
          <w:sz w:val="28"/>
          <w:szCs w:val="28"/>
          <w:lang w:val="en-US"/>
        </w:rPr>
      </w:pPr>
      <w:r w:rsidRPr="00244343">
        <w:rPr>
          <w:rFonts w:ascii="Times New Roman" w:hAnsi="Times New Roman" w:cs="Times New Roman"/>
          <w:b/>
          <w:sz w:val="28"/>
          <w:szCs w:val="28"/>
          <w:lang w:val="en-US"/>
        </w:rPr>
        <w:t>D3. Your specialty?</w:t>
      </w:r>
    </w:p>
    <w:p w14:paraId="593DA34C" w14:textId="77777777" w:rsidR="0001723B" w:rsidRPr="00244343" w:rsidRDefault="0001723B" w:rsidP="0001723B">
      <w:pPr>
        <w:pStyle w:val="question"/>
        <w:tabs>
          <w:tab w:val="left" w:pos="0"/>
        </w:tabs>
        <w:rPr>
          <w:sz w:val="28"/>
          <w:szCs w:val="28"/>
          <w:lang w:val="en-US"/>
        </w:rPr>
      </w:pPr>
      <w:r w:rsidRPr="00244343">
        <w:rPr>
          <w:sz w:val="28"/>
          <w:szCs w:val="28"/>
          <w:lang w:val="en-US"/>
        </w:rPr>
        <w:t>_________________________________</w:t>
      </w:r>
    </w:p>
    <w:p w14:paraId="2CAE87A2" w14:textId="77777777" w:rsidR="0001723B" w:rsidRPr="00244343" w:rsidRDefault="0001723B" w:rsidP="0001723B">
      <w:pPr>
        <w:pStyle w:val="question"/>
        <w:tabs>
          <w:tab w:val="left" w:pos="0"/>
        </w:tabs>
        <w:rPr>
          <w:sz w:val="28"/>
          <w:szCs w:val="28"/>
          <w:lang w:val="en-US"/>
        </w:rPr>
      </w:pPr>
    </w:p>
    <w:p w14:paraId="3E961058" w14:textId="77777777" w:rsidR="0001723B" w:rsidRPr="00244343" w:rsidRDefault="0001723B" w:rsidP="0001723B">
      <w:pPr>
        <w:keepNext/>
        <w:keepLines/>
        <w:spacing w:after="60" w:line="240" w:lineRule="auto"/>
        <w:rPr>
          <w:rFonts w:ascii="Times New Roman" w:hAnsi="Times New Roman" w:cs="Times New Roman"/>
          <w:b/>
          <w:sz w:val="28"/>
          <w:szCs w:val="28"/>
          <w:lang w:val="en-US"/>
        </w:rPr>
      </w:pPr>
      <w:r w:rsidRPr="00244343">
        <w:rPr>
          <w:rFonts w:ascii="Times New Roman" w:hAnsi="Times New Roman" w:cs="Times New Roman"/>
          <w:b/>
          <w:sz w:val="28"/>
          <w:szCs w:val="28"/>
          <w:lang w:val="en-US"/>
        </w:rPr>
        <w:t>D4. Which university you graduated from:</w:t>
      </w:r>
    </w:p>
    <w:p w14:paraId="1DFDC62E" w14:textId="77777777" w:rsidR="0001723B" w:rsidRPr="00244343" w:rsidRDefault="0001723B" w:rsidP="0001723B">
      <w:pPr>
        <w:pStyle w:val="question"/>
        <w:tabs>
          <w:tab w:val="left" w:pos="0"/>
        </w:tabs>
        <w:rPr>
          <w:sz w:val="28"/>
          <w:szCs w:val="28"/>
          <w:lang w:val="en-US"/>
        </w:rPr>
      </w:pPr>
      <w:r w:rsidRPr="00244343">
        <w:rPr>
          <w:sz w:val="28"/>
          <w:szCs w:val="28"/>
          <w:lang w:val="en-US"/>
        </w:rPr>
        <w:t>_________________________________</w:t>
      </w:r>
    </w:p>
    <w:p w14:paraId="2BA88DC2" w14:textId="77777777" w:rsidR="0001723B" w:rsidRPr="00244343" w:rsidRDefault="0001723B" w:rsidP="0001723B">
      <w:pPr>
        <w:spacing w:line="240" w:lineRule="auto"/>
        <w:rPr>
          <w:rFonts w:ascii="Times New Roman" w:hAnsi="Times New Roman" w:cs="Times New Roman"/>
          <w:sz w:val="28"/>
          <w:szCs w:val="28"/>
          <w:lang w:val="en-US"/>
        </w:rPr>
      </w:pPr>
    </w:p>
    <w:p w14:paraId="7C53040B" w14:textId="77777777" w:rsidR="0001723B" w:rsidRDefault="0001723B" w:rsidP="0001723B">
      <w:pPr>
        <w:pStyle w:val="aff2"/>
        <w:jc w:val="center"/>
        <w:rPr>
          <w:b/>
          <w:sz w:val="28"/>
          <w:szCs w:val="28"/>
          <w:lang w:val="en-US"/>
        </w:rPr>
      </w:pPr>
      <w:r w:rsidRPr="00244343">
        <w:rPr>
          <w:b/>
          <w:sz w:val="28"/>
          <w:szCs w:val="28"/>
          <w:lang w:val="en-US"/>
        </w:rPr>
        <w:t>THANK YOU FOR PARTICIPATING IN THE SURVEY!</w:t>
      </w:r>
    </w:p>
    <w:p w14:paraId="7FF8FF2A" w14:textId="5C200C4F" w:rsidR="0001723B" w:rsidRPr="008E6E5F" w:rsidRDefault="0001723B" w:rsidP="0001723B">
      <w:pPr>
        <w:spacing w:line="240" w:lineRule="auto"/>
        <w:jc w:val="center"/>
        <w:rPr>
          <w:rFonts w:ascii="Times New Roman" w:hAnsi="Times New Roman" w:cs="Times New Roman"/>
          <w:b/>
          <w:bCs/>
          <w:sz w:val="28"/>
          <w:szCs w:val="28"/>
          <w:lang w:val="en-US"/>
        </w:rPr>
      </w:pPr>
      <w:r w:rsidRPr="00244343">
        <w:rPr>
          <w:rFonts w:ascii="Times New Roman" w:hAnsi="Times New Roman" w:cs="Times New Roman"/>
          <w:b/>
          <w:bCs/>
          <w:sz w:val="28"/>
          <w:szCs w:val="28"/>
          <w:lang w:val="en-US"/>
        </w:rPr>
        <w:lastRenderedPageBreak/>
        <w:t xml:space="preserve">APPENDIX </w:t>
      </w:r>
      <w:r w:rsidR="008E6E5F">
        <w:rPr>
          <w:rFonts w:ascii="Times New Roman" w:hAnsi="Times New Roman" w:cs="Times New Roman"/>
          <w:b/>
          <w:bCs/>
          <w:sz w:val="28"/>
          <w:szCs w:val="28"/>
          <w:lang w:val="en-US"/>
        </w:rPr>
        <w:t>D</w:t>
      </w:r>
    </w:p>
    <w:p w14:paraId="0E61E3E6" w14:textId="77777777" w:rsidR="0001723B" w:rsidRPr="00F31753" w:rsidRDefault="0001723B" w:rsidP="0001723B">
      <w:pPr>
        <w:spacing w:line="240" w:lineRule="auto"/>
        <w:jc w:val="center"/>
        <w:rPr>
          <w:rFonts w:ascii="Times New Roman" w:hAnsi="Times New Roman" w:cs="Times New Roman"/>
          <w:b/>
          <w:bCs/>
          <w:sz w:val="28"/>
          <w:szCs w:val="28"/>
          <w:lang w:val="en-US"/>
        </w:rPr>
      </w:pPr>
      <w:proofErr w:type="spellStart"/>
      <w:r w:rsidRPr="00F31753">
        <w:rPr>
          <w:rFonts w:ascii="Times New Roman" w:eastAsia="Times New Roman" w:hAnsi="Times New Roman" w:cs="Times New Roman"/>
          <w:b/>
          <w:bCs/>
          <w:color w:val="0E101A"/>
          <w:sz w:val="28"/>
          <w:szCs w:val="28"/>
          <w:lang w:val="en-US"/>
        </w:rPr>
        <w:t>Unichecker</w:t>
      </w:r>
      <w:proofErr w:type="spellEnd"/>
      <w:r w:rsidRPr="00F31753">
        <w:rPr>
          <w:rFonts w:ascii="Times New Roman" w:eastAsia="Times New Roman" w:hAnsi="Times New Roman" w:cs="Times New Roman"/>
          <w:b/>
          <w:bCs/>
          <w:color w:val="0E101A"/>
          <w:sz w:val="28"/>
          <w:szCs w:val="28"/>
          <w:lang w:val="en-US"/>
        </w:rPr>
        <w:t xml:space="preserve"> program</w:t>
      </w:r>
    </w:p>
    <w:p w14:paraId="5C70A8EC" w14:textId="77777777" w:rsidR="0001723B" w:rsidRDefault="0001723B" w:rsidP="0001723B">
      <w:pPr>
        <w:spacing w:line="240" w:lineRule="auto"/>
        <w:jc w:val="center"/>
        <w:rPr>
          <w:rFonts w:ascii="Times New Roman" w:hAnsi="Times New Roman" w:cs="Times New Roman"/>
          <w:b/>
          <w:bCs/>
          <w:sz w:val="28"/>
          <w:szCs w:val="28"/>
        </w:rPr>
      </w:pPr>
      <w:r w:rsidRPr="00A45213">
        <w:rPr>
          <w:rFonts w:ascii="Times New Roman" w:hAnsi="Times New Roman" w:cs="Times New Roman"/>
          <w:b/>
          <w:bCs/>
          <w:noProof/>
          <w:sz w:val="28"/>
          <w:szCs w:val="28"/>
        </w:rPr>
        <w:drawing>
          <wp:inline distT="0" distB="0" distL="0" distR="0" wp14:anchorId="72E67E7D" wp14:editId="01457FD8">
            <wp:extent cx="5993250" cy="3987209"/>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6002160" cy="3993137"/>
                    </a:xfrm>
                    <a:prstGeom prst="rect">
                      <a:avLst/>
                    </a:prstGeom>
                  </pic:spPr>
                </pic:pic>
              </a:graphicData>
            </a:graphic>
          </wp:inline>
        </w:drawing>
      </w:r>
    </w:p>
    <w:p w14:paraId="3F29BB19" w14:textId="72D3B1AE" w:rsidR="0001723B" w:rsidRDefault="0001723B" w:rsidP="0001723B">
      <w:pPr>
        <w:spacing w:line="240" w:lineRule="auto"/>
        <w:rPr>
          <w:rFonts w:ascii="Times New Roman" w:hAnsi="Times New Roman" w:cs="Times New Roman"/>
          <w:b/>
          <w:bCs/>
          <w:sz w:val="28"/>
          <w:szCs w:val="28"/>
          <w:lang w:val="en-US"/>
        </w:rPr>
      </w:pPr>
      <w:r w:rsidRPr="0029200E">
        <w:rPr>
          <w:rFonts w:ascii="Times New Roman" w:hAnsi="Times New Roman" w:cs="Times New Roman"/>
          <w:b/>
          <w:bCs/>
          <w:noProof/>
          <w:sz w:val="28"/>
          <w:szCs w:val="28"/>
        </w:rPr>
        <w:drawing>
          <wp:inline distT="0" distB="0" distL="0" distR="0" wp14:anchorId="0CA635A7" wp14:editId="6708AB9E">
            <wp:extent cx="941294" cy="74427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942150" cy="744956"/>
                    </a:xfrm>
                    <a:prstGeom prst="rect">
                      <a:avLst/>
                    </a:prstGeom>
                  </pic:spPr>
                </pic:pic>
              </a:graphicData>
            </a:graphic>
          </wp:inline>
        </w:drawing>
      </w:r>
    </w:p>
    <w:p w14:paraId="3E54472A" w14:textId="71154D89" w:rsidR="005A1F70" w:rsidRPr="00E047CD" w:rsidRDefault="00E047CD" w:rsidP="00E047CD">
      <w:pPr>
        <w:spacing w:line="240" w:lineRule="auto"/>
        <w:rPr>
          <w:lang w:val="en-US"/>
        </w:rPr>
      </w:pPr>
      <w:r w:rsidRPr="00E047CD">
        <w:rPr>
          <w:rFonts w:ascii="Times New Roman" w:hAnsi="Times New Roman" w:cs="Times New Roman"/>
          <w:sz w:val="28"/>
          <w:szCs w:val="28"/>
          <w:lang w:val="en-US"/>
        </w:rPr>
        <w:t xml:space="preserve">Table </w:t>
      </w:r>
      <w:r w:rsidR="008E6E5F">
        <w:rPr>
          <w:rFonts w:ascii="Times New Roman" w:hAnsi="Times New Roman" w:cs="Times New Roman"/>
          <w:sz w:val="28"/>
          <w:szCs w:val="28"/>
          <w:lang w:val="en-US"/>
        </w:rPr>
        <w:t>D</w:t>
      </w:r>
      <w:r w:rsidRPr="00E047CD">
        <w:rPr>
          <w:rFonts w:ascii="Times New Roman" w:hAnsi="Times New Roman" w:cs="Times New Roman"/>
          <w:sz w:val="28"/>
          <w:szCs w:val="28"/>
          <w:lang w:val="en-US"/>
        </w:rPr>
        <w:t>.1 –</w:t>
      </w:r>
      <w:r w:rsidRPr="00E047CD">
        <w:rPr>
          <w:lang w:val="en-US"/>
        </w:rPr>
        <w:t xml:space="preserve"> </w:t>
      </w:r>
      <w:proofErr w:type="spellStart"/>
      <w:r w:rsidRPr="00E047CD">
        <w:rPr>
          <w:rFonts w:ascii="Times New Roman" w:hAnsi="Times New Roman" w:cs="Times New Roman"/>
          <w:sz w:val="28"/>
          <w:szCs w:val="28"/>
          <w:lang w:val="en-US"/>
        </w:rPr>
        <w:t>Unichecker</w:t>
      </w:r>
      <w:proofErr w:type="spellEnd"/>
      <w:r w:rsidRPr="00E047CD">
        <w:rPr>
          <w:rFonts w:ascii="Times New Roman" w:hAnsi="Times New Roman" w:cs="Times New Roman"/>
          <w:sz w:val="28"/>
          <w:szCs w:val="28"/>
          <w:lang w:val="en-US"/>
        </w:rPr>
        <w:t xml:space="preserve"> program results</w:t>
      </w:r>
      <w:r w:rsidRPr="00E047CD">
        <w:rPr>
          <w:lang w:val="en-US"/>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6"/>
        <w:gridCol w:w="3518"/>
        <w:gridCol w:w="2199"/>
      </w:tblGrid>
      <w:tr w:rsidR="0001723B" w:rsidRPr="00FC469B" w14:paraId="0016693E" w14:textId="77777777" w:rsidTr="00E047CD">
        <w:trPr>
          <w:trHeight w:val="588"/>
        </w:trPr>
        <w:tc>
          <w:tcPr>
            <w:tcW w:w="3776" w:type="dxa"/>
            <w:shd w:val="clear" w:color="auto" w:fill="auto"/>
            <w:hideMark/>
          </w:tcPr>
          <w:p w14:paraId="3EFB7869" w14:textId="77777777" w:rsidR="0001723B" w:rsidRPr="00FC469B" w:rsidRDefault="0001723B" w:rsidP="00FC4291">
            <w:pPr>
              <w:spacing w:after="0" w:line="240" w:lineRule="auto"/>
              <w:jc w:val="center"/>
              <w:rPr>
                <w:rFonts w:ascii="Times New Roman" w:eastAsia="Times New Roman" w:hAnsi="Times New Roman" w:cs="Times New Roman"/>
                <w:b/>
                <w:bCs/>
                <w:sz w:val="26"/>
                <w:szCs w:val="26"/>
              </w:rPr>
            </w:pPr>
            <w:r w:rsidRPr="00FC469B">
              <w:rPr>
                <w:rFonts w:ascii="Times New Roman" w:eastAsia="Times New Roman" w:hAnsi="Times New Roman" w:cs="Times New Roman"/>
                <w:b/>
                <w:bCs/>
                <w:sz w:val="26"/>
                <w:szCs w:val="26"/>
              </w:rPr>
              <w:t>University</w:t>
            </w:r>
          </w:p>
        </w:tc>
        <w:tc>
          <w:tcPr>
            <w:tcW w:w="3518" w:type="dxa"/>
            <w:shd w:val="clear" w:color="auto" w:fill="auto"/>
            <w:hideMark/>
          </w:tcPr>
          <w:p w14:paraId="5047352D" w14:textId="77777777" w:rsidR="0001723B" w:rsidRPr="00FC469B" w:rsidRDefault="0001723B" w:rsidP="00FC4291">
            <w:pPr>
              <w:spacing w:after="0" w:line="240" w:lineRule="auto"/>
              <w:jc w:val="center"/>
              <w:rPr>
                <w:rFonts w:ascii="Times New Roman" w:eastAsia="Times New Roman" w:hAnsi="Times New Roman" w:cs="Times New Roman"/>
                <w:b/>
                <w:bCs/>
                <w:sz w:val="26"/>
                <w:szCs w:val="26"/>
              </w:rPr>
            </w:pPr>
            <w:r w:rsidRPr="00FC469B">
              <w:rPr>
                <w:rFonts w:ascii="Times New Roman" w:eastAsia="Times New Roman" w:hAnsi="Times New Roman" w:cs="Times New Roman"/>
                <w:b/>
                <w:bCs/>
                <w:sz w:val="26"/>
                <w:szCs w:val="26"/>
              </w:rPr>
              <w:t xml:space="preserve">AI </w:t>
            </w:r>
            <w:proofErr w:type="spellStart"/>
            <w:r w:rsidRPr="00FC469B">
              <w:rPr>
                <w:rFonts w:ascii="Times New Roman" w:eastAsia="Times New Roman" w:hAnsi="Times New Roman" w:cs="Times New Roman"/>
                <w:b/>
                <w:bCs/>
                <w:sz w:val="26"/>
                <w:szCs w:val="26"/>
              </w:rPr>
              <w:t>in</w:t>
            </w:r>
            <w:proofErr w:type="spellEnd"/>
            <w:r w:rsidRPr="00FC469B">
              <w:rPr>
                <w:rFonts w:ascii="Times New Roman" w:eastAsia="Times New Roman" w:hAnsi="Times New Roman" w:cs="Times New Roman"/>
                <w:b/>
                <w:bCs/>
                <w:sz w:val="26"/>
                <w:szCs w:val="26"/>
              </w:rPr>
              <w:t xml:space="preserve"> </w:t>
            </w:r>
            <w:proofErr w:type="spellStart"/>
            <w:r w:rsidRPr="00FC469B">
              <w:rPr>
                <w:rFonts w:ascii="Times New Roman" w:eastAsia="Times New Roman" w:hAnsi="Times New Roman" w:cs="Times New Roman"/>
                <w:b/>
                <w:bCs/>
                <w:sz w:val="26"/>
                <w:szCs w:val="26"/>
              </w:rPr>
              <w:t>Career</w:t>
            </w:r>
            <w:proofErr w:type="spellEnd"/>
            <w:r w:rsidRPr="00FC469B">
              <w:rPr>
                <w:rFonts w:ascii="Times New Roman" w:eastAsia="Times New Roman" w:hAnsi="Times New Roman" w:cs="Times New Roman"/>
                <w:b/>
                <w:bCs/>
                <w:sz w:val="26"/>
                <w:szCs w:val="26"/>
              </w:rPr>
              <w:t xml:space="preserve"> Center</w:t>
            </w:r>
          </w:p>
        </w:tc>
        <w:tc>
          <w:tcPr>
            <w:tcW w:w="2199" w:type="dxa"/>
            <w:shd w:val="clear" w:color="auto" w:fill="auto"/>
            <w:hideMark/>
          </w:tcPr>
          <w:p w14:paraId="56CFE1CD" w14:textId="77777777" w:rsidR="0001723B" w:rsidRPr="00FC469B" w:rsidRDefault="0001723B" w:rsidP="00FC4291">
            <w:pPr>
              <w:spacing w:after="0" w:line="240" w:lineRule="auto"/>
              <w:jc w:val="center"/>
              <w:rPr>
                <w:rFonts w:ascii="Times New Roman" w:eastAsia="Times New Roman" w:hAnsi="Times New Roman" w:cs="Times New Roman"/>
                <w:b/>
                <w:bCs/>
                <w:sz w:val="26"/>
                <w:szCs w:val="26"/>
              </w:rPr>
            </w:pPr>
            <w:proofErr w:type="spellStart"/>
            <w:r w:rsidRPr="00FC469B">
              <w:rPr>
                <w:rFonts w:ascii="Times New Roman" w:eastAsia="Times New Roman" w:hAnsi="Times New Roman" w:cs="Times New Roman"/>
                <w:b/>
                <w:bCs/>
                <w:sz w:val="26"/>
                <w:szCs w:val="26"/>
              </w:rPr>
              <w:t>Motivation</w:t>
            </w:r>
            <w:proofErr w:type="spellEnd"/>
            <w:r w:rsidRPr="00FC469B">
              <w:rPr>
                <w:rFonts w:ascii="Times New Roman" w:eastAsia="Times New Roman" w:hAnsi="Times New Roman" w:cs="Times New Roman"/>
                <w:b/>
                <w:bCs/>
                <w:sz w:val="26"/>
                <w:szCs w:val="26"/>
              </w:rPr>
              <w:t xml:space="preserve"> </w:t>
            </w:r>
            <w:proofErr w:type="spellStart"/>
            <w:r w:rsidRPr="00FC469B">
              <w:rPr>
                <w:rFonts w:ascii="Times New Roman" w:eastAsia="Times New Roman" w:hAnsi="Times New Roman" w:cs="Times New Roman"/>
                <w:b/>
                <w:bCs/>
                <w:sz w:val="26"/>
                <w:szCs w:val="26"/>
              </w:rPr>
              <w:t>in</w:t>
            </w:r>
            <w:proofErr w:type="spellEnd"/>
            <w:r w:rsidRPr="00FC469B">
              <w:rPr>
                <w:rFonts w:ascii="Times New Roman" w:eastAsia="Times New Roman" w:hAnsi="Times New Roman" w:cs="Times New Roman"/>
                <w:b/>
                <w:bCs/>
                <w:sz w:val="26"/>
                <w:szCs w:val="26"/>
              </w:rPr>
              <w:t xml:space="preserve"> Learning Platform</w:t>
            </w:r>
          </w:p>
        </w:tc>
      </w:tr>
      <w:tr w:rsidR="0001723B" w:rsidRPr="00FC469B" w14:paraId="35E55D04" w14:textId="77777777" w:rsidTr="00A01E0D">
        <w:trPr>
          <w:trHeight w:val="642"/>
        </w:trPr>
        <w:tc>
          <w:tcPr>
            <w:tcW w:w="3776" w:type="dxa"/>
            <w:shd w:val="clear" w:color="auto" w:fill="auto"/>
            <w:vAlign w:val="bottom"/>
            <w:hideMark/>
          </w:tcPr>
          <w:p w14:paraId="76D014FC"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https://nu.edu.kz</w:t>
            </w:r>
          </w:p>
        </w:tc>
        <w:tc>
          <w:tcPr>
            <w:tcW w:w="3518" w:type="dxa"/>
            <w:shd w:val="clear" w:color="auto" w:fill="auto"/>
            <w:vAlign w:val="bottom"/>
            <w:hideMark/>
          </w:tcPr>
          <w:p w14:paraId="27C200DC"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proofErr w:type="spellStart"/>
            <w:r w:rsidRPr="00FC469B">
              <w:rPr>
                <w:rFonts w:ascii="Times New Roman" w:eastAsia="Times New Roman" w:hAnsi="Times New Roman" w:cs="Times New Roman"/>
                <w:color w:val="000000"/>
                <w:sz w:val="26"/>
                <w:szCs w:val="26"/>
              </w:rPr>
              <w:t>artificial</w:t>
            </w:r>
            <w:proofErr w:type="spellEnd"/>
            <w:r w:rsidRPr="00FC469B">
              <w:rPr>
                <w:rFonts w:ascii="Times New Roman" w:eastAsia="Times New Roman" w:hAnsi="Times New Roman" w:cs="Times New Roman"/>
                <w:color w:val="000000"/>
                <w:sz w:val="26"/>
                <w:szCs w:val="26"/>
              </w:rPr>
              <w:t xml:space="preserve"> </w:t>
            </w:r>
            <w:proofErr w:type="spellStart"/>
            <w:r w:rsidRPr="00FC469B">
              <w:rPr>
                <w:rFonts w:ascii="Times New Roman" w:eastAsia="Times New Roman" w:hAnsi="Times New Roman" w:cs="Times New Roman"/>
                <w:color w:val="000000"/>
                <w:sz w:val="26"/>
                <w:szCs w:val="26"/>
              </w:rPr>
              <w:t>intelligence</w:t>
            </w:r>
            <w:proofErr w:type="spellEnd"/>
            <w:r w:rsidRPr="00FC469B">
              <w:rPr>
                <w:rFonts w:ascii="Times New Roman" w:eastAsia="Times New Roman" w:hAnsi="Times New Roman" w:cs="Times New Roman"/>
                <w:color w:val="000000"/>
                <w:sz w:val="26"/>
                <w:szCs w:val="26"/>
              </w:rPr>
              <w:t>, искусственный интеллект</w:t>
            </w:r>
          </w:p>
        </w:tc>
        <w:tc>
          <w:tcPr>
            <w:tcW w:w="2199" w:type="dxa"/>
            <w:shd w:val="clear" w:color="auto" w:fill="auto"/>
            <w:vAlign w:val="bottom"/>
            <w:hideMark/>
          </w:tcPr>
          <w:p w14:paraId="58A7BC08"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40768FBD" w14:textId="77777777" w:rsidTr="00E047CD">
        <w:trPr>
          <w:trHeight w:val="288"/>
        </w:trPr>
        <w:tc>
          <w:tcPr>
            <w:tcW w:w="3776" w:type="dxa"/>
            <w:shd w:val="clear" w:color="auto" w:fill="auto"/>
            <w:vAlign w:val="bottom"/>
            <w:hideMark/>
          </w:tcPr>
          <w:p w14:paraId="3B2E41B0"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https://www.enu.kz</w:t>
            </w:r>
          </w:p>
        </w:tc>
        <w:tc>
          <w:tcPr>
            <w:tcW w:w="3518" w:type="dxa"/>
            <w:shd w:val="clear" w:color="auto" w:fill="auto"/>
            <w:vAlign w:val="bottom"/>
            <w:hideMark/>
          </w:tcPr>
          <w:p w14:paraId="789AD19A"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66680AE3"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44DFBE8A" w14:textId="77777777" w:rsidTr="00E047CD">
        <w:trPr>
          <w:trHeight w:val="288"/>
        </w:trPr>
        <w:tc>
          <w:tcPr>
            <w:tcW w:w="3776" w:type="dxa"/>
            <w:shd w:val="clear" w:color="auto" w:fill="auto"/>
            <w:vAlign w:val="bottom"/>
            <w:hideMark/>
          </w:tcPr>
          <w:p w14:paraId="1F75275E"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https://www.kaznu.kz</w:t>
            </w:r>
          </w:p>
        </w:tc>
        <w:tc>
          <w:tcPr>
            <w:tcW w:w="3518" w:type="dxa"/>
            <w:shd w:val="clear" w:color="auto" w:fill="auto"/>
            <w:vAlign w:val="bottom"/>
            <w:hideMark/>
          </w:tcPr>
          <w:p w14:paraId="6C741597"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3C6D36E5"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29F3DE92" w14:textId="77777777" w:rsidTr="00E047CD">
        <w:trPr>
          <w:trHeight w:val="288"/>
        </w:trPr>
        <w:tc>
          <w:tcPr>
            <w:tcW w:w="3776" w:type="dxa"/>
            <w:shd w:val="clear" w:color="auto" w:fill="auto"/>
            <w:vAlign w:val="bottom"/>
            <w:hideMark/>
          </w:tcPr>
          <w:p w14:paraId="569D9BAF"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https://satbayev.university</w:t>
            </w:r>
          </w:p>
        </w:tc>
        <w:tc>
          <w:tcPr>
            <w:tcW w:w="3518" w:type="dxa"/>
            <w:shd w:val="clear" w:color="auto" w:fill="auto"/>
            <w:vAlign w:val="bottom"/>
            <w:hideMark/>
          </w:tcPr>
          <w:p w14:paraId="776A637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47768C5E"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196146C3" w14:textId="77777777" w:rsidTr="00E047CD">
        <w:trPr>
          <w:trHeight w:val="288"/>
        </w:trPr>
        <w:tc>
          <w:tcPr>
            <w:tcW w:w="3776" w:type="dxa"/>
            <w:shd w:val="clear" w:color="auto" w:fill="auto"/>
            <w:vAlign w:val="bottom"/>
            <w:hideMark/>
          </w:tcPr>
          <w:p w14:paraId="0BAE5A83"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https://kaznmu.kz</w:t>
            </w:r>
          </w:p>
        </w:tc>
        <w:tc>
          <w:tcPr>
            <w:tcW w:w="3518" w:type="dxa"/>
            <w:shd w:val="clear" w:color="auto" w:fill="auto"/>
            <w:vAlign w:val="bottom"/>
            <w:hideMark/>
          </w:tcPr>
          <w:p w14:paraId="3AD31467"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4EC291D4"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2C6F2467" w14:textId="77777777" w:rsidTr="00E047CD">
        <w:trPr>
          <w:trHeight w:val="288"/>
        </w:trPr>
        <w:tc>
          <w:tcPr>
            <w:tcW w:w="3776" w:type="dxa"/>
            <w:shd w:val="clear" w:color="auto" w:fill="auto"/>
            <w:vAlign w:val="bottom"/>
            <w:hideMark/>
          </w:tcPr>
          <w:p w14:paraId="43E46B0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https://www.kaznpu.kz</w:t>
            </w:r>
          </w:p>
        </w:tc>
        <w:tc>
          <w:tcPr>
            <w:tcW w:w="3518" w:type="dxa"/>
            <w:shd w:val="clear" w:color="auto" w:fill="auto"/>
            <w:vAlign w:val="bottom"/>
            <w:hideMark/>
          </w:tcPr>
          <w:p w14:paraId="2CEAAA42"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41928117"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67B236E6" w14:textId="77777777" w:rsidTr="00E047CD">
        <w:trPr>
          <w:trHeight w:val="288"/>
        </w:trPr>
        <w:tc>
          <w:tcPr>
            <w:tcW w:w="3776" w:type="dxa"/>
            <w:shd w:val="clear" w:color="auto" w:fill="auto"/>
            <w:vAlign w:val="bottom"/>
            <w:hideMark/>
          </w:tcPr>
          <w:p w14:paraId="3ED43D1D"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https://www.kaznau.kz</w:t>
            </w:r>
          </w:p>
        </w:tc>
        <w:tc>
          <w:tcPr>
            <w:tcW w:w="3518" w:type="dxa"/>
            <w:shd w:val="clear" w:color="auto" w:fill="auto"/>
            <w:vAlign w:val="bottom"/>
            <w:hideMark/>
          </w:tcPr>
          <w:p w14:paraId="6F395620"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05AA0C9B"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73DE69CE" w14:textId="77777777" w:rsidTr="00E047CD">
        <w:trPr>
          <w:trHeight w:val="288"/>
        </w:trPr>
        <w:tc>
          <w:tcPr>
            <w:tcW w:w="3776" w:type="dxa"/>
            <w:shd w:val="clear" w:color="auto" w:fill="auto"/>
            <w:vAlign w:val="bottom"/>
            <w:hideMark/>
          </w:tcPr>
          <w:p w14:paraId="3AF11648"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https://www.kbtu.kz</w:t>
            </w:r>
          </w:p>
        </w:tc>
        <w:tc>
          <w:tcPr>
            <w:tcW w:w="3518" w:type="dxa"/>
            <w:shd w:val="clear" w:color="auto" w:fill="auto"/>
            <w:vAlign w:val="bottom"/>
            <w:hideMark/>
          </w:tcPr>
          <w:p w14:paraId="4DF0A43E"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23D9C16E"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72686290" w14:textId="77777777" w:rsidTr="00E047CD">
        <w:trPr>
          <w:trHeight w:val="288"/>
        </w:trPr>
        <w:tc>
          <w:tcPr>
            <w:tcW w:w="3776" w:type="dxa"/>
            <w:shd w:val="clear" w:color="auto" w:fill="auto"/>
            <w:vAlign w:val="bottom"/>
            <w:hideMark/>
          </w:tcPr>
          <w:p w14:paraId="368E03AA"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https://iitu.edu.kz</w:t>
            </w:r>
          </w:p>
        </w:tc>
        <w:tc>
          <w:tcPr>
            <w:tcW w:w="3518" w:type="dxa"/>
            <w:shd w:val="clear" w:color="auto" w:fill="auto"/>
            <w:vAlign w:val="bottom"/>
            <w:hideMark/>
          </w:tcPr>
          <w:p w14:paraId="012F661B"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126CC904"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361603FE" w14:textId="77777777" w:rsidTr="00E047CD">
        <w:trPr>
          <w:trHeight w:val="288"/>
        </w:trPr>
        <w:tc>
          <w:tcPr>
            <w:tcW w:w="3776" w:type="dxa"/>
            <w:shd w:val="clear" w:color="auto" w:fill="auto"/>
            <w:vAlign w:val="bottom"/>
            <w:hideMark/>
          </w:tcPr>
          <w:p w14:paraId="299A17ED"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https://www.uib.kz</w:t>
            </w:r>
          </w:p>
        </w:tc>
        <w:tc>
          <w:tcPr>
            <w:tcW w:w="3518" w:type="dxa"/>
            <w:shd w:val="clear" w:color="auto" w:fill="auto"/>
            <w:vAlign w:val="bottom"/>
            <w:hideMark/>
          </w:tcPr>
          <w:p w14:paraId="1794A6A8"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3CCA406A"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5484F225" w14:textId="77777777" w:rsidTr="00E047CD">
        <w:trPr>
          <w:trHeight w:val="288"/>
        </w:trPr>
        <w:tc>
          <w:tcPr>
            <w:tcW w:w="3776" w:type="dxa"/>
            <w:shd w:val="clear" w:color="auto" w:fill="auto"/>
            <w:vAlign w:val="bottom"/>
            <w:hideMark/>
          </w:tcPr>
          <w:p w14:paraId="05A3E6D1"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https://www.kimep.kz</w:t>
            </w:r>
          </w:p>
        </w:tc>
        <w:tc>
          <w:tcPr>
            <w:tcW w:w="3518" w:type="dxa"/>
            <w:shd w:val="clear" w:color="auto" w:fill="auto"/>
            <w:vAlign w:val="bottom"/>
            <w:hideMark/>
          </w:tcPr>
          <w:p w14:paraId="7BDA949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proofErr w:type="spellStart"/>
            <w:r w:rsidRPr="00FC469B">
              <w:rPr>
                <w:rFonts w:ascii="Times New Roman" w:eastAsia="Times New Roman" w:hAnsi="Times New Roman" w:cs="Times New Roman"/>
                <w:color w:val="000000"/>
                <w:sz w:val="26"/>
                <w:szCs w:val="26"/>
              </w:rPr>
              <w:t>artificial</w:t>
            </w:r>
            <w:proofErr w:type="spellEnd"/>
            <w:r w:rsidRPr="00FC469B">
              <w:rPr>
                <w:rFonts w:ascii="Times New Roman" w:eastAsia="Times New Roman" w:hAnsi="Times New Roman" w:cs="Times New Roman"/>
                <w:color w:val="000000"/>
                <w:sz w:val="26"/>
                <w:szCs w:val="26"/>
              </w:rPr>
              <w:t xml:space="preserve"> </w:t>
            </w:r>
            <w:proofErr w:type="spellStart"/>
            <w:r w:rsidRPr="00FC469B">
              <w:rPr>
                <w:rFonts w:ascii="Times New Roman" w:eastAsia="Times New Roman" w:hAnsi="Times New Roman" w:cs="Times New Roman"/>
                <w:color w:val="000000"/>
                <w:sz w:val="26"/>
                <w:szCs w:val="26"/>
              </w:rPr>
              <w:t>intelligence</w:t>
            </w:r>
            <w:proofErr w:type="spellEnd"/>
          </w:p>
        </w:tc>
        <w:tc>
          <w:tcPr>
            <w:tcW w:w="2199" w:type="dxa"/>
            <w:shd w:val="clear" w:color="auto" w:fill="auto"/>
            <w:vAlign w:val="bottom"/>
            <w:hideMark/>
          </w:tcPr>
          <w:p w14:paraId="0B83A60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42FFCE83" w14:textId="77777777" w:rsidTr="00E047CD">
        <w:trPr>
          <w:trHeight w:val="288"/>
        </w:trPr>
        <w:tc>
          <w:tcPr>
            <w:tcW w:w="3776" w:type="dxa"/>
            <w:tcBorders>
              <w:bottom w:val="nil"/>
            </w:tcBorders>
            <w:shd w:val="clear" w:color="auto" w:fill="auto"/>
            <w:vAlign w:val="bottom"/>
            <w:hideMark/>
          </w:tcPr>
          <w:p w14:paraId="0B4A579A"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https://kazeu.kz</w:t>
            </w:r>
          </w:p>
        </w:tc>
        <w:tc>
          <w:tcPr>
            <w:tcW w:w="3518" w:type="dxa"/>
            <w:tcBorders>
              <w:bottom w:val="nil"/>
            </w:tcBorders>
            <w:shd w:val="clear" w:color="auto" w:fill="auto"/>
            <w:vAlign w:val="bottom"/>
            <w:hideMark/>
          </w:tcPr>
          <w:p w14:paraId="3E0F607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tcBorders>
              <w:bottom w:val="nil"/>
            </w:tcBorders>
            <w:shd w:val="clear" w:color="auto" w:fill="auto"/>
            <w:vAlign w:val="bottom"/>
            <w:hideMark/>
          </w:tcPr>
          <w:p w14:paraId="6EF4DE44"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E047CD" w:rsidRPr="000E0481" w14:paraId="711278B0" w14:textId="77777777" w:rsidTr="00E047CD">
        <w:trPr>
          <w:trHeight w:val="288"/>
        </w:trPr>
        <w:tc>
          <w:tcPr>
            <w:tcW w:w="9493" w:type="dxa"/>
            <w:gridSpan w:val="3"/>
            <w:tcBorders>
              <w:top w:val="nil"/>
              <w:left w:val="nil"/>
              <w:bottom w:val="single" w:sz="4" w:space="0" w:color="auto"/>
              <w:right w:val="nil"/>
            </w:tcBorders>
            <w:shd w:val="clear" w:color="auto" w:fill="auto"/>
            <w:vAlign w:val="bottom"/>
          </w:tcPr>
          <w:p w14:paraId="352A48B9" w14:textId="0F6CD9BD" w:rsidR="00E047CD" w:rsidRDefault="00E047CD" w:rsidP="00FC4291">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xml:space="preserve">Continuation of the table </w:t>
            </w:r>
            <w:r w:rsidR="008E6E5F">
              <w:rPr>
                <w:rFonts w:ascii="Times New Roman" w:eastAsia="Times New Roman" w:hAnsi="Times New Roman" w:cs="Times New Roman"/>
                <w:sz w:val="28"/>
                <w:szCs w:val="28"/>
                <w:lang w:val="en-US"/>
              </w:rPr>
              <w:t>D</w:t>
            </w:r>
            <w:r>
              <w:rPr>
                <w:rFonts w:ascii="Times New Roman" w:eastAsia="Times New Roman" w:hAnsi="Times New Roman" w:cs="Times New Roman"/>
                <w:sz w:val="28"/>
                <w:szCs w:val="28"/>
                <w:lang w:val="en-US"/>
              </w:rPr>
              <w:t>.1</w:t>
            </w:r>
          </w:p>
          <w:p w14:paraId="03265834" w14:textId="1FFC8295" w:rsidR="00921BD6" w:rsidRPr="00921BD6" w:rsidRDefault="00921BD6" w:rsidP="00FC4291">
            <w:pPr>
              <w:spacing w:after="0" w:line="240" w:lineRule="auto"/>
              <w:rPr>
                <w:rFonts w:ascii="Times New Roman" w:eastAsia="Times New Roman" w:hAnsi="Times New Roman" w:cs="Times New Roman"/>
                <w:sz w:val="28"/>
                <w:szCs w:val="28"/>
                <w:lang w:val="en-US"/>
              </w:rPr>
            </w:pPr>
          </w:p>
        </w:tc>
      </w:tr>
      <w:tr w:rsidR="0001723B" w:rsidRPr="00FC469B" w14:paraId="7098310D" w14:textId="77777777" w:rsidTr="00E047CD">
        <w:trPr>
          <w:trHeight w:val="288"/>
        </w:trPr>
        <w:tc>
          <w:tcPr>
            <w:tcW w:w="3776" w:type="dxa"/>
            <w:tcBorders>
              <w:top w:val="single" w:sz="4" w:space="0" w:color="auto"/>
            </w:tcBorders>
            <w:shd w:val="clear" w:color="auto" w:fill="auto"/>
            <w:vAlign w:val="bottom"/>
            <w:hideMark/>
          </w:tcPr>
          <w:p w14:paraId="6AA26283"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https://dku.kz</w:t>
            </w:r>
          </w:p>
        </w:tc>
        <w:tc>
          <w:tcPr>
            <w:tcW w:w="3518" w:type="dxa"/>
            <w:tcBorders>
              <w:top w:val="single" w:sz="4" w:space="0" w:color="auto"/>
            </w:tcBorders>
            <w:shd w:val="clear" w:color="auto" w:fill="auto"/>
            <w:vAlign w:val="bottom"/>
            <w:hideMark/>
          </w:tcPr>
          <w:p w14:paraId="72AA1D25"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tcBorders>
              <w:top w:val="single" w:sz="4" w:space="0" w:color="auto"/>
            </w:tcBorders>
            <w:shd w:val="clear" w:color="auto" w:fill="auto"/>
            <w:vAlign w:val="bottom"/>
            <w:hideMark/>
          </w:tcPr>
          <w:p w14:paraId="032D0151"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proofErr w:type="spellStart"/>
            <w:r w:rsidRPr="00FC469B">
              <w:rPr>
                <w:rFonts w:ascii="Times New Roman" w:eastAsia="Times New Roman" w:hAnsi="Times New Roman" w:cs="Times New Roman"/>
                <w:color w:val="000000"/>
                <w:sz w:val="26"/>
                <w:szCs w:val="26"/>
              </w:rPr>
              <w:t>motivation</w:t>
            </w:r>
            <w:proofErr w:type="spellEnd"/>
          </w:p>
        </w:tc>
      </w:tr>
      <w:tr w:rsidR="0001723B" w:rsidRPr="00FC469B" w14:paraId="12B00DBE" w14:textId="77777777" w:rsidTr="00E047CD">
        <w:trPr>
          <w:trHeight w:val="288"/>
        </w:trPr>
        <w:tc>
          <w:tcPr>
            <w:tcW w:w="3776" w:type="dxa"/>
            <w:shd w:val="clear" w:color="auto" w:fill="auto"/>
            <w:vAlign w:val="bottom"/>
            <w:hideMark/>
          </w:tcPr>
          <w:p w14:paraId="199EBB82"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https://www.ablaikhan.kz</w:t>
            </w:r>
          </w:p>
        </w:tc>
        <w:tc>
          <w:tcPr>
            <w:tcW w:w="3518" w:type="dxa"/>
            <w:shd w:val="clear" w:color="auto" w:fill="auto"/>
            <w:vAlign w:val="bottom"/>
            <w:hideMark/>
          </w:tcPr>
          <w:p w14:paraId="798C377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13392794"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мотивация</w:t>
            </w:r>
          </w:p>
        </w:tc>
      </w:tr>
      <w:tr w:rsidR="0001723B" w:rsidRPr="00FC469B" w14:paraId="324C12B2" w14:textId="77777777" w:rsidTr="00E047CD">
        <w:trPr>
          <w:trHeight w:val="288"/>
        </w:trPr>
        <w:tc>
          <w:tcPr>
            <w:tcW w:w="3776" w:type="dxa"/>
            <w:shd w:val="clear" w:color="auto" w:fill="auto"/>
            <w:vAlign w:val="bottom"/>
            <w:hideMark/>
          </w:tcPr>
          <w:p w14:paraId="070BF59D"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https://www.kaznai.kz</w:t>
            </w:r>
          </w:p>
        </w:tc>
        <w:tc>
          <w:tcPr>
            <w:tcW w:w="3518" w:type="dxa"/>
            <w:shd w:val="clear" w:color="auto" w:fill="auto"/>
            <w:vAlign w:val="bottom"/>
            <w:hideMark/>
          </w:tcPr>
          <w:p w14:paraId="70DA355D"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7E3E2CDD"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67330BA6" w14:textId="77777777" w:rsidTr="00E047CD">
        <w:trPr>
          <w:trHeight w:val="288"/>
        </w:trPr>
        <w:tc>
          <w:tcPr>
            <w:tcW w:w="3776" w:type="dxa"/>
            <w:shd w:val="clear" w:color="auto" w:fill="auto"/>
            <w:vAlign w:val="bottom"/>
            <w:hideMark/>
          </w:tcPr>
          <w:p w14:paraId="2B760C9C"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https://www.conservatoire.kz</w:t>
            </w:r>
          </w:p>
        </w:tc>
        <w:tc>
          <w:tcPr>
            <w:tcW w:w="3518" w:type="dxa"/>
            <w:shd w:val="clear" w:color="auto" w:fill="auto"/>
            <w:vAlign w:val="bottom"/>
            <w:hideMark/>
          </w:tcPr>
          <w:p w14:paraId="6ACE7D42"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0EA83CD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0AA90E82" w14:textId="77777777" w:rsidTr="00E047CD">
        <w:trPr>
          <w:trHeight w:val="288"/>
        </w:trPr>
        <w:tc>
          <w:tcPr>
            <w:tcW w:w="3776" w:type="dxa"/>
            <w:shd w:val="clear" w:color="auto" w:fill="auto"/>
            <w:vAlign w:val="bottom"/>
            <w:hideMark/>
          </w:tcPr>
          <w:p w14:paraId="2C52CFB3"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https://www.kazgasa.kz</w:t>
            </w:r>
          </w:p>
        </w:tc>
        <w:tc>
          <w:tcPr>
            <w:tcW w:w="3518" w:type="dxa"/>
            <w:shd w:val="clear" w:color="auto" w:fill="auto"/>
            <w:vAlign w:val="bottom"/>
            <w:hideMark/>
          </w:tcPr>
          <w:p w14:paraId="7FF6CB2F"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39DDBD04"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520BC908" w14:textId="77777777" w:rsidTr="00E047CD">
        <w:trPr>
          <w:trHeight w:val="288"/>
        </w:trPr>
        <w:tc>
          <w:tcPr>
            <w:tcW w:w="3776" w:type="dxa"/>
            <w:shd w:val="clear" w:color="auto" w:fill="auto"/>
            <w:vAlign w:val="bottom"/>
            <w:hideMark/>
          </w:tcPr>
          <w:p w14:paraId="129E52B8"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https://aues.kz</w:t>
            </w:r>
          </w:p>
        </w:tc>
        <w:tc>
          <w:tcPr>
            <w:tcW w:w="3518" w:type="dxa"/>
            <w:shd w:val="clear" w:color="auto" w:fill="auto"/>
            <w:vAlign w:val="bottom"/>
            <w:hideMark/>
          </w:tcPr>
          <w:p w14:paraId="5ED806E1"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208CBBC2"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3A92ACCB" w14:textId="77777777" w:rsidTr="00E047CD">
        <w:trPr>
          <w:trHeight w:val="288"/>
        </w:trPr>
        <w:tc>
          <w:tcPr>
            <w:tcW w:w="3776" w:type="dxa"/>
            <w:shd w:val="clear" w:color="auto" w:fill="auto"/>
            <w:vAlign w:val="bottom"/>
            <w:hideMark/>
          </w:tcPr>
          <w:p w14:paraId="292C23A8"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https://atu.kz</w:t>
            </w:r>
          </w:p>
        </w:tc>
        <w:tc>
          <w:tcPr>
            <w:tcW w:w="3518" w:type="dxa"/>
            <w:shd w:val="clear" w:color="auto" w:fill="auto"/>
            <w:vAlign w:val="bottom"/>
            <w:hideMark/>
          </w:tcPr>
          <w:p w14:paraId="1D609F27"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1EC65AB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5E2A03B2" w14:textId="77777777" w:rsidTr="00E047CD">
        <w:trPr>
          <w:trHeight w:val="288"/>
        </w:trPr>
        <w:tc>
          <w:tcPr>
            <w:tcW w:w="3776" w:type="dxa"/>
            <w:shd w:val="clear" w:color="auto" w:fill="auto"/>
            <w:vAlign w:val="bottom"/>
            <w:hideMark/>
          </w:tcPr>
          <w:p w14:paraId="27FBB5D3"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https://www.agtu.edu.kz</w:t>
            </w:r>
          </w:p>
        </w:tc>
        <w:tc>
          <w:tcPr>
            <w:tcW w:w="3518" w:type="dxa"/>
            <w:shd w:val="clear" w:color="auto" w:fill="auto"/>
            <w:vAlign w:val="bottom"/>
            <w:hideMark/>
          </w:tcPr>
          <w:p w14:paraId="7E7B1D77"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542658D0"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1AB74BC9" w14:textId="77777777" w:rsidTr="00E047CD">
        <w:trPr>
          <w:trHeight w:val="288"/>
        </w:trPr>
        <w:tc>
          <w:tcPr>
            <w:tcW w:w="3776" w:type="dxa"/>
            <w:shd w:val="clear" w:color="auto" w:fill="auto"/>
            <w:vAlign w:val="bottom"/>
            <w:hideMark/>
          </w:tcPr>
          <w:p w14:paraId="0CDC9F3B"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https://almaty-university.kz</w:t>
            </w:r>
          </w:p>
        </w:tc>
        <w:tc>
          <w:tcPr>
            <w:tcW w:w="3518" w:type="dxa"/>
            <w:shd w:val="clear" w:color="auto" w:fill="auto"/>
            <w:vAlign w:val="bottom"/>
            <w:hideMark/>
          </w:tcPr>
          <w:p w14:paraId="06D54C90"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3FE6F7A5"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248C7139" w14:textId="77777777" w:rsidTr="00E047CD">
        <w:trPr>
          <w:trHeight w:val="288"/>
        </w:trPr>
        <w:tc>
          <w:tcPr>
            <w:tcW w:w="3776" w:type="dxa"/>
            <w:shd w:val="clear" w:color="auto" w:fill="auto"/>
            <w:vAlign w:val="bottom"/>
            <w:hideMark/>
          </w:tcPr>
          <w:p w14:paraId="04E32581"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https://turan-edu.kz</w:t>
            </w:r>
          </w:p>
        </w:tc>
        <w:tc>
          <w:tcPr>
            <w:tcW w:w="3518" w:type="dxa"/>
            <w:shd w:val="clear" w:color="auto" w:fill="auto"/>
            <w:vAlign w:val="bottom"/>
            <w:hideMark/>
          </w:tcPr>
          <w:p w14:paraId="19228448"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5C397D65"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32D0284B" w14:textId="77777777" w:rsidTr="00E047CD">
        <w:trPr>
          <w:trHeight w:val="288"/>
        </w:trPr>
        <w:tc>
          <w:tcPr>
            <w:tcW w:w="3776" w:type="dxa"/>
            <w:shd w:val="clear" w:color="auto" w:fill="auto"/>
            <w:vAlign w:val="bottom"/>
            <w:hideMark/>
          </w:tcPr>
          <w:p w14:paraId="3AE04FE7"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https://kainar-edu.kz</w:t>
            </w:r>
          </w:p>
        </w:tc>
        <w:tc>
          <w:tcPr>
            <w:tcW w:w="3518" w:type="dxa"/>
            <w:shd w:val="clear" w:color="auto" w:fill="auto"/>
            <w:vAlign w:val="bottom"/>
            <w:hideMark/>
          </w:tcPr>
          <w:p w14:paraId="4A66339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4DD656E3"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7CE8475C" w14:textId="77777777" w:rsidTr="00E047CD">
        <w:trPr>
          <w:trHeight w:val="288"/>
        </w:trPr>
        <w:tc>
          <w:tcPr>
            <w:tcW w:w="3776" w:type="dxa"/>
            <w:shd w:val="clear" w:color="auto" w:fill="auto"/>
            <w:vAlign w:val="bottom"/>
            <w:hideMark/>
          </w:tcPr>
          <w:p w14:paraId="76A69950"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https://narxoz.kz</w:t>
            </w:r>
          </w:p>
        </w:tc>
        <w:tc>
          <w:tcPr>
            <w:tcW w:w="3518" w:type="dxa"/>
            <w:shd w:val="clear" w:color="auto" w:fill="auto"/>
            <w:vAlign w:val="bottom"/>
            <w:hideMark/>
          </w:tcPr>
          <w:p w14:paraId="70548A9F"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7656D9A3"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3E98B572" w14:textId="77777777" w:rsidTr="00E047CD">
        <w:trPr>
          <w:trHeight w:val="288"/>
        </w:trPr>
        <w:tc>
          <w:tcPr>
            <w:tcW w:w="3776" w:type="dxa"/>
            <w:shd w:val="clear" w:color="auto" w:fill="auto"/>
            <w:vAlign w:val="bottom"/>
            <w:hideMark/>
          </w:tcPr>
          <w:p w14:paraId="76068C14"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https://kuef.kz</w:t>
            </w:r>
          </w:p>
        </w:tc>
        <w:tc>
          <w:tcPr>
            <w:tcW w:w="3518" w:type="dxa"/>
            <w:shd w:val="clear" w:color="auto" w:fill="auto"/>
            <w:vAlign w:val="bottom"/>
            <w:hideMark/>
          </w:tcPr>
          <w:p w14:paraId="7438DE9D"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44C116E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5D7897BA" w14:textId="77777777" w:rsidTr="00E047CD">
        <w:trPr>
          <w:trHeight w:val="288"/>
        </w:trPr>
        <w:tc>
          <w:tcPr>
            <w:tcW w:w="3776" w:type="dxa"/>
            <w:shd w:val="clear" w:color="auto" w:fill="auto"/>
            <w:vAlign w:val="bottom"/>
            <w:hideMark/>
          </w:tcPr>
          <w:p w14:paraId="0375B73A"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https://kazatu.edu.kz</w:t>
            </w:r>
          </w:p>
        </w:tc>
        <w:tc>
          <w:tcPr>
            <w:tcW w:w="3518" w:type="dxa"/>
            <w:shd w:val="clear" w:color="auto" w:fill="auto"/>
            <w:vAlign w:val="bottom"/>
            <w:hideMark/>
          </w:tcPr>
          <w:p w14:paraId="5602D342"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456F64BE"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мотивация</w:t>
            </w:r>
          </w:p>
        </w:tc>
      </w:tr>
      <w:tr w:rsidR="0001723B" w:rsidRPr="00FC469B" w14:paraId="42306375" w14:textId="77777777" w:rsidTr="00E047CD">
        <w:trPr>
          <w:trHeight w:val="288"/>
        </w:trPr>
        <w:tc>
          <w:tcPr>
            <w:tcW w:w="3776" w:type="dxa"/>
            <w:shd w:val="clear" w:color="auto" w:fill="auto"/>
            <w:vAlign w:val="bottom"/>
            <w:hideMark/>
          </w:tcPr>
          <w:p w14:paraId="76619814"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https://ksu.kz</w:t>
            </w:r>
          </w:p>
        </w:tc>
        <w:tc>
          <w:tcPr>
            <w:tcW w:w="3518" w:type="dxa"/>
            <w:shd w:val="clear" w:color="auto" w:fill="auto"/>
            <w:vAlign w:val="bottom"/>
            <w:hideMark/>
          </w:tcPr>
          <w:p w14:paraId="19142B7B"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35D4DD0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58A41D28" w14:textId="77777777" w:rsidTr="00E047CD">
        <w:trPr>
          <w:trHeight w:val="288"/>
        </w:trPr>
        <w:tc>
          <w:tcPr>
            <w:tcW w:w="3776" w:type="dxa"/>
            <w:shd w:val="clear" w:color="auto" w:fill="auto"/>
            <w:vAlign w:val="bottom"/>
            <w:hideMark/>
          </w:tcPr>
          <w:p w14:paraId="55645A64"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https://www.kstu.kz</w:t>
            </w:r>
          </w:p>
        </w:tc>
        <w:tc>
          <w:tcPr>
            <w:tcW w:w="3518" w:type="dxa"/>
            <w:shd w:val="clear" w:color="auto" w:fill="auto"/>
            <w:vAlign w:val="bottom"/>
            <w:hideMark/>
          </w:tcPr>
          <w:p w14:paraId="05EC94D5"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6016756F"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31991E8D" w14:textId="77777777" w:rsidTr="00E047CD">
        <w:trPr>
          <w:trHeight w:val="288"/>
        </w:trPr>
        <w:tc>
          <w:tcPr>
            <w:tcW w:w="3776" w:type="dxa"/>
            <w:shd w:val="clear" w:color="auto" w:fill="auto"/>
            <w:vAlign w:val="bottom"/>
            <w:hideMark/>
          </w:tcPr>
          <w:p w14:paraId="2AFF6EB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https://kgmu.kz</w:t>
            </w:r>
          </w:p>
        </w:tc>
        <w:tc>
          <w:tcPr>
            <w:tcW w:w="3518" w:type="dxa"/>
            <w:shd w:val="clear" w:color="auto" w:fill="auto"/>
            <w:vAlign w:val="bottom"/>
            <w:hideMark/>
          </w:tcPr>
          <w:p w14:paraId="2446F42A"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5111C400"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4755B783" w14:textId="77777777" w:rsidTr="00E047CD">
        <w:trPr>
          <w:trHeight w:val="288"/>
        </w:trPr>
        <w:tc>
          <w:tcPr>
            <w:tcW w:w="3776" w:type="dxa"/>
            <w:shd w:val="clear" w:color="auto" w:fill="auto"/>
            <w:vAlign w:val="bottom"/>
            <w:hideMark/>
          </w:tcPr>
          <w:p w14:paraId="5A35C5F0"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https://keu.kz</w:t>
            </w:r>
          </w:p>
        </w:tc>
        <w:tc>
          <w:tcPr>
            <w:tcW w:w="3518" w:type="dxa"/>
            <w:shd w:val="clear" w:color="auto" w:fill="auto"/>
            <w:vAlign w:val="bottom"/>
            <w:hideMark/>
          </w:tcPr>
          <w:p w14:paraId="5BF7634D"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3CA95604"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мотивация</w:t>
            </w:r>
          </w:p>
        </w:tc>
      </w:tr>
      <w:tr w:rsidR="0001723B" w:rsidRPr="00FC469B" w14:paraId="54A50D8E" w14:textId="77777777" w:rsidTr="00E047CD">
        <w:trPr>
          <w:trHeight w:val="288"/>
        </w:trPr>
        <w:tc>
          <w:tcPr>
            <w:tcW w:w="3776" w:type="dxa"/>
            <w:shd w:val="clear" w:color="auto" w:fill="auto"/>
            <w:vAlign w:val="bottom"/>
            <w:hideMark/>
          </w:tcPr>
          <w:p w14:paraId="3E6DF12F"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https://ksu.edu.kz</w:t>
            </w:r>
          </w:p>
        </w:tc>
        <w:tc>
          <w:tcPr>
            <w:tcW w:w="3518" w:type="dxa"/>
            <w:shd w:val="clear" w:color="auto" w:fill="auto"/>
            <w:vAlign w:val="bottom"/>
            <w:hideMark/>
          </w:tcPr>
          <w:p w14:paraId="1ACA74B0"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63EB4AE5"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36B80DD0" w14:textId="77777777" w:rsidTr="00921BD6">
        <w:trPr>
          <w:trHeight w:val="152"/>
        </w:trPr>
        <w:tc>
          <w:tcPr>
            <w:tcW w:w="3776" w:type="dxa"/>
            <w:shd w:val="clear" w:color="auto" w:fill="auto"/>
            <w:vAlign w:val="bottom"/>
            <w:hideMark/>
          </w:tcPr>
          <w:p w14:paraId="5B05DCAC"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https://kineu.edu.kz</w:t>
            </w:r>
          </w:p>
        </w:tc>
        <w:tc>
          <w:tcPr>
            <w:tcW w:w="3518" w:type="dxa"/>
            <w:shd w:val="clear" w:color="auto" w:fill="auto"/>
            <w:vAlign w:val="bottom"/>
            <w:hideMark/>
          </w:tcPr>
          <w:p w14:paraId="0AEF9565"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искусственный интеллект</w:t>
            </w:r>
          </w:p>
        </w:tc>
        <w:tc>
          <w:tcPr>
            <w:tcW w:w="2199" w:type="dxa"/>
            <w:shd w:val="clear" w:color="auto" w:fill="auto"/>
            <w:vAlign w:val="bottom"/>
            <w:hideMark/>
          </w:tcPr>
          <w:p w14:paraId="2442EE2E"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1728FF0B" w14:textId="77777777" w:rsidTr="00E047CD">
        <w:trPr>
          <w:trHeight w:val="288"/>
        </w:trPr>
        <w:tc>
          <w:tcPr>
            <w:tcW w:w="3776" w:type="dxa"/>
            <w:shd w:val="clear" w:color="auto" w:fill="auto"/>
            <w:vAlign w:val="bottom"/>
            <w:hideMark/>
          </w:tcPr>
          <w:p w14:paraId="4DF6B9C1"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https://www.kgu.kz</w:t>
            </w:r>
          </w:p>
        </w:tc>
        <w:tc>
          <w:tcPr>
            <w:tcW w:w="3518" w:type="dxa"/>
            <w:shd w:val="clear" w:color="auto" w:fill="auto"/>
            <w:vAlign w:val="bottom"/>
            <w:hideMark/>
          </w:tcPr>
          <w:p w14:paraId="0D410F1D"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13ED7187"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68A3B39F" w14:textId="77777777" w:rsidTr="00E047CD">
        <w:trPr>
          <w:trHeight w:val="288"/>
        </w:trPr>
        <w:tc>
          <w:tcPr>
            <w:tcW w:w="3776" w:type="dxa"/>
            <w:shd w:val="clear" w:color="auto" w:fill="auto"/>
            <w:vAlign w:val="bottom"/>
            <w:hideMark/>
          </w:tcPr>
          <w:p w14:paraId="1ACD08EA"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https://kuam.kz</w:t>
            </w:r>
          </w:p>
        </w:tc>
        <w:tc>
          <w:tcPr>
            <w:tcW w:w="3518" w:type="dxa"/>
            <w:shd w:val="clear" w:color="auto" w:fill="auto"/>
            <w:vAlign w:val="bottom"/>
            <w:hideMark/>
          </w:tcPr>
          <w:p w14:paraId="46DBAA2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741BC6BA"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1EF2BBCA" w14:textId="77777777" w:rsidTr="00E047CD">
        <w:trPr>
          <w:trHeight w:val="288"/>
        </w:trPr>
        <w:tc>
          <w:tcPr>
            <w:tcW w:w="3776" w:type="dxa"/>
            <w:shd w:val="clear" w:color="auto" w:fill="auto"/>
            <w:vAlign w:val="bottom"/>
            <w:hideMark/>
          </w:tcPr>
          <w:p w14:paraId="6B2EC3E2"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https://psu.kz</w:t>
            </w:r>
          </w:p>
        </w:tc>
        <w:tc>
          <w:tcPr>
            <w:tcW w:w="3518" w:type="dxa"/>
            <w:shd w:val="clear" w:color="auto" w:fill="auto"/>
            <w:vAlign w:val="bottom"/>
            <w:hideMark/>
          </w:tcPr>
          <w:p w14:paraId="7C1DAF3B"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19D86DA3"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6D6BAD88" w14:textId="77777777" w:rsidTr="00E047CD">
        <w:trPr>
          <w:trHeight w:val="288"/>
        </w:trPr>
        <w:tc>
          <w:tcPr>
            <w:tcW w:w="3776" w:type="dxa"/>
            <w:shd w:val="clear" w:color="auto" w:fill="auto"/>
            <w:vAlign w:val="bottom"/>
            <w:hideMark/>
          </w:tcPr>
          <w:p w14:paraId="611B095A"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https://ppu.edu.kz</w:t>
            </w:r>
          </w:p>
        </w:tc>
        <w:tc>
          <w:tcPr>
            <w:tcW w:w="3518" w:type="dxa"/>
            <w:shd w:val="clear" w:color="auto" w:fill="auto"/>
            <w:vAlign w:val="bottom"/>
            <w:hideMark/>
          </w:tcPr>
          <w:p w14:paraId="65429AC8"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4738E9BC"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359DDADD" w14:textId="77777777" w:rsidTr="00E047CD">
        <w:trPr>
          <w:trHeight w:val="288"/>
        </w:trPr>
        <w:tc>
          <w:tcPr>
            <w:tcW w:w="3776" w:type="dxa"/>
            <w:shd w:val="clear" w:color="auto" w:fill="auto"/>
            <w:vAlign w:val="bottom"/>
            <w:hideMark/>
          </w:tcPr>
          <w:p w14:paraId="56ED2B3F"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https://nkzu.kz</w:t>
            </w:r>
          </w:p>
        </w:tc>
        <w:tc>
          <w:tcPr>
            <w:tcW w:w="3518" w:type="dxa"/>
            <w:shd w:val="clear" w:color="auto" w:fill="auto"/>
            <w:vAlign w:val="bottom"/>
            <w:hideMark/>
          </w:tcPr>
          <w:p w14:paraId="63A0FF01"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3263B184"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55182746" w14:textId="77777777" w:rsidTr="00E047CD">
        <w:trPr>
          <w:trHeight w:val="288"/>
        </w:trPr>
        <w:tc>
          <w:tcPr>
            <w:tcW w:w="3776" w:type="dxa"/>
            <w:shd w:val="clear" w:color="auto" w:fill="auto"/>
            <w:vAlign w:val="bottom"/>
            <w:hideMark/>
          </w:tcPr>
          <w:p w14:paraId="03E215D3"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https://semgu.kz</w:t>
            </w:r>
          </w:p>
        </w:tc>
        <w:tc>
          <w:tcPr>
            <w:tcW w:w="3518" w:type="dxa"/>
            <w:shd w:val="clear" w:color="auto" w:fill="auto"/>
            <w:vAlign w:val="bottom"/>
            <w:hideMark/>
          </w:tcPr>
          <w:p w14:paraId="136BE25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2CD727A1"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30E573DF" w14:textId="77777777" w:rsidTr="00E047CD">
        <w:trPr>
          <w:trHeight w:val="288"/>
        </w:trPr>
        <w:tc>
          <w:tcPr>
            <w:tcW w:w="3776" w:type="dxa"/>
            <w:shd w:val="clear" w:color="auto" w:fill="auto"/>
            <w:vAlign w:val="bottom"/>
            <w:hideMark/>
          </w:tcPr>
          <w:p w14:paraId="1AA795D4"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https://semeymedicaluniversity.kz</w:t>
            </w:r>
          </w:p>
        </w:tc>
        <w:tc>
          <w:tcPr>
            <w:tcW w:w="3518" w:type="dxa"/>
            <w:shd w:val="clear" w:color="auto" w:fill="auto"/>
            <w:vAlign w:val="bottom"/>
            <w:hideMark/>
          </w:tcPr>
          <w:p w14:paraId="2A2BA0FC"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66CBBB83"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715F54F0" w14:textId="77777777" w:rsidTr="00E047CD">
        <w:trPr>
          <w:trHeight w:val="288"/>
        </w:trPr>
        <w:tc>
          <w:tcPr>
            <w:tcW w:w="3776" w:type="dxa"/>
            <w:shd w:val="clear" w:color="auto" w:fill="auto"/>
            <w:vAlign w:val="bottom"/>
            <w:hideMark/>
          </w:tcPr>
          <w:p w14:paraId="6D9AFF5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https://ukgu.kz</w:t>
            </w:r>
          </w:p>
        </w:tc>
        <w:tc>
          <w:tcPr>
            <w:tcW w:w="3518" w:type="dxa"/>
            <w:shd w:val="clear" w:color="auto" w:fill="auto"/>
            <w:vAlign w:val="bottom"/>
            <w:hideMark/>
          </w:tcPr>
          <w:p w14:paraId="6E42717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0607B960"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3BAD6C0F" w14:textId="77777777" w:rsidTr="00E047CD">
        <w:trPr>
          <w:trHeight w:val="288"/>
        </w:trPr>
        <w:tc>
          <w:tcPr>
            <w:tcW w:w="3776" w:type="dxa"/>
            <w:shd w:val="clear" w:color="auto" w:fill="auto"/>
            <w:vAlign w:val="bottom"/>
            <w:hideMark/>
          </w:tcPr>
          <w:p w14:paraId="714A7CD0"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https://ayu.edu.kz</w:t>
            </w:r>
          </w:p>
        </w:tc>
        <w:tc>
          <w:tcPr>
            <w:tcW w:w="3518" w:type="dxa"/>
            <w:shd w:val="clear" w:color="auto" w:fill="auto"/>
            <w:vAlign w:val="bottom"/>
            <w:hideMark/>
          </w:tcPr>
          <w:p w14:paraId="51A31AB1"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7943DE20"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2E7261C5" w14:textId="77777777" w:rsidTr="00E047CD">
        <w:trPr>
          <w:trHeight w:val="288"/>
        </w:trPr>
        <w:tc>
          <w:tcPr>
            <w:tcW w:w="3776" w:type="dxa"/>
            <w:shd w:val="clear" w:color="auto" w:fill="auto"/>
            <w:vAlign w:val="bottom"/>
            <w:hideMark/>
          </w:tcPr>
          <w:p w14:paraId="07174DCD"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https://wksu.kz</w:t>
            </w:r>
          </w:p>
        </w:tc>
        <w:tc>
          <w:tcPr>
            <w:tcW w:w="3518" w:type="dxa"/>
            <w:shd w:val="clear" w:color="auto" w:fill="auto"/>
            <w:vAlign w:val="bottom"/>
            <w:hideMark/>
          </w:tcPr>
          <w:p w14:paraId="2410567D"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21D2C8E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4F1235E8" w14:textId="77777777" w:rsidTr="00E047CD">
        <w:trPr>
          <w:trHeight w:val="288"/>
        </w:trPr>
        <w:tc>
          <w:tcPr>
            <w:tcW w:w="3776" w:type="dxa"/>
            <w:shd w:val="clear" w:color="auto" w:fill="auto"/>
            <w:vAlign w:val="bottom"/>
            <w:hideMark/>
          </w:tcPr>
          <w:p w14:paraId="751D953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https://wkatu.kz</w:t>
            </w:r>
          </w:p>
        </w:tc>
        <w:tc>
          <w:tcPr>
            <w:tcW w:w="3518" w:type="dxa"/>
            <w:shd w:val="clear" w:color="auto" w:fill="auto"/>
            <w:vAlign w:val="bottom"/>
            <w:hideMark/>
          </w:tcPr>
          <w:p w14:paraId="0AF21FDF"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05BD6D2E"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5F8DC721" w14:textId="77777777" w:rsidTr="00E047CD">
        <w:trPr>
          <w:trHeight w:val="288"/>
        </w:trPr>
        <w:tc>
          <w:tcPr>
            <w:tcW w:w="3776" w:type="dxa"/>
            <w:shd w:val="clear" w:color="auto" w:fill="auto"/>
            <w:vAlign w:val="bottom"/>
            <w:hideMark/>
          </w:tcPr>
          <w:p w14:paraId="08AAE7F7"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https://arsu.kz</w:t>
            </w:r>
          </w:p>
        </w:tc>
        <w:tc>
          <w:tcPr>
            <w:tcW w:w="3518" w:type="dxa"/>
            <w:shd w:val="clear" w:color="auto" w:fill="auto"/>
            <w:vAlign w:val="bottom"/>
            <w:hideMark/>
          </w:tcPr>
          <w:p w14:paraId="1F91AAAD"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324D6E50"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6A88C0DF" w14:textId="77777777" w:rsidTr="00E047CD">
        <w:trPr>
          <w:trHeight w:val="288"/>
        </w:trPr>
        <w:tc>
          <w:tcPr>
            <w:tcW w:w="3776" w:type="dxa"/>
            <w:shd w:val="clear" w:color="auto" w:fill="auto"/>
            <w:vAlign w:val="bottom"/>
            <w:hideMark/>
          </w:tcPr>
          <w:p w14:paraId="5D1D358C"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https://zkgmu.kz</w:t>
            </w:r>
          </w:p>
        </w:tc>
        <w:tc>
          <w:tcPr>
            <w:tcW w:w="3518" w:type="dxa"/>
            <w:shd w:val="clear" w:color="auto" w:fill="auto"/>
            <w:vAlign w:val="bottom"/>
            <w:hideMark/>
          </w:tcPr>
          <w:p w14:paraId="449C1FAA"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34779480"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0C796B46" w14:textId="77777777" w:rsidTr="00E047CD">
        <w:trPr>
          <w:trHeight w:val="288"/>
        </w:trPr>
        <w:tc>
          <w:tcPr>
            <w:tcW w:w="3776" w:type="dxa"/>
            <w:shd w:val="clear" w:color="auto" w:fill="auto"/>
            <w:vAlign w:val="bottom"/>
            <w:hideMark/>
          </w:tcPr>
          <w:p w14:paraId="1B5C2B11"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https://asu.edu.kz</w:t>
            </w:r>
          </w:p>
        </w:tc>
        <w:tc>
          <w:tcPr>
            <w:tcW w:w="3518" w:type="dxa"/>
            <w:shd w:val="clear" w:color="auto" w:fill="auto"/>
            <w:vAlign w:val="bottom"/>
            <w:hideMark/>
          </w:tcPr>
          <w:p w14:paraId="39ECEEE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5196424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5E365812" w14:textId="77777777" w:rsidTr="00E047CD">
        <w:trPr>
          <w:trHeight w:val="288"/>
        </w:trPr>
        <w:tc>
          <w:tcPr>
            <w:tcW w:w="3776" w:type="dxa"/>
            <w:shd w:val="clear" w:color="auto" w:fill="auto"/>
            <w:vAlign w:val="bottom"/>
            <w:hideMark/>
          </w:tcPr>
          <w:p w14:paraId="291508DD"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https://aogu.edu.kz</w:t>
            </w:r>
          </w:p>
        </w:tc>
        <w:tc>
          <w:tcPr>
            <w:tcW w:w="3518" w:type="dxa"/>
            <w:shd w:val="clear" w:color="auto" w:fill="auto"/>
            <w:vAlign w:val="bottom"/>
            <w:hideMark/>
          </w:tcPr>
          <w:p w14:paraId="2701D51D"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0C597050"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44D194BE" w14:textId="77777777" w:rsidTr="00E047CD">
        <w:trPr>
          <w:trHeight w:val="288"/>
        </w:trPr>
        <w:tc>
          <w:tcPr>
            <w:tcW w:w="3776" w:type="dxa"/>
            <w:shd w:val="clear" w:color="auto" w:fill="auto"/>
            <w:vAlign w:val="bottom"/>
            <w:hideMark/>
          </w:tcPr>
          <w:p w14:paraId="65DD8E6B"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https://vkgu.kz</w:t>
            </w:r>
          </w:p>
        </w:tc>
        <w:tc>
          <w:tcPr>
            <w:tcW w:w="3518" w:type="dxa"/>
            <w:shd w:val="clear" w:color="auto" w:fill="auto"/>
            <w:vAlign w:val="bottom"/>
            <w:hideMark/>
          </w:tcPr>
          <w:p w14:paraId="7FAD7D94"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3DB78762"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1B4B536E" w14:textId="77777777" w:rsidTr="00E047CD">
        <w:trPr>
          <w:trHeight w:val="288"/>
        </w:trPr>
        <w:tc>
          <w:tcPr>
            <w:tcW w:w="3776" w:type="dxa"/>
            <w:shd w:val="clear" w:color="auto" w:fill="auto"/>
            <w:vAlign w:val="bottom"/>
            <w:hideMark/>
          </w:tcPr>
          <w:p w14:paraId="37440435"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https://shakarim.kz</w:t>
            </w:r>
          </w:p>
        </w:tc>
        <w:tc>
          <w:tcPr>
            <w:tcW w:w="3518" w:type="dxa"/>
            <w:shd w:val="clear" w:color="auto" w:fill="auto"/>
            <w:vAlign w:val="bottom"/>
            <w:hideMark/>
          </w:tcPr>
          <w:p w14:paraId="47622E2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1C91AA9F"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36D50EAF" w14:textId="77777777" w:rsidTr="00E047CD">
        <w:trPr>
          <w:trHeight w:val="288"/>
        </w:trPr>
        <w:tc>
          <w:tcPr>
            <w:tcW w:w="3776" w:type="dxa"/>
            <w:shd w:val="clear" w:color="auto" w:fill="auto"/>
            <w:vAlign w:val="bottom"/>
            <w:hideMark/>
          </w:tcPr>
          <w:p w14:paraId="33CC693F"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https://kgu.kz</w:t>
            </w:r>
          </w:p>
        </w:tc>
        <w:tc>
          <w:tcPr>
            <w:tcW w:w="3518" w:type="dxa"/>
            <w:shd w:val="clear" w:color="auto" w:fill="auto"/>
            <w:vAlign w:val="bottom"/>
            <w:hideMark/>
          </w:tcPr>
          <w:p w14:paraId="43EE57E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29AEED5F"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68BE604A" w14:textId="77777777" w:rsidTr="00E047CD">
        <w:trPr>
          <w:trHeight w:val="288"/>
        </w:trPr>
        <w:tc>
          <w:tcPr>
            <w:tcW w:w="3776" w:type="dxa"/>
            <w:shd w:val="clear" w:color="auto" w:fill="auto"/>
            <w:vAlign w:val="bottom"/>
            <w:hideMark/>
          </w:tcPr>
          <w:p w14:paraId="26A119C1"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https://yukib.kz</w:t>
            </w:r>
          </w:p>
        </w:tc>
        <w:tc>
          <w:tcPr>
            <w:tcW w:w="3518" w:type="dxa"/>
            <w:shd w:val="clear" w:color="auto" w:fill="auto"/>
            <w:vAlign w:val="bottom"/>
            <w:hideMark/>
          </w:tcPr>
          <w:p w14:paraId="0D65D43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168ADFF4"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28241C2D" w14:textId="77777777" w:rsidTr="00E047CD">
        <w:trPr>
          <w:trHeight w:val="288"/>
        </w:trPr>
        <w:tc>
          <w:tcPr>
            <w:tcW w:w="3776" w:type="dxa"/>
            <w:shd w:val="clear" w:color="auto" w:fill="auto"/>
            <w:vAlign w:val="bottom"/>
            <w:hideMark/>
          </w:tcPr>
          <w:p w14:paraId="6A80F01D"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https://aktobeuniversity.kz</w:t>
            </w:r>
          </w:p>
        </w:tc>
        <w:tc>
          <w:tcPr>
            <w:tcW w:w="3518" w:type="dxa"/>
            <w:shd w:val="clear" w:color="auto" w:fill="auto"/>
            <w:vAlign w:val="bottom"/>
            <w:hideMark/>
          </w:tcPr>
          <w:p w14:paraId="6F8884B0"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63575350"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2F126A5D" w14:textId="77777777" w:rsidTr="00E047CD">
        <w:trPr>
          <w:trHeight w:val="288"/>
        </w:trPr>
        <w:tc>
          <w:tcPr>
            <w:tcW w:w="3776" w:type="dxa"/>
            <w:shd w:val="clear" w:color="auto" w:fill="auto"/>
            <w:vAlign w:val="bottom"/>
            <w:hideMark/>
          </w:tcPr>
          <w:p w14:paraId="0C59A458"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https://turanturan.kz</w:t>
            </w:r>
          </w:p>
        </w:tc>
        <w:tc>
          <w:tcPr>
            <w:tcW w:w="3518" w:type="dxa"/>
            <w:shd w:val="clear" w:color="auto" w:fill="auto"/>
            <w:vAlign w:val="bottom"/>
            <w:hideMark/>
          </w:tcPr>
          <w:p w14:paraId="66028E12"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0B113B08"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3BD4E0E5" w14:textId="77777777" w:rsidTr="00921BD6">
        <w:trPr>
          <w:trHeight w:val="278"/>
        </w:trPr>
        <w:tc>
          <w:tcPr>
            <w:tcW w:w="3776" w:type="dxa"/>
            <w:tcBorders>
              <w:bottom w:val="nil"/>
            </w:tcBorders>
            <w:shd w:val="clear" w:color="auto" w:fill="auto"/>
            <w:vAlign w:val="bottom"/>
            <w:hideMark/>
          </w:tcPr>
          <w:p w14:paraId="70873E0F"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https://almau.edu.kz</w:t>
            </w:r>
          </w:p>
        </w:tc>
        <w:tc>
          <w:tcPr>
            <w:tcW w:w="3518" w:type="dxa"/>
            <w:tcBorders>
              <w:bottom w:val="nil"/>
            </w:tcBorders>
            <w:shd w:val="clear" w:color="auto" w:fill="auto"/>
            <w:vAlign w:val="bottom"/>
            <w:hideMark/>
          </w:tcPr>
          <w:p w14:paraId="0F64C235" w14:textId="72CFC99A" w:rsidR="0001723B" w:rsidRPr="00FC469B" w:rsidRDefault="00921BD6" w:rsidP="00FC4291">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ИИ</w:t>
            </w:r>
            <w:r w:rsidR="0001723B" w:rsidRPr="00FC469B">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w:t>
            </w:r>
            <w:r w:rsidR="0001723B" w:rsidRPr="00FC469B">
              <w:rPr>
                <w:rFonts w:ascii="Times New Roman" w:eastAsia="Times New Roman" w:hAnsi="Times New Roman" w:cs="Times New Roman"/>
                <w:color w:val="000000"/>
                <w:sz w:val="26"/>
                <w:szCs w:val="26"/>
              </w:rPr>
              <w:t>чат-бот</w:t>
            </w:r>
          </w:p>
        </w:tc>
        <w:tc>
          <w:tcPr>
            <w:tcW w:w="2199" w:type="dxa"/>
            <w:tcBorders>
              <w:bottom w:val="nil"/>
            </w:tcBorders>
            <w:shd w:val="clear" w:color="auto" w:fill="auto"/>
            <w:vAlign w:val="bottom"/>
            <w:hideMark/>
          </w:tcPr>
          <w:p w14:paraId="277B2F5E"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мотивация</w:t>
            </w:r>
          </w:p>
        </w:tc>
      </w:tr>
      <w:tr w:rsidR="0001723B" w:rsidRPr="00FC469B" w14:paraId="7BB68118" w14:textId="77777777" w:rsidTr="00921BD6">
        <w:trPr>
          <w:trHeight w:val="288"/>
        </w:trPr>
        <w:tc>
          <w:tcPr>
            <w:tcW w:w="3776" w:type="dxa"/>
            <w:tcBorders>
              <w:top w:val="single" w:sz="4" w:space="0" w:color="auto"/>
            </w:tcBorders>
            <w:shd w:val="clear" w:color="auto" w:fill="auto"/>
            <w:vAlign w:val="bottom"/>
            <w:hideMark/>
          </w:tcPr>
          <w:p w14:paraId="70C4906C"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https://atyrauuniversity.kz</w:t>
            </w:r>
          </w:p>
        </w:tc>
        <w:tc>
          <w:tcPr>
            <w:tcW w:w="3518" w:type="dxa"/>
            <w:tcBorders>
              <w:top w:val="single" w:sz="4" w:space="0" w:color="auto"/>
            </w:tcBorders>
            <w:shd w:val="clear" w:color="auto" w:fill="auto"/>
            <w:vAlign w:val="bottom"/>
            <w:hideMark/>
          </w:tcPr>
          <w:p w14:paraId="3FE57A44"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tcBorders>
              <w:top w:val="single" w:sz="4" w:space="0" w:color="auto"/>
            </w:tcBorders>
            <w:shd w:val="clear" w:color="auto" w:fill="auto"/>
            <w:vAlign w:val="bottom"/>
            <w:hideMark/>
          </w:tcPr>
          <w:p w14:paraId="6190666E"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28729F3B" w14:textId="77777777" w:rsidTr="00921BD6">
        <w:trPr>
          <w:trHeight w:val="288"/>
        </w:trPr>
        <w:tc>
          <w:tcPr>
            <w:tcW w:w="3776" w:type="dxa"/>
            <w:tcBorders>
              <w:bottom w:val="nil"/>
            </w:tcBorders>
            <w:shd w:val="clear" w:color="auto" w:fill="auto"/>
            <w:vAlign w:val="bottom"/>
            <w:hideMark/>
          </w:tcPr>
          <w:p w14:paraId="23836E95"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https://skspu.kz</w:t>
            </w:r>
          </w:p>
        </w:tc>
        <w:tc>
          <w:tcPr>
            <w:tcW w:w="3518" w:type="dxa"/>
            <w:tcBorders>
              <w:bottom w:val="nil"/>
            </w:tcBorders>
            <w:shd w:val="clear" w:color="auto" w:fill="auto"/>
            <w:vAlign w:val="bottom"/>
            <w:hideMark/>
          </w:tcPr>
          <w:p w14:paraId="0435FD2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tcBorders>
              <w:bottom w:val="nil"/>
            </w:tcBorders>
            <w:shd w:val="clear" w:color="auto" w:fill="auto"/>
            <w:vAlign w:val="bottom"/>
            <w:hideMark/>
          </w:tcPr>
          <w:p w14:paraId="263DB5C2"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921BD6" w:rsidRPr="000E0481" w14:paraId="7198F3AF" w14:textId="77777777" w:rsidTr="00921BD6">
        <w:trPr>
          <w:trHeight w:val="288"/>
        </w:trPr>
        <w:tc>
          <w:tcPr>
            <w:tcW w:w="9493" w:type="dxa"/>
            <w:gridSpan w:val="3"/>
            <w:tcBorders>
              <w:top w:val="nil"/>
              <w:left w:val="nil"/>
              <w:bottom w:val="single" w:sz="4" w:space="0" w:color="auto"/>
              <w:right w:val="nil"/>
            </w:tcBorders>
            <w:shd w:val="clear" w:color="auto" w:fill="auto"/>
            <w:vAlign w:val="bottom"/>
          </w:tcPr>
          <w:p w14:paraId="0D704407" w14:textId="67EE1757" w:rsidR="00921BD6" w:rsidRPr="00554D98" w:rsidRDefault="00921BD6" w:rsidP="00FC4291">
            <w:pPr>
              <w:spacing w:after="0" w:line="240" w:lineRule="auto"/>
              <w:rPr>
                <w:rFonts w:ascii="Times New Roman" w:eastAsia="Times New Roman" w:hAnsi="Times New Roman" w:cs="Times New Roman"/>
                <w:color w:val="000000"/>
                <w:sz w:val="26"/>
                <w:szCs w:val="26"/>
                <w:lang w:val="en-US"/>
              </w:rPr>
            </w:pPr>
            <w:r w:rsidRPr="00554D98">
              <w:rPr>
                <w:rFonts w:ascii="Times New Roman" w:eastAsia="Times New Roman" w:hAnsi="Times New Roman" w:cs="Times New Roman"/>
                <w:color w:val="000000"/>
                <w:sz w:val="26"/>
                <w:szCs w:val="26"/>
                <w:lang w:val="en-US"/>
              </w:rPr>
              <w:lastRenderedPageBreak/>
              <w:t xml:space="preserve">Continuation of the table </w:t>
            </w:r>
            <w:r w:rsidR="008E6E5F">
              <w:rPr>
                <w:rFonts w:ascii="Times New Roman" w:eastAsia="Times New Roman" w:hAnsi="Times New Roman" w:cs="Times New Roman"/>
                <w:color w:val="000000"/>
                <w:sz w:val="26"/>
                <w:szCs w:val="26"/>
                <w:lang w:val="en-US"/>
              </w:rPr>
              <w:t>D</w:t>
            </w:r>
            <w:r w:rsidRPr="00554D98">
              <w:rPr>
                <w:rFonts w:ascii="Times New Roman" w:eastAsia="Times New Roman" w:hAnsi="Times New Roman" w:cs="Times New Roman"/>
                <w:color w:val="000000"/>
                <w:sz w:val="26"/>
                <w:szCs w:val="26"/>
                <w:lang w:val="en-US"/>
              </w:rPr>
              <w:t>.1</w:t>
            </w:r>
          </w:p>
          <w:p w14:paraId="79920363" w14:textId="618A306A" w:rsidR="00921BD6" w:rsidRPr="00921BD6" w:rsidRDefault="00921BD6" w:rsidP="00FC4291">
            <w:pPr>
              <w:spacing w:after="0" w:line="240" w:lineRule="auto"/>
              <w:rPr>
                <w:rFonts w:ascii="Times New Roman" w:eastAsia="Times New Roman" w:hAnsi="Times New Roman" w:cs="Times New Roman"/>
                <w:color w:val="000000"/>
                <w:sz w:val="26"/>
                <w:szCs w:val="26"/>
                <w:lang w:val="en-US"/>
              </w:rPr>
            </w:pPr>
          </w:p>
        </w:tc>
      </w:tr>
      <w:tr w:rsidR="0001723B" w:rsidRPr="00FC469B" w14:paraId="56313B74" w14:textId="77777777" w:rsidTr="00921BD6">
        <w:trPr>
          <w:trHeight w:val="288"/>
        </w:trPr>
        <w:tc>
          <w:tcPr>
            <w:tcW w:w="3776" w:type="dxa"/>
            <w:tcBorders>
              <w:top w:val="single" w:sz="4" w:space="0" w:color="auto"/>
            </w:tcBorders>
            <w:shd w:val="clear" w:color="auto" w:fill="auto"/>
            <w:vAlign w:val="bottom"/>
            <w:hideMark/>
          </w:tcPr>
          <w:p w14:paraId="5053666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https://zhubanty.kz</w:t>
            </w:r>
          </w:p>
        </w:tc>
        <w:tc>
          <w:tcPr>
            <w:tcW w:w="3518" w:type="dxa"/>
            <w:tcBorders>
              <w:top w:val="single" w:sz="4" w:space="0" w:color="auto"/>
            </w:tcBorders>
            <w:shd w:val="clear" w:color="auto" w:fill="auto"/>
            <w:vAlign w:val="bottom"/>
            <w:hideMark/>
          </w:tcPr>
          <w:p w14:paraId="2A8CAB07"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tcBorders>
              <w:top w:val="single" w:sz="4" w:space="0" w:color="auto"/>
            </w:tcBorders>
            <w:shd w:val="clear" w:color="auto" w:fill="auto"/>
            <w:vAlign w:val="bottom"/>
            <w:hideMark/>
          </w:tcPr>
          <w:p w14:paraId="718A000F"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4FA2AAA7" w14:textId="77777777" w:rsidTr="00E047CD">
        <w:trPr>
          <w:trHeight w:val="288"/>
        </w:trPr>
        <w:tc>
          <w:tcPr>
            <w:tcW w:w="3776" w:type="dxa"/>
            <w:shd w:val="clear" w:color="auto" w:fill="auto"/>
            <w:vAlign w:val="bottom"/>
            <w:hideMark/>
          </w:tcPr>
          <w:p w14:paraId="39C2C2A8"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https://pgu.kz</w:t>
            </w:r>
          </w:p>
        </w:tc>
        <w:tc>
          <w:tcPr>
            <w:tcW w:w="3518" w:type="dxa"/>
            <w:shd w:val="clear" w:color="auto" w:fill="auto"/>
            <w:vAlign w:val="bottom"/>
            <w:hideMark/>
          </w:tcPr>
          <w:p w14:paraId="7FB287FC"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7F17D065"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0B724446" w14:textId="77777777" w:rsidTr="00E047CD">
        <w:trPr>
          <w:trHeight w:val="288"/>
        </w:trPr>
        <w:tc>
          <w:tcPr>
            <w:tcW w:w="3776" w:type="dxa"/>
            <w:shd w:val="clear" w:color="auto" w:fill="auto"/>
            <w:vAlign w:val="bottom"/>
            <w:hideMark/>
          </w:tcPr>
          <w:p w14:paraId="2E799B2A"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https://karstu.kz</w:t>
            </w:r>
          </w:p>
        </w:tc>
        <w:tc>
          <w:tcPr>
            <w:tcW w:w="3518" w:type="dxa"/>
            <w:shd w:val="clear" w:color="auto" w:fill="auto"/>
            <w:vAlign w:val="bottom"/>
            <w:hideMark/>
          </w:tcPr>
          <w:p w14:paraId="0A427393"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325895A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0A106DAF" w14:textId="77777777" w:rsidTr="00E047CD">
        <w:trPr>
          <w:trHeight w:val="288"/>
        </w:trPr>
        <w:tc>
          <w:tcPr>
            <w:tcW w:w="3776" w:type="dxa"/>
            <w:shd w:val="clear" w:color="auto" w:fill="auto"/>
            <w:vAlign w:val="bottom"/>
            <w:hideMark/>
          </w:tcPr>
          <w:p w14:paraId="39B1D6AB"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https://smu.kz</w:t>
            </w:r>
          </w:p>
        </w:tc>
        <w:tc>
          <w:tcPr>
            <w:tcW w:w="3518" w:type="dxa"/>
            <w:shd w:val="clear" w:color="auto" w:fill="auto"/>
            <w:vAlign w:val="bottom"/>
            <w:hideMark/>
          </w:tcPr>
          <w:p w14:paraId="7685428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7155F7CD"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6B765C9E" w14:textId="77777777" w:rsidTr="00E047CD">
        <w:trPr>
          <w:trHeight w:val="288"/>
        </w:trPr>
        <w:tc>
          <w:tcPr>
            <w:tcW w:w="3776" w:type="dxa"/>
            <w:shd w:val="clear" w:color="auto" w:fill="auto"/>
            <w:vAlign w:val="bottom"/>
            <w:hideMark/>
          </w:tcPr>
          <w:p w14:paraId="334C8FF1"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https://shymkentuniversity.kz</w:t>
            </w:r>
          </w:p>
        </w:tc>
        <w:tc>
          <w:tcPr>
            <w:tcW w:w="3518" w:type="dxa"/>
            <w:shd w:val="clear" w:color="auto" w:fill="auto"/>
            <w:vAlign w:val="bottom"/>
            <w:hideMark/>
          </w:tcPr>
          <w:p w14:paraId="1B3AE153"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3CE2FFA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6A70C336" w14:textId="77777777" w:rsidTr="00E047CD">
        <w:trPr>
          <w:trHeight w:val="288"/>
        </w:trPr>
        <w:tc>
          <w:tcPr>
            <w:tcW w:w="3776" w:type="dxa"/>
            <w:shd w:val="clear" w:color="auto" w:fill="auto"/>
            <w:vAlign w:val="bottom"/>
            <w:hideMark/>
          </w:tcPr>
          <w:p w14:paraId="36CC0705"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https://qazaq-university.kz</w:t>
            </w:r>
          </w:p>
        </w:tc>
        <w:tc>
          <w:tcPr>
            <w:tcW w:w="3518" w:type="dxa"/>
            <w:shd w:val="clear" w:color="auto" w:fill="auto"/>
            <w:vAlign w:val="bottom"/>
            <w:hideMark/>
          </w:tcPr>
          <w:p w14:paraId="4C361AC4"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52ADA3C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0F7A1F45" w14:textId="77777777" w:rsidTr="00E047CD">
        <w:trPr>
          <w:trHeight w:val="288"/>
        </w:trPr>
        <w:tc>
          <w:tcPr>
            <w:tcW w:w="3776" w:type="dxa"/>
            <w:shd w:val="clear" w:color="auto" w:fill="auto"/>
            <w:vAlign w:val="bottom"/>
            <w:hideMark/>
          </w:tcPr>
          <w:p w14:paraId="02FDD81F"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https://bolashak.edu.kz</w:t>
            </w:r>
          </w:p>
        </w:tc>
        <w:tc>
          <w:tcPr>
            <w:tcW w:w="3518" w:type="dxa"/>
            <w:shd w:val="clear" w:color="auto" w:fill="auto"/>
            <w:vAlign w:val="bottom"/>
            <w:hideMark/>
          </w:tcPr>
          <w:p w14:paraId="5F58C725"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6BDCC4E3"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1BCC2D37" w14:textId="77777777" w:rsidTr="00E047CD">
        <w:trPr>
          <w:trHeight w:val="288"/>
        </w:trPr>
        <w:tc>
          <w:tcPr>
            <w:tcW w:w="3776" w:type="dxa"/>
            <w:shd w:val="clear" w:color="auto" w:fill="auto"/>
            <w:vAlign w:val="bottom"/>
            <w:hideMark/>
          </w:tcPr>
          <w:p w14:paraId="5B0E55A2"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https://mangystauuniversity.kz</w:t>
            </w:r>
          </w:p>
        </w:tc>
        <w:tc>
          <w:tcPr>
            <w:tcW w:w="3518" w:type="dxa"/>
            <w:shd w:val="clear" w:color="auto" w:fill="auto"/>
            <w:vAlign w:val="bottom"/>
            <w:hideMark/>
          </w:tcPr>
          <w:p w14:paraId="4FF81133"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7AB8BA33"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6F277981" w14:textId="77777777" w:rsidTr="00E047CD">
        <w:trPr>
          <w:trHeight w:val="288"/>
        </w:trPr>
        <w:tc>
          <w:tcPr>
            <w:tcW w:w="3776" w:type="dxa"/>
            <w:shd w:val="clear" w:color="auto" w:fill="auto"/>
            <w:vAlign w:val="bottom"/>
            <w:hideMark/>
          </w:tcPr>
          <w:p w14:paraId="02EF660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https://esep.edu.kz</w:t>
            </w:r>
          </w:p>
        </w:tc>
        <w:tc>
          <w:tcPr>
            <w:tcW w:w="3518" w:type="dxa"/>
            <w:shd w:val="clear" w:color="auto" w:fill="auto"/>
            <w:vAlign w:val="bottom"/>
            <w:hideMark/>
          </w:tcPr>
          <w:p w14:paraId="352A0C9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29319B81"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1D0311EC" w14:textId="77777777" w:rsidTr="00E047CD">
        <w:trPr>
          <w:trHeight w:val="288"/>
        </w:trPr>
        <w:tc>
          <w:tcPr>
            <w:tcW w:w="3776" w:type="dxa"/>
            <w:shd w:val="clear" w:color="auto" w:fill="auto"/>
            <w:vAlign w:val="bottom"/>
            <w:hideMark/>
          </w:tcPr>
          <w:p w14:paraId="586D3B4E"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https://erudite.kz</w:t>
            </w:r>
          </w:p>
        </w:tc>
        <w:tc>
          <w:tcPr>
            <w:tcW w:w="3518" w:type="dxa"/>
            <w:shd w:val="clear" w:color="auto" w:fill="auto"/>
            <w:vAlign w:val="bottom"/>
            <w:hideMark/>
          </w:tcPr>
          <w:p w14:paraId="7188F97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2ED78481"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569D9CFF" w14:textId="77777777" w:rsidTr="00E047CD">
        <w:trPr>
          <w:trHeight w:val="288"/>
        </w:trPr>
        <w:tc>
          <w:tcPr>
            <w:tcW w:w="3776" w:type="dxa"/>
            <w:shd w:val="clear" w:color="auto" w:fill="auto"/>
            <w:vAlign w:val="bottom"/>
            <w:hideMark/>
          </w:tcPr>
          <w:p w14:paraId="19D3420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https://orleu.kz</w:t>
            </w:r>
          </w:p>
        </w:tc>
        <w:tc>
          <w:tcPr>
            <w:tcW w:w="3518" w:type="dxa"/>
            <w:shd w:val="clear" w:color="auto" w:fill="auto"/>
            <w:vAlign w:val="bottom"/>
            <w:hideMark/>
          </w:tcPr>
          <w:p w14:paraId="589908B1"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01EF5BB3"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1C07615A" w14:textId="77777777" w:rsidTr="00E047CD">
        <w:trPr>
          <w:trHeight w:val="288"/>
        </w:trPr>
        <w:tc>
          <w:tcPr>
            <w:tcW w:w="3776" w:type="dxa"/>
            <w:shd w:val="clear" w:color="auto" w:fill="auto"/>
            <w:vAlign w:val="bottom"/>
            <w:hideMark/>
          </w:tcPr>
          <w:p w14:paraId="779CBA9A"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https://narhoz.kz</w:t>
            </w:r>
          </w:p>
        </w:tc>
        <w:tc>
          <w:tcPr>
            <w:tcW w:w="3518" w:type="dxa"/>
            <w:shd w:val="clear" w:color="auto" w:fill="auto"/>
            <w:vAlign w:val="bottom"/>
            <w:hideMark/>
          </w:tcPr>
          <w:p w14:paraId="52AFA03A"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36A2BBB2"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144FD5C2" w14:textId="77777777" w:rsidTr="00E047CD">
        <w:trPr>
          <w:trHeight w:val="288"/>
        </w:trPr>
        <w:tc>
          <w:tcPr>
            <w:tcW w:w="3776" w:type="dxa"/>
            <w:shd w:val="clear" w:color="auto" w:fill="auto"/>
            <w:vAlign w:val="bottom"/>
            <w:hideMark/>
          </w:tcPr>
          <w:p w14:paraId="622E6A52"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https://alim.kz</w:t>
            </w:r>
          </w:p>
        </w:tc>
        <w:tc>
          <w:tcPr>
            <w:tcW w:w="3518" w:type="dxa"/>
            <w:shd w:val="clear" w:color="auto" w:fill="auto"/>
            <w:vAlign w:val="bottom"/>
            <w:hideMark/>
          </w:tcPr>
          <w:p w14:paraId="29B1C793"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24420894"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391C0B03" w14:textId="77777777" w:rsidTr="00E047CD">
        <w:trPr>
          <w:trHeight w:val="310"/>
        </w:trPr>
        <w:tc>
          <w:tcPr>
            <w:tcW w:w="3776" w:type="dxa"/>
            <w:shd w:val="clear" w:color="auto" w:fill="auto"/>
            <w:vAlign w:val="bottom"/>
            <w:hideMark/>
          </w:tcPr>
          <w:p w14:paraId="55C82B9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https://astanait.edu.kz</w:t>
            </w:r>
          </w:p>
        </w:tc>
        <w:tc>
          <w:tcPr>
            <w:tcW w:w="3518" w:type="dxa"/>
            <w:shd w:val="clear" w:color="auto" w:fill="auto"/>
            <w:vAlign w:val="bottom"/>
            <w:hideMark/>
          </w:tcPr>
          <w:p w14:paraId="7B3D684A" w14:textId="765594B3" w:rsidR="0001723B" w:rsidRPr="00FC469B" w:rsidRDefault="00E047CD" w:rsidP="00FC4291">
            <w:pPr>
              <w:spacing w:after="0" w:line="240" w:lineRule="auto"/>
              <w:rPr>
                <w:rFonts w:ascii="Times New Roman" w:eastAsia="Times New Roman" w:hAnsi="Times New Roman" w:cs="Times New Roman"/>
                <w:color w:val="000000"/>
                <w:sz w:val="26"/>
                <w:szCs w:val="26"/>
              </w:rPr>
            </w:pPr>
            <w:r w:rsidRPr="00E047CD">
              <w:rPr>
                <w:rFonts w:ascii="Times New Roman" w:eastAsia="Times New Roman" w:hAnsi="Times New Roman" w:cs="Times New Roman"/>
                <w:color w:val="000000"/>
                <w:sz w:val="26"/>
                <w:szCs w:val="26"/>
              </w:rPr>
              <w:t xml:space="preserve">AI </w:t>
            </w:r>
            <w:proofErr w:type="spellStart"/>
            <w:r w:rsidR="0001723B" w:rsidRPr="00FC469B">
              <w:rPr>
                <w:rFonts w:ascii="Times New Roman" w:eastAsia="Times New Roman" w:hAnsi="Times New Roman" w:cs="Times New Roman"/>
                <w:color w:val="000000"/>
                <w:sz w:val="26"/>
                <w:szCs w:val="26"/>
              </w:rPr>
              <w:t>machine</w:t>
            </w:r>
            <w:proofErr w:type="spellEnd"/>
            <w:r w:rsidR="0001723B" w:rsidRPr="00FC469B">
              <w:rPr>
                <w:rFonts w:ascii="Times New Roman" w:eastAsia="Times New Roman" w:hAnsi="Times New Roman" w:cs="Times New Roman"/>
                <w:color w:val="000000"/>
                <w:sz w:val="26"/>
                <w:szCs w:val="26"/>
              </w:rPr>
              <w:t xml:space="preserve"> </w:t>
            </w:r>
            <w:proofErr w:type="spellStart"/>
            <w:r w:rsidR="0001723B" w:rsidRPr="00FC469B">
              <w:rPr>
                <w:rFonts w:ascii="Times New Roman" w:eastAsia="Times New Roman" w:hAnsi="Times New Roman" w:cs="Times New Roman"/>
                <w:color w:val="000000"/>
                <w:sz w:val="26"/>
                <w:szCs w:val="26"/>
              </w:rPr>
              <w:t>learning</w:t>
            </w:r>
            <w:proofErr w:type="spellEnd"/>
          </w:p>
        </w:tc>
        <w:tc>
          <w:tcPr>
            <w:tcW w:w="2199" w:type="dxa"/>
            <w:shd w:val="clear" w:color="auto" w:fill="auto"/>
            <w:vAlign w:val="bottom"/>
            <w:hideMark/>
          </w:tcPr>
          <w:p w14:paraId="7DD6EBAB"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6D19B439" w14:textId="77777777" w:rsidTr="00E047CD">
        <w:trPr>
          <w:trHeight w:val="288"/>
        </w:trPr>
        <w:tc>
          <w:tcPr>
            <w:tcW w:w="3776" w:type="dxa"/>
            <w:shd w:val="clear" w:color="auto" w:fill="auto"/>
            <w:vAlign w:val="bottom"/>
            <w:hideMark/>
          </w:tcPr>
          <w:p w14:paraId="03DF50BA"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https://orleu-edu.kz</w:t>
            </w:r>
          </w:p>
        </w:tc>
        <w:tc>
          <w:tcPr>
            <w:tcW w:w="3518" w:type="dxa"/>
            <w:shd w:val="clear" w:color="auto" w:fill="auto"/>
            <w:vAlign w:val="bottom"/>
            <w:hideMark/>
          </w:tcPr>
          <w:p w14:paraId="2928B2DC"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196259BF"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5AE17EE6" w14:textId="77777777" w:rsidTr="00E047CD">
        <w:trPr>
          <w:trHeight w:val="288"/>
        </w:trPr>
        <w:tc>
          <w:tcPr>
            <w:tcW w:w="3776" w:type="dxa"/>
            <w:shd w:val="clear" w:color="auto" w:fill="auto"/>
            <w:vAlign w:val="bottom"/>
            <w:hideMark/>
          </w:tcPr>
          <w:p w14:paraId="0E23E59F"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https://innovatsia.edu.kz</w:t>
            </w:r>
          </w:p>
        </w:tc>
        <w:tc>
          <w:tcPr>
            <w:tcW w:w="3518" w:type="dxa"/>
            <w:shd w:val="clear" w:color="auto" w:fill="auto"/>
            <w:vAlign w:val="bottom"/>
            <w:hideMark/>
          </w:tcPr>
          <w:p w14:paraId="122CC26E"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5A2BBC3E"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7E99AB35" w14:textId="77777777" w:rsidTr="00E047CD">
        <w:trPr>
          <w:trHeight w:val="288"/>
        </w:trPr>
        <w:tc>
          <w:tcPr>
            <w:tcW w:w="3776" w:type="dxa"/>
            <w:shd w:val="clear" w:color="auto" w:fill="auto"/>
            <w:vAlign w:val="bottom"/>
            <w:hideMark/>
          </w:tcPr>
          <w:p w14:paraId="17CE185F"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https://alt.edu.kz</w:t>
            </w:r>
          </w:p>
        </w:tc>
        <w:tc>
          <w:tcPr>
            <w:tcW w:w="3518" w:type="dxa"/>
            <w:shd w:val="clear" w:color="auto" w:fill="auto"/>
            <w:vAlign w:val="bottom"/>
            <w:hideMark/>
          </w:tcPr>
          <w:p w14:paraId="5889ADAE"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34D8DCC1"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165C0BD8" w14:textId="77777777" w:rsidTr="00E047CD">
        <w:trPr>
          <w:trHeight w:val="288"/>
        </w:trPr>
        <w:tc>
          <w:tcPr>
            <w:tcW w:w="3776" w:type="dxa"/>
            <w:shd w:val="clear" w:color="auto" w:fill="auto"/>
            <w:vAlign w:val="bottom"/>
            <w:hideMark/>
          </w:tcPr>
          <w:p w14:paraId="6849FAF3"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https://altynsarin.kz</w:t>
            </w:r>
          </w:p>
        </w:tc>
        <w:tc>
          <w:tcPr>
            <w:tcW w:w="3518" w:type="dxa"/>
            <w:shd w:val="clear" w:color="auto" w:fill="auto"/>
            <w:vAlign w:val="bottom"/>
            <w:hideMark/>
          </w:tcPr>
          <w:p w14:paraId="792D2F4A"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557C231E"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214673D0" w14:textId="77777777" w:rsidTr="00E047CD">
        <w:trPr>
          <w:trHeight w:val="288"/>
        </w:trPr>
        <w:tc>
          <w:tcPr>
            <w:tcW w:w="3776" w:type="dxa"/>
            <w:shd w:val="clear" w:color="auto" w:fill="auto"/>
            <w:vAlign w:val="bottom"/>
            <w:hideMark/>
          </w:tcPr>
          <w:p w14:paraId="643F1E0E"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https://edu-kz.com</w:t>
            </w:r>
          </w:p>
        </w:tc>
        <w:tc>
          <w:tcPr>
            <w:tcW w:w="3518" w:type="dxa"/>
            <w:shd w:val="clear" w:color="auto" w:fill="auto"/>
            <w:vAlign w:val="bottom"/>
            <w:hideMark/>
          </w:tcPr>
          <w:p w14:paraId="6470EEF4"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5B8BE7BF"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140E74CE" w14:textId="77777777" w:rsidTr="00E047CD">
        <w:trPr>
          <w:trHeight w:val="288"/>
        </w:trPr>
        <w:tc>
          <w:tcPr>
            <w:tcW w:w="3776" w:type="dxa"/>
            <w:shd w:val="clear" w:color="auto" w:fill="auto"/>
            <w:vAlign w:val="bottom"/>
            <w:hideMark/>
          </w:tcPr>
          <w:p w14:paraId="26D5BBD8"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https://okcollege.kz</w:t>
            </w:r>
          </w:p>
        </w:tc>
        <w:tc>
          <w:tcPr>
            <w:tcW w:w="3518" w:type="dxa"/>
            <w:shd w:val="clear" w:color="auto" w:fill="auto"/>
            <w:vAlign w:val="bottom"/>
            <w:hideMark/>
          </w:tcPr>
          <w:p w14:paraId="709419AB"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7CA9AAE8"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6CD1C30D" w14:textId="77777777" w:rsidTr="00E047CD">
        <w:trPr>
          <w:trHeight w:val="288"/>
        </w:trPr>
        <w:tc>
          <w:tcPr>
            <w:tcW w:w="3776" w:type="dxa"/>
            <w:shd w:val="clear" w:color="auto" w:fill="auto"/>
            <w:vAlign w:val="bottom"/>
            <w:hideMark/>
          </w:tcPr>
          <w:p w14:paraId="09A3B351"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https://aktobeinnovation.kz</w:t>
            </w:r>
          </w:p>
        </w:tc>
        <w:tc>
          <w:tcPr>
            <w:tcW w:w="3518" w:type="dxa"/>
            <w:shd w:val="clear" w:color="auto" w:fill="auto"/>
            <w:vAlign w:val="bottom"/>
            <w:hideMark/>
          </w:tcPr>
          <w:p w14:paraId="6822F1E8"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1FA73610"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55743715" w14:textId="77777777" w:rsidTr="00E047CD">
        <w:trPr>
          <w:trHeight w:val="288"/>
        </w:trPr>
        <w:tc>
          <w:tcPr>
            <w:tcW w:w="3776" w:type="dxa"/>
            <w:shd w:val="clear" w:color="auto" w:fill="auto"/>
            <w:vAlign w:val="bottom"/>
            <w:hideMark/>
          </w:tcPr>
          <w:p w14:paraId="4634AF40"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https://nursultanuniversity.kz</w:t>
            </w:r>
          </w:p>
        </w:tc>
        <w:tc>
          <w:tcPr>
            <w:tcW w:w="3518" w:type="dxa"/>
            <w:shd w:val="clear" w:color="auto" w:fill="auto"/>
            <w:vAlign w:val="bottom"/>
            <w:hideMark/>
          </w:tcPr>
          <w:p w14:paraId="6E3408E2"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5D45AFC0"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789ED71D" w14:textId="77777777" w:rsidTr="00E047CD">
        <w:trPr>
          <w:trHeight w:val="288"/>
        </w:trPr>
        <w:tc>
          <w:tcPr>
            <w:tcW w:w="3776" w:type="dxa"/>
            <w:shd w:val="clear" w:color="auto" w:fill="auto"/>
            <w:vAlign w:val="bottom"/>
            <w:hideMark/>
          </w:tcPr>
          <w:p w14:paraId="667214C4"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https://edu-kostanay.kz</w:t>
            </w:r>
          </w:p>
        </w:tc>
        <w:tc>
          <w:tcPr>
            <w:tcW w:w="3518" w:type="dxa"/>
            <w:shd w:val="clear" w:color="auto" w:fill="auto"/>
            <w:vAlign w:val="bottom"/>
            <w:hideMark/>
          </w:tcPr>
          <w:p w14:paraId="419391DF"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554FFCB7"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289FB882" w14:textId="77777777" w:rsidTr="00E047CD">
        <w:trPr>
          <w:trHeight w:val="288"/>
        </w:trPr>
        <w:tc>
          <w:tcPr>
            <w:tcW w:w="3776" w:type="dxa"/>
            <w:shd w:val="clear" w:color="auto" w:fill="auto"/>
            <w:vAlign w:val="bottom"/>
            <w:hideMark/>
          </w:tcPr>
          <w:p w14:paraId="00AF5D30"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https://aktobeuniversity.kz</w:t>
            </w:r>
          </w:p>
        </w:tc>
        <w:tc>
          <w:tcPr>
            <w:tcW w:w="3518" w:type="dxa"/>
            <w:shd w:val="clear" w:color="auto" w:fill="auto"/>
            <w:vAlign w:val="bottom"/>
            <w:hideMark/>
          </w:tcPr>
          <w:p w14:paraId="6296B268"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4A4733EC"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5B67E4D2" w14:textId="77777777" w:rsidTr="00E047CD">
        <w:trPr>
          <w:trHeight w:val="288"/>
        </w:trPr>
        <w:tc>
          <w:tcPr>
            <w:tcW w:w="3776" w:type="dxa"/>
            <w:shd w:val="clear" w:color="auto" w:fill="auto"/>
            <w:vAlign w:val="bottom"/>
            <w:hideMark/>
          </w:tcPr>
          <w:p w14:paraId="1276098D"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https://aktobeinnovation.kz</w:t>
            </w:r>
          </w:p>
        </w:tc>
        <w:tc>
          <w:tcPr>
            <w:tcW w:w="3518" w:type="dxa"/>
            <w:shd w:val="clear" w:color="auto" w:fill="auto"/>
            <w:vAlign w:val="bottom"/>
            <w:hideMark/>
          </w:tcPr>
          <w:p w14:paraId="5559342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5A326C0C"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1C03F140" w14:textId="77777777" w:rsidTr="00E047CD">
        <w:trPr>
          <w:trHeight w:val="288"/>
        </w:trPr>
        <w:tc>
          <w:tcPr>
            <w:tcW w:w="3776" w:type="dxa"/>
            <w:shd w:val="clear" w:color="auto" w:fill="auto"/>
            <w:vAlign w:val="bottom"/>
            <w:hideMark/>
          </w:tcPr>
          <w:p w14:paraId="3BC22BAC"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https://innovatsia.kz</w:t>
            </w:r>
          </w:p>
        </w:tc>
        <w:tc>
          <w:tcPr>
            <w:tcW w:w="3518" w:type="dxa"/>
            <w:shd w:val="clear" w:color="auto" w:fill="auto"/>
            <w:vAlign w:val="bottom"/>
            <w:hideMark/>
          </w:tcPr>
          <w:p w14:paraId="23124818"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0F6475B2"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36A97980" w14:textId="77777777" w:rsidTr="00E047CD">
        <w:trPr>
          <w:trHeight w:val="288"/>
        </w:trPr>
        <w:tc>
          <w:tcPr>
            <w:tcW w:w="3776" w:type="dxa"/>
            <w:shd w:val="clear" w:color="auto" w:fill="auto"/>
            <w:vAlign w:val="bottom"/>
            <w:hideMark/>
          </w:tcPr>
          <w:p w14:paraId="5E4AF7F2"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https://edu-turan.kz</w:t>
            </w:r>
          </w:p>
        </w:tc>
        <w:tc>
          <w:tcPr>
            <w:tcW w:w="3518" w:type="dxa"/>
            <w:shd w:val="clear" w:color="auto" w:fill="auto"/>
            <w:vAlign w:val="bottom"/>
            <w:hideMark/>
          </w:tcPr>
          <w:p w14:paraId="7D16D4A1"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6FE81CE5"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73E7E22B" w14:textId="77777777" w:rsidTr="00E047CD">
        <w:trPr>
          <w:trHeight w:val="288"/>
        </w:trPr>
        <w:tc>
          <w:tcPr>
            <w:tcW w:w="3776" w:type="dxa"/>
            <w:shd w:val="clear" w:color="auto" w:fill="auto"/>
            <w:vAlign w:val="bottom"/>
            <w:hideMark/>
          </w:tcPr>
          <w:p w14:paraId="1EA6E42A"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https://agriuniversity.kz</w:t>
            </w:r>
          </w:p>
        </w:tc>
        <w:tc>
          <w:tcPr>
            <w:tcW w:w="3518" w:type="dxa"/>
            <w:shd w:val="clear" w:color="auto" w:fill="auto"/>
            <w:vAlign w:val="bottom"/>
            <w:hideMark/>
          </w:tcPr>
          <w:p w14:paraId="038BEFBC"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2A78B5EC"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6A044245" w14:textId="77777777" w:rsidTr="00E047CD">
        <w:trPr>
          <w:trHeight w:val="288"/>
        </w:trPr>
        <w:tc>
          <w:tcPr>
            <w:tcW w:w="3776" w:type="dxa"/>
            <w:shd w:val="clear" w:color="auto" w:fill="auto"/>
            <w:vAlign w:val="bottom"/>
            <w:hideMark/>
          </w:tcPr>
          <w:p w14:paraId="21DC77BF"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https://turanschool.kz</w:t>
            </w:r>
          </w:p>
        </w:tc>
        <w:tc>
          <w:tcPr>
            <w:tcW w:w="3518" w:type="dxa"/>
            <w:shd w:val="clear" w:color="auto" w:fill="auto"/>
            <w:vAlign w:val="bottom"/>
            <w:hideMark/>
          </w:tcPr>
          <w:p w14:paraId="21EA9210"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3EF221B7"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4B597B7A" w14:textId="77777777" w:rsidTr="00E047CD">
        <w:trPr>
          <w:trHeight w:val="288"/>
        </w:trPr>
        <w:tc>
          <w:tcPr>
            <w:tcW w:w="3776" w:type="dxa"/>
            <w:shd w:val="clear" w:color="auto" w:fill="auto"/>
            <w:vAlign w:val="bottom"/>
            <w:hideMark/>
          </w:tcPr>
          <w:p w14:paraId="406F344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https://turanacademy.kz</w:t>
            </w:r>
          </w:p>
        </w:tc>
        <w:tc>
          <w:tcPr>
            <w:tcW w:w="3518" w:type="dxa"/>
            <w:shd w:val="clear" w:color="auto" w:fill="auto"/>
            <w:vAlign w:val="bottom"/>
            <w:hideMark/>
          </w:tcPr>
          <w:p w14:paraId="053527CB"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6344395C"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33F3B9D3" w14:textId="77777777" w:rsidTr="00E047CD">
        <w:trPr>
          <w:trHeight w:val="288"/>
        </w:trPr>
        <w:tc>
          <w:tcPr>
            <w:tcW w:w="3776" w:type="dxa"/>
            <w:shd w:val="clear" w:color="auto" w:fill="auto"/>
            <w:vAlign w:val="bottom"/>
            <w:hideMark/>
          </w:tcPr>
          <w:p w14:paraId="42E2D73B"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https://turanuniversity.kz</w:t>
            </w:r>
          </w:p>
        </w:tc>
        <w:tc>
          <w:tcPr>
            <w:tcW w:w="3518" w:type="dxa"/>
            <w:shd w:val="clear" w:color="auto" w:fill="auto"/>
            <w:vAlign w:val="bottom"/>
            <w:hideMark/>
          </w:tcPr>
          <w:p w14:paraId="1367B918"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0D348C3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3A8CB38B" w14:textId="77777777" w:rsidTr="00E047CD">
        <w:trPr>
          <w:trHeight w:val="288"/>
        </w:trPr>
        <w:tc>
          <w:tcPr>
            <w:tcW w:w="3776" w:type="dxa"/>
            <w:shd w:val="clear" w:color="auto" w:fill="auto"/>
            <w:vAlign w:val="bottom"/>
            <w:hideMark/>
          </w:tcPr>
          <w:p w14:paraId="282CB510"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https://edu-almaty.kz</w:t>
            </w:r>
          </w:p>
        </w:tc>
        <w:tc>
          <w:tcPr>
            <w:tcW w:w="3518" w:type="dxa"/>
            <w:shd w:val="clear" w:color="auto" w:fill="auto"/>
            <w:vAlign w:val="bottom"/>
            <w:hideMark/>
          </w:tcPr>
          <w:p w14:paraId="562ADF62"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45C891C3"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795383F9" w14:textId="77777777" w:rsidTr="00E047CD">
        <w:trPr>
          <w:trHeight w:val="288"/>
        </w:trPr>
        <w:tc>
          <w:tcPr>
            <w:tcW w:w="3776" w:type="dxa"/>
            <w:shd w:val="clear" w:color="auto" w:fill="auto"/>
            <w:vAlign w:val="bottom"/>
            <w:hideMark/>
          </w:tcPr>
          <w:p w14:paraId="42D09CD5"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https://suleyman.kz</w:t>
            </w:r>
          </w:p>
        </w:tc>
        <w:tc>
          <w:tcPr>
            <w:tcW w:w="3518" w:type="dxa"/>
            <w:shd w:val="clear" w:color="auto" w:fill="auto"/>
            <w:vAlign w:val="bottom"/>
            <w:hideMark/>
          </w:tcPr>
          <w:p w14:paraId="581D8034"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7ECC292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3E916FB3" w14:textId="77777777" w:rsidTr="00E047CD">
        <w:trPr>
          <w:trHeight w:val="288"/>
        </w:trPr>
        <w:tc>
          <w:tcPr>
            <w:tcW w:w="3776" w:type="dxa"/>
            <w:shd w:val="clear" w:color="auto" w:fill="auto"/>
            <w:vAlign w:val="bottom"/>
            <w:hideMark/>
          </w:tcPr>
          <w:p w14:paraId="13FADA53"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https://bolashak-edu.kz</w:t>
            </w:r>
          </w:p>
        </w:tc>
        <w:tc>
          <w:tcPr>
            <w:tcW w:w="3518" w:type="dxa"/>
            <w:shd w:val="clear" w:color="auto" w:fill="auto"/>
            <w:vAlign w:val="bottom"/>
            <w:hideMark/>
          </w:tcPr>
          <w:p w14:paraId="1996672A"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3A0074E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1AB3B8FC" w14:textId="77777777" w:rsidTr="00E047CD">
        <w:trPr>
          <w:trHeight w:val="288"/>
        </w:trPr>
        <w:tc>
          <w:tcPr>
            <w:tcW w:w="3776" w:type="dxa"/>
            <w:shd w:val="clear" w:color="auto" w:fill="auto"/>
            <w:vAlign w:val="bottom"/>
            <w:hideMark/>
          </w:tcPr>
          <w:p w14:paraId="6C76FF31"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https://qazaq-alash.kz</w:t>
            </w:r>
          </w:p>
        </w:tc>
        <w:tc>
          <w:tcPr>
            <w:tcW w:w="3518" w:type="dxa"/>
            <w:shd w:val="clear" w:color="auto" w:fill="auto"/>
            <w:vAlign w:val="bottom"/>
            <w:hideMark/>
          </w:tcPr>
          <w:p w14:paraId="2C28DA7C"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36529F3D"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1A879AF6" w14:textId="77777777" w:rsidTr="00E047CD">
        <w:trPr>
          <w:trHeight w:val="288"/>
        </w:trPr>
        <w:tc>
          <w:tcPr>
            <w:tcW w:w="3776" w:type="dxa"/>
            <w:shd w:val="clear" w:color="auto" w:fill="auto"/>
            <w:vAlign w:val="bottom"/>
            <w:hideMark/>
          </w:tcPr>
          <w:p w14:paraId="7BCC5C82"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https://astanacollege.kz</w:t>
            </w:r>
          </w:p>
        </w:tc>
        <w:tc>
          <w:tcPr>
            <w:tcW w:w="3518" w:type="dxa"/>
            <w:shd w:val="clear" w:color="auto" w:fill="auto"/>
            <w:vAlign w:val="bottom"/>
            <w:hideMark/>
          </w:tcPr>
          <w:p w14:paraId="6A05D392"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7C927B0D"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65803F46" w14:textId="77777777" w:rsidTr="00E047CD">
        <w:trPr>
          <w:trHeight w:val="288"/>
        </w:trPr>
        <w:tc>
          <w:tcPr>
            <w:tcW w:w="3776" w:type="dxa"/>
            <w:shd w:val="clear" w:color="auto" w:fill="auto"/>
            <w:vAlign w:val="bottom"/>
            <w:hideMark/>
          </w:tcPr>
          <w:p w14:paraId="5F507EF2"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https://yessenov.edu.kz</w:t>
            </w:r>
          </w:p>
        </w:tc>
        <w:tc>
          <w:tcPr>
            <w:tcW w:w="3518" w:type="dxa"/>
            <w:shd w:val="clear" w:color="auto" w:fill="auto"/>
            <w:vAlign w:val="bottom"/>
            <w:hideMark/>
          </w:tcPr>
          <w:p w14:paraId="2E22F0DE"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0D7F3E28"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48BC711F" w14:textId="77777777" w:rsidTr="00E047CD">
        <w:trPr>
          <w:trHeight w:val="288"/>
        </w:trPr>
        <w:tc>
          <w:tcPr>
            <w:tcW w:w="3776" w:type="dxa"/>
            <w:shd w:val="clear" w:color="auto" w:fill="auto"/>
            <w:vAlign w:val="bottom"/>
            <w:hideMark/>
          </w:tcPr>
          <w:p w14:paraId="040849DC"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https://qazaqschool.kz</w:t>
            </w:r>
          </w:p>
        </w:tc>
        <w:tc>
          <w:tcPr>
            <w:tcW w:w="3518" w:type="dxa"/>
            <w:shd w:val="clear" w:color="auto" w:fill="auto"/>
            <w:vAlign w:val="bottom"/>
            <w:hideMark/>
          </w:tcPr>
          <w:p w14:paraId="4D061FD7"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7F00474E"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64D4CE70" w14:textId="77777777" w:rsidTr="00E047CD">
        <w:trPr>
          <w:trHeight w:val="288"/>
        </w:trPr>
        <w:tc>
          <w:tcPr>
            <w:tcW w:w="3776" w:type="dxa"/>
            <w:shd w:val="clear" w:color="auto" w:fill="auto"/>
            <w:vAlign w:val="bottom"/>
            <w:hideMark/>
          </w:tcPr>
          <w:p w14:paraId="004CA0C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https://qazaqacademy.kz</w:t>
            </w:r>
          </w:p>
        </w:tc>
        <w:tc>
          <w:tcPr>
            <w:tcW w:w="3518" w:type="dxa"/>
            <w:shd w:val="clear" w:color="auto" w:fill="auto"/>
            <w:vAlign w:val="bottom"/>
            <w:hideMark/>
          </w:tcPr>
          <w:p w14:paraId="16C0EF6D"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02ADE91E"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3456083A" w14:textId="77777777" w:rsidTr="00E047CD">
        <w:trPr>
          <w:trHeight w:val="288"/>
        </w:trPr>
        <w:tc>
          <w:tcPr>
            <w:tcW w:w="3776" w:type="dxa"/>
            <w:shd w:val="clear" w:color="auto" w:fill="auto"/>
            <w:vAlign w:val="bottom"/>
            <w:hideMark/>
          </w:tcPr>
          <w:p w14:paraId="530086F8"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https://bolashakcol.kz</w:t>
            </w:r>
          </w:p>
        </w:tc>
        <w:tc>
          <w:tcPr>
            <w:tcW w:w="3518" w:type="dxa"/>
            <w:shd w:val="clear" w:color="auto" w:fill="auto"/>
            <w:vAlign w:val="bottom"/>
            <w:hideMark/>
          </w:tcPr>
          <w:p w14:paraId="5646CACF"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74DF448F"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10AD1C12" w14:textId="77777777" w:rsidTr="00E047CD">
        <w:trPr>
          <w:trHeight w:val="288"/>
        </w:trPr>
        <w:tc>
          <w:tcPr>
            <w:tcW w:w="3776" w:type="dxa"/>
            <w:shd w:val="clear" w:color="auto" w:fill="auto"/>
            <w:vAlign w:val="bottom"/>
            <w:hideMark/>
          </w:tcPr>
          <w:p w14:paraId="638670A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https://kz-university.kz</w:t>
            </w:r>
          </w:p>
        </w:tc>
        <w:tc>
          <w:tcPr>
            <w:tcW w:w="3518" w:type="dxa"/>
            <w:shd w:val="clear" w:color="auto" w:fill="auto"/>
            <w:vAlign w:val="bottom"/>
            <w:hideMark/>
          </w:tcPr>
          <w:p w14:paraId="379CEA32"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19D1621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7B173DD3" w14:textId="77777777" w:rsidTr="00E047CD">
        <w:trPr>
          <w:trHeight w:val="288"/>
        </w:trPr>
        <w:tc>
          <w:tcPr>
            <w:tcW w:w="3776" w:type="dxa"/>
            <w:shd w:val="clear" w:color="auto" w:fill="auto"/>
            <w:vAlign w:val="bottom"/>
            <w:hideMark/>
          </w:tcPr>
          <w:p w14:paraId="5C1AA0D9"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https://beyneusk.kz</w:t>
            </w:r>
          </w:p>
        </w:tc>
        <w:tc>
          <w:tcPr>
            <w:tcW w:w="3518" w:type="dxa"/>
            <w:shd w:val="clear" w:color="auto" w:fill="auto"/>
            <w:vAlign w:val="bottom"/>
            <w:hideMark/>
          </w:tcPr>
          <w:p w14:paraId="04999B8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c>
          <w:tcPr>
            <w:tcW w:w="2199" w:type="dxa"/>
            <w:shd w:val="clear" w:color="auto" w:fill="auto"/>
            <w:vAlign w:val="bottom"/>
            <w:hideMark/>
          </w:tcPr>
          <w:p w14:paraId="13F00C5E"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r w:rsidR="0001723B" w:rsidRPr="00FC469B" w14:paraId="3D938C66" w14:textId="77777777" w:rsidTr="00E047CD">
        <w:trPr>
          <w:trHeight w:val="288"/>
        </w:trPr>
        <w:tc>
          <w:tcPr>
            <w:tcW w:w="3776" w:type="dxa"/>
            <w:shd w:val="clear" w:color="auto" w:fill="auto"/>
            <w:vAlign w:val="bottom"/>
            <w:hideMark/>
          </w:tcPr>
          <w:p w14:paraId="45ABB30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https://korkyt.edu.kz</w:t>
            </w:r>
          </w:p>
        </w:tc>
        <w:tc>
          <w:tcPr>
            <w:tcW w:w="3518" w:type="dxa"/>
            <w:shd w:val="clear" w:color="auto" w:fill="auto"/>
            <w:vAlign w:val="bottom"/>
            <w:hideMark/>
          </w:tcPr>
          <w:p w14:paraId="66FFD242"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proofErr w:type="spellStart"/>
            <w:r w:rsidRPr="00FC469B">
              <w:rPr>
                <w:rFonts w:ascii="Times New Roman" w:eastAsia="Times New Roman" w:hAnsi="Times New Roman" w:cs="Times New Roman"/>
                <w:color w:val="000000"/>
                <w:sz w:val="26"/>
                <w:szCs w:val="26"/>
              </w:rPr>
              <w:t>artificial</w:t>
            </w:r>
            <w:proofErr w:type="spellEnd"/>
            <w:r w:rsidRPr="00FC469B">
              <w:rPr>
                <w:rFonts w:ascii="Times New Roman" w:eastAsia="Times New Roman" w:hAnsi="Times New Roman" w:cs="Times New Roman"/>
                <w:color w:val="000000"/>
                <w:sz w:val="26"/>
                <w:szCs w:val="26"/>
              </w:rPr>
              <w:t xml:space="preserve"> </w:t>
            </w:r>
            <w:proofErr w:type="spellStart"/>
            <w:r w:rsidRPr="00FC469B">
              <w:rPr>
                <w:rFonts w:ascii="Times New Roman" w:eastAsia="Times New Roman" w:hAnsi="Times New Roman" w:cs="Times New Roman"/>
                <w:color w:val="000000"/>
                <w:sz w:val="26"/>
                <w:szCs w:val="26"/>
              </w:rPr>
              <w:t>intelligence</w:t>
            </w:r>
            <w:proofErr w:type="spellEnd"/>
          </w:p>
        </w:tc>
        <w:tc>
          <w:tcPr>
            <w:tcW w:w="2199" w:type="dxa"/>
            <w:shd w:val="clear" w:color="auto" w:fill="auto"/>
            <w:vAlign w:val="bottom"/>
            <w:hideMark/>
          </w:tcPr>
          <w:p w14:paraId="7F320916" w14:textId="77777777" w:rsidR="0001723B" w:rsidRPr="00FC469B" w:rsidRDefault="0001723B" w:rsidP="00FC4291">
            <w:pPr>
              <w:spacing w:after="0" w:line="240" w:lineRule="auto"/>
              <w:rPr>
                <w:rFonts w:ascii="Times New Roman" w:eastAsia="Times New Roman" w:hAnsi="Times New Roman" w:cs="Times New Roman"/>
                <w:color w:val="000000"/>
                <w:sz w:val="26"/>
                <w:szCs w:val="26"/>
              </w:rPr>
            </w:pPr>
            <w:r w:rsidRPr="00FC469B">
              <w:rPr>
                <w:rFonts w:ascii="Times New Roman" w:eastAsia="Times New Roman" w:hAnsi="Times New Roman" w:cs="Times New Roman"/>
                <w:color w:val="000000"/>
                <w:sz w:val="26"/>
                <w:szCs w:val="26"/>
              </w:rPr>
              <w:t>No</w:t>
            </w:r>
          </w:p>
        </w:tc>
      </w:tr>
    </w:tbl>
    <w:p w14:paraId="25F6C934" w14:textId="77777777" w:rsidR="00921BD6" w:rsidRDefault="00921BD6" w:rsidP="00A01E0D">
      <w:pPr>
        <w:spacing w:line="240" w:lineRule="auto"/>
        <w:rPr>
          <w:rFonts w:ascii="Times New Roman" w:hAnsi="Times New Roman" w:cs="Times New Roman"/>
          <w:b/>
          <w:bCs/>
          <w:sz w:val="28"/>
          <w:szCs w:val="28"/>
          <w:lang w:val="en-US"/>
        </w:rPr>
      </w:pPr>
    </w:p>
    <w:p w14:paraId="5D1BBE88" w14:textId="55FA0363" w:rsidR="0001723B" w:rsidRDefault="0001723B" w:rsidP="0001723B">
      <w:pPr>
        <w:spacing w:line="240" w:lineRule="auto"/>
        <w:jc w:val="center"/>
        <w:rPr>
          <w:rFonts w:ascii="Times New Roman" w:hAnsi="Times New Roman" w:cs="Times New Roman"/>
          <w:b/>
          <w:bCs/>
          <w:sz w:val="28"/>
          <w:szCs w:val="28"/>
          <w:lang w:val="en-US"/>
        </w:rPr>
      </w:pPr>
      <w:r w:rsidRPr="00244343">
        <w:rPr>
          <w:rFonts w:ascii="Times New Roman" w:hAnsi="Times New Roman" w:cs="Times New Roman"/>
          <w:b/>
          <w:bCs/>
          <w:sz w:val="28"/>
          <w:szCs w:val="28"/>
          <w:lang w:val="en-US"/>
        </w:rPr>
        <w:lastRenderedPageBreak/>
        <w:t xml:space="preserve">APPENDIX </w:t>
      </w:r>
      <w:r w:rsidR="008E6E5F">
        <w:rPr>
          <w:rFonts w:ascii="Times New Roman" w:hAnsi="Times New Roman" w:cs="Times New Roman"/>
          <w:b/>
          <w:bCs/>
          <w:sz w:val="28"/>
          <w:szCs w:val="28"/>
          <w:lang w:val="en-US"/>
        </w:rPr>
        <w:t>E</w:t>
      </w:r>
    </w:p>
    <w:p w14:paraId="4498B25F" w14:textId="21CC192E" w:rsidR="0001723B" w:rsidRPr="002367BD" w:rsidRDefault="002367BD" w:rsidP="002367BD">
      <w:pPr>
        <w:spacing w:line="240" w:lineRule="auto"/>
        <w:jc w:val="both"/>
        <w:rPr>
          <w:rFonts w:ascii="Times New Roman" w:hAnsi="Times New Roman" w:cs="Times New Roman"/>
          <w:b/>
          <w:bCs/>
          <w:sz w:val="28"/>
          <w:szCs w:val="28"/>
          <w:lang w:val="en-US"/>
        </w:rPr>
      </w:pPr>
      <w:r>
        <w:rPr>
          <w:rFonts w:ascii="Times New Roman" w:hAnsi="Times New Roman" w:cs="Times New Roman"/>
          <w:b/>
          <w:bCs/>
          <w:noProof/>
          <w:sz w:val="28"/>
          <w:szCs w:val="28"/>
          <w:lang w:val="en-US"/>
        </w:rPr>
        <w:drawing>
          <wp:inline distT="0" distB="0" distL="0" distR="0" wp14:anchorId="4680A85E" wp14:editId="4AA7C8B8">
            <wp:extent cx="6058717" cy="87515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070598" cy="8768686"/>
                    </a:xfrm>
                    <a:prstGeom prst="rect">
                      <a:avLst/>
                    </a:prstGeom>
                    <a:noFill/>
                    <a:ln>
                      <a:noFill/>
                    </a:ln>
                  </pic:spPr>
                </pic:pic>
              </a:graphicData>
            </a:graphic>
          </wp:inline>
        </w:drawing>
      </w:r>
    </w:p>
    <w:sectPr w:rsidR="0001723B" w:rsidRPr="002367BD" w:rsidSect="00996F9A">
      <w:footerReference w:type="default" r:id="rId26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0184A" w14:textId="77777777" w:rsidR="002C6007" w:rsidRDefault="002C6007" w:rsidP="008C49B2">
      <w:pPr>
        <w:spacing w:after="0" w:line="240" w:lineRule="auto"/>
      </w:pPr>
      <w:r>
        <w:separator/>
      </w:r>
    </w:p>
  </w:endnote>
  <w:endnote w:type="continuationSeparator" w:id="0">
    <w:p w14:paraId="3B946436" w14:textId="77777777" w:rsidR="002C6007" w:rsidRDefault="002C6007" w:rsidP="008C4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1540052"/>
      <w:docPartObj>
        <w:docPartGallery w:val="Page Numbers (Bottom of Page)"/>
        <w:docPartUnique/>
      </w:docPartObj>
    </w:sdtPr>
    <w:sdtEndPr/>
    <w:sdtContent>
      <w:p w14:paraId="182D2237" w14:textId="3823BA87" w:rsidR="008D50B7" w:rsidRDefault="008D50B7">
        <w:pPr>
          <w:pStyle w:val="af4"/>
          <w:jc w:val="center"/>
        </w:pPr>
        <w:r>
          <w:fldChar w:fldCharType="begin"/>
        </w:r>
        <w:r>
          <w:instrText>PAGE   \* MERGEFORMAT</w:instrText>
        </w:r>
        <w:r>
          <w:fldChar w:fldCharType="separate"/>
        </w:r>
        <w:r>
          <w:t>2</w:t>
        </w:r>
        <w:r>
          <w:fldChar w:fldCharType="end"/>
        </w:r>
      </w:p>
    </w:sdtContent>
  </w:sdt>
  <w:p w14:paraId="15CD8D1C" w14:textId="77777777" w:rsidR="008D50B7" w:rsidRDefault="008D50B7">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8AFD5" w14:textId="77777777" w:rsidR="002C6007" w:rsidRDefault="002C6007" w:rsidP="008C49B2">
      <w:pPr>
        <w:spacing w:after="0" w:line="240" w:lineRule="auto"/>
      </w:pPr>
      <w:r>
        <w:separator/>
      </w:r>
    </w:p>
  </w:footnote>
  <w:footnote w:type="continuationSeparator" w:id="0">
    <w:p w14:paraId="2375AA57" w14:textId="77777777" w:rsidR="002C6007" w:rsidRDefault="002C6007" w:rsidP="008C49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314D"/>
    <w:multiLevelType w:val="multilevel"/>
    <w:tmpl w:val="36AAA2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66867"/>
    <w:multiLevelType w:val="hybridMultilevel"/>
    <w:tmpl w:val="CB4013F4"/>
    <w:lvl w:ilvl="0" w:tplc="2000000D">
      <w:start w:val="1"/>
      <w:numFmt w:val="bullet"/>
      <w:lvlText w:val=""/>
      <w:lvlJc w:val="left"/>
      <w:pPr>
        <w:ind w:left="699" w:hanging="360"/>
      </w:pPr>
      <w:rPr>
        <w:rFonts w:ascii="Wingdings" w:hAnsi="Wingdings" w:hint="default"/>
      </w:rPr>
    </w:lvl>
    <w:lvl w:ilvl="1" w:tplc="20000003" w:tentative="1">
      <w:start w:val="1"/>
      <w:numFmt w:val="bullet"/>
      <w:lvlText w:val="o"/>
      <w:lvlJc w:val="left"/>
      <w:pPr>
        <w:ind w:left="1419" w:hanging="360"/>
      </w:pPr>
      <w:rPr>
        <w:rFonts w:ascii="Courier New" w:hAnsi="Courier New" w:cs="Courier New" w:hint="default"/>
      </w:rPr>
    </w:lvl>
    <w:lvl w:ilvl="2" w:tplc="20000005" w:tentative="1">
      <w:start w:val="1"/>
      <w:numFmt w:val="bullet"/>
      <w:lvlText w:val=""/>
      <w:lvlJc w:val="left"/>
      <w:pPr>
        <w:ind w:left="2139" w:hanging="360"/>
      </w:pPr>
      <w:rPr>
        <w:rFonts w:ascii="Wingdings" w:hAnsi="Wingdings" w:hint="default"/>
      </w:rPr>
    </w:lvl>
    <w:lvl w:ilvl="3" w:tplc="20000001" w:tentative="1">
      <w:start w:val="1"/>
      <w:numFmt w:val="bullet"/>
      <w:lvlText w:val=""/>
      <w:lvlJc w:val="left"/>
      <w:pPr>
        <w:ind w:left="2859" w:hanging="360"/>
      </w:pPr>
      <w:rPr>
        <w:rFonts w:ascii="Symbol" w:hAnsi="Symbol" w:hint="default"/>
      </w:rPr>
    </w:lvl>
    <w:lvl w:ilvl="4" w:tplc="20000003" w:tentative="1">
      <w:start w:val="1"/>
      <w:numFmt w:val="bullet"/>
      <w:lvlText w:val="o"/>
      <w:lvlJc w:val="left"/>
      <w:pPr>
        <w:ind w:left="3579" w:hanging="360"/>
      </w:pPr>
      <w:rPr>
        <w:rFonts w:ascii="Courier New" w:hAnsi="Courier New" w:cs="Courier New" w:hint="default"/>
      </w:rPr>
    </w:lvl>
    <w:lvl w:ilvl="5" w:tplc="20000005" w:tentative="1">
      <w:start w:val="1"/>
      <w:numFmt w:val="bullet"/>
      <w:lvlText w:val=""/>
      <w:lvlJc w:val="left"/>
      <w:pPr>
        <w:ind w:left="4299" w:hanging="360"/>
      </w:pPr>
      <w:rPr>
        <w:rFonts w:ascii="Wingdings" w:hAnsi="Wingdings" w:hint="default"/>
      </w:rPr>
    </w:lvl>
    <w:lvl w:ilvl="6" w:tplc="20000001" w:tentative="1">
      <w:start w:val="1"/>
      <w:numFmt w:val="bullet"/>
      <w:lvlText w:val=""/>
      <w:lvlJc w:val="left"/>
      <w:pPr>
        <w:ind w:left="5019" w:hanging="360"/>
      </w:pPr>
      <w:rPr>
        <w:rFonts w:ascii="Symbol" w:hAnsi="Symbol" w:hint="default"/>
      </w:rPr>
    </w:lvl>
    <w:lvl w:ilvl="7" w:tplc="20000003" w:tentative="1">
      <w:start w:val="1"/>
      <w:numFmt w:val="bullet"/>
      <w:lvlText w:val="o"/>
      <w:lvlJc w:val="left"/>
      <w:pPr>
        <w:ind w:left="5739" w:hanging="360"/>
      </w:pPr>
      <w:rPr>
        <w:rFonts w:ascii="Courier New" w:hAnsi="Courier New" w:cs="Courier New" w:hint="default"/>
      </w:rPr>
    </w:lvl>
    <w:lvl w:ilvl="8" w:tplc="20000005" w:tentative="1">
      <w:start w:val="1"/>
      <w:numFmt w:val="bullet"/>
      <w:lvlText w:val=""/>
      <w:lvlJc w:val="left"/>
      <w:pPr>
        <w:ind w:left="6459" w:hanging="360"/>
      </w:pPr>
      <w:rPr>
        <w:rFonts w:ascii="Wingdings" w:hAnsi="Wingdings" w:hint="default"/>
      </w:rPr>
    </w:lvl>
  </w:abstractNum>
  <w:abstractNum w:abstractNumId="2" w15:restartNumberingAfterBreak="0">
    <w:nsid w:val="06300FD5"/>
    <w:multiLevelType w:val="multilevel"/>
    <w:tmpl w:val="47084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F68FE"/>
    <w:multiLevelType w:val="hybridMultilevel"/>
    <w:tmpl w:val="5AF60EEA"/>
    <w:styleLink w:val="4"/>
    <w:lvl w:ilvl="0" w:tplc="8A8CBD1C">
      <w:start w:val="1"/>
      <w:numFmt w:val="decimal"/>
      <w:lvlText w:val="%1."/>
      <w:lvlJc w:val="left"/>
      <w:pPr>
        <w:tabs>
          <w:tab w:val="left" w:pos="709"/>
          <w:tab w:val="left" w:pos="993"/>
        </w:tabs>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6C07C2">
      <w:start w:val="1"/>
      <w:numFmt w:val="lowerLetter"/>
      <w:lvlText w:val="%2."/>
      <w:lvlJc w:val="left"/>
      <w:pPr>
        <w:tabs>
          <w:tab w:val="left" w:pos="709"/>
        </w:tabs>
        <w:ind w:left="993" w:hanging="2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540D58">
      <w:start w:val="1"/>
      <w:numFmt w:val="lowerRoman"/>
      <w:lvlText w:val="%3."/>
      <w:lvlJc w:val="left"/>
      <w:pPr>
        <w:tabs>
          <w:tab w:val="left" w:pos="709"/>
          <w:tab w:val="left" w:pos="993"/>
        </w:tabs>
        <w:ind w:left="200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4307B64">
      <w:start w:val="1"/>
      <w:numFmt w:val="decimal"/>
      <w:lvlText w:val="%4."/>
      <w:lvlJc w:val="left"/>
      <w:pPr>
        <w:tabs>
          <w:tab w:val="left" w:pos="709"/>
          <w:tab w:val="left" w:pos="993"/>
        </w:tabs>
        <w:ind w:left="272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02883E">
      <w:start w:val="1"/>
      <w:numFmt w:val="lowerLetter"/>
      <w:lvlText w:val="%5."/>
      <w:lvlJc w:val="left"/>
      <w:pPr>
        <w:tabs>
          <w:tab w:val="left" w:pos="709"/>
          <w:tab w:val="left" w:pos="993"/>
        </w:tabs>
        <w:ind w:left="344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483D84">
      <w:start w:val="1"/>
      <w:numFmt w:val="lowerRoman"/>
      <w:lvlText w:val="%6."/>
      <w:lvlJc w:val="left"/>
      <w:pPr>
        <w:tabs>
          <w:tab w:val="left" w:pos="709"/>
          <w:tab w:val="left" w:pos="993"/>
        </w:tabs>
        <w:ind w:left="416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AC00A6">
      <w:start w:val="1"/>
      <w:numFmt w:val="decimal"/>
      <w:lvlText w:val="%7."/>
      <w:lvlJc w:val="left"/>
      <w:pPr>
        <w:tabs>
          <w:tab w:val="left" w:pos="709"/>
          <w:tab w:val="left" w:pos="993"/>
        </w:tabs>
        <w:ind w:left="48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782B20">
      <w:start w:val="1"/>
      <w:numFmt w:val="lowerLetter"/>
      <w:lvlText w:val="%8."/>
      <w:lvlJc w:val="left"/>
      <w:pPr>
        <w:tabs>
          <w:tab w:val="left" w:pos="709"/>
          <w:tab w:val="left" w:pos="993"/>
        </w:tabs>
        <w:ind w:left="560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50F292">
      <w:start w:val="1"/>
      <w:numFmt w:val="lowerRoman"/>
      <w:lvlText w:val="%9."/>
      <w:lvlJc w:val="left"/>
      <w:pPr>
        <w:tabs>
          <w:tab w:val="left" w:pos="709"/>
          <w:tab w:val="left" w:pos="993"/>
        </w:tabs>
        <w:ind w:left="632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7755049"/>
    <w:multiLevelType w:val="hybridMultilevel"/>
    <w:tmpl w:val="344CA456"/>
    <w:lvl w:ilvl="0" w:tplc="F0A6B206">
      <w:start w:val="1"/>
      <w:numFmt w:val="decimal"/>
      <w:lvlText w:val="%1"/>
      <w:lvlJc w:val="left"/>
      <w:pPr>
        <w:ind w:left="3054" w:hanging="360"/>
      </w:pPr>
      <w:rPr>
        <w:rFonts w:ascii="Times New Roman" w:hAnsi="Times New Roman" w:cs="Times New Roman" w:hint="default"/>
        <w:color w:val="auto"/>
        <w:sz w:val="28"/>
        <w:szCs w:val="28"/>
      </w:rPr>
    </w:lvl>
    <w:lvl w:ilvl="1" w:tplc="20000019" w:tentative="1">
      <w:start w:val="1"/>
      <w:numFmt w:val="lowerLetter"/>
      <w:lvlText w:val="%2."/>
      <w:lvlJc w:val="left"/>
      <w:pPr>
        <w:ind w:left="3775" w:hanging="360"/>
      </w:pPr>
    </w:lvl>
    <w:lvl w:ilvl="2" w:tplc="2000001B" w:tentative="1">
      <w:start w:val="1"/>
      <w:numFmt w:val="lowerRoman"/>
      <w:lvlText w:val="%3."/>
      <w:lvlJc w:val="right"/>
      <w:pPr>
        <w:ind w:left="4495" w:hanging="180"/>
      </w:pPr>
    </w:lvl>
    <w:lvl w:ilvl="3" w:tplc="2000000F" w:tentative="1">
      <w:start w:val="1"/>
      <w:numFmt w:val="decimal"/>
      <w:lvlText w:val="%4."/>
      <w:lvlJc w:val="left"/>
      <w:pPr>
        <w:ind w:left="5215" w:hanging="360"/>
      </w:pPr>
    </w:lvl>
    <w:lvl w:ilvl="4" w:tplc="20000019" w:tentative="1">
      <w:start w:val="1"/>
      <w:numFmt w:val="lowerLetter"/>
      <w:lvlText w:val="%5."/>
      <w:lvlJc w:val="left"/>
      <w:pPr>
        <w:ind w:left="5935" w:hanging="360"/>
      </w:pPr>
    </w:lvl>
    <w:lvl w:ilvl="5" w:tplc="2000001B" w:tentative="1">
      <w:start w:val="1"/>
      <w:numFmt w:val="lowerRoman"/>
      <w:lvlText w:val="%6."/>
      <w:lvlJc w:val="right"/>
      <w:pPr>
        <w:ind w:left="6655" w:hanging="180"/>
      </w:pPr>
    </w:lvl>
    <w:lvl w:ilvl="6" w:tplc="2000000F" w:tentative="1">
      <w:start w:val="1"/>
      <w:numFmt w:val="decimal"/>
      <w:lvlText w:val="%7."/>
      <w:lvlJc w:val="left"/>
      <w:pPr>
        <w:ind w:left="7375" w:hanging="360"/>
      </w:pPr>
    </w:lvl>
    <w:lvl w:ilvl="7" w:tplc="20000019" w:tentative="1">
      <w:start w:val="1"/>
      <w:numFmt w:val="lowerLetter"/>
      <w:lvlText w:val="%8."/>
      <w:lvlJc w:val="left"/>
      <w:pPr>
        <w:ind w:left="8095" w:hanging="360"/>
      </w:pPr>
    </w:lvl>
    <w:lvl w:ilvl="8" w:tplc="2000001B" w:tentative="1">
      <w:start w:val="1"/>
      <w:numFmt w:val="lowerRoman"/>
      <w:lvlText w:val="%9."/>
      <w:lvlJc w:val="right"/>
      <w:pPr>
        <w:ind w:left="8815" w:hanging="180"/>
      </w:pPr>
    </w:lvl>
  </w:abstractNum>
  <w:abstractNum w:abstractNumId="5" w15:restartNumberingAfterBreak="0">
    <w:nsid w:val="07C544F0"/>
    <w:multiLevelType w:val="hybridMultilevel"/>
    <w:tmpl w:val="C64CF3E8"/>
    <w:lvl w:ilvl="0" w:tplc="CA5EF04A">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7D4847"/>
    <w:multiLevelType w:val="hybridMultilevel"/>
    <w:tmpl w:val="378C436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064180"/>
    <w:multiLevelType w:val="multilevel"/>
    <w:tmpl w:val="12F46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9370F6"/>
    <w:multiLevelType w:val="multilevel"/>
    <w:tmpl w:val="671C138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ascii="Times New Roman" w:hAnsi="Times New Roman" w:cs="Times New Roman"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320625B"/>
    <w:multiLevelType w:val="multilevel"/>
    <w:tmpl w:val="AE6AC292"/>
    <w:lvl w:ilvl="0">
      <w:start w:val="1"/>
      <w:numFmt w:val="decimal"/>
      <w:lvlText w:val="%1."/>
      <w:lvlJc w:val="left"/>
      <w:pPr>
        <w:tabs>
          <w:tab w:val="num" w:pos="812"/>
        </w:tabs>
        <w:ind w:left="812" w:hanging="360"/>
      </w:pPr>
      <w:rPr>
        <w:rFonts w:ascii="Times New Roman" w:eastAsia="Times New Roman" w:hAnsi="Times New Roman" w:cs="Times New Roman"/>
        <w:b w:val="0"/>
        <w:bCs w:val="0"/>
      </w:rPr>
    </w:lvl>
    <w:lvl w:ilvl="1" w:tentative="1">
      <w:start w:val="1"/>
      <w:numFmt w:val="decimal"/>
      <w:lvlText w:val="%2."/>
      <w:lvlJc w:val="left"/>
      <w:pPr>
        <w:tabs>
          <w:tab w:val="num" w:pos="1532"/>
        </w:tabs>
        <w:ind w:left="1532" w:hanging="360"/>
      </w:pPr>
    </w:lvl>
    <w:lvl w:ilvl="2" w:tentative="1">
      <w:start w:val="1"/>
      <w:numFmt w:val="decimal"/>
      <w:lvlText w:val="%3."/>
      <w:lvlJc w:val="left"/>
      <w:pPr>
        <w:tabs>
          <w:tab w:val="num" w:pos="2252"/>
        </w:tabs>
        <w:ind w:left="2252" w:hanging="360"/>
      </w:pPr>
    </w:lvl>
    <w:lvl w:ilvl="3" w:tentative="1">
      <w:start w:val="1"/>
      <w:numFmt w:val="decimal"/>
      <w:lvlText w:val="%4."/>
      <w:lvlJc w:val="left"/>
      <w:pPr>
        <w:tabs>
          <w:tab w:val="num" w:pos="2972"/>
        </w:tabs>
        <w:ind w:left="2972" w:hanging="360"/>
      </w:pPr>
    </w:lvl>
    <w:lvl w:ilvl="4" w:tentative="1">
      <w:start w:val="1"/>
      <w:numFmt w:val="decimal"/>
      <w:lvlText w:val="%5."/>
      <w:lvlJc w:val="left"/>
      <w:pPr>
        <w:tabs>
          <w:tab w:val="num" w:pos="3692"/>
        </w:tabs>
        <w:ind w:left="3692" w:hanging="360"/>
      </w:pPr>
    </w:lvl>
    <w:lvl w:ilvl="5" w:tentative="1">
      <w:start w:val="1"/>
      <w:numFmt w:val="decimal"/>
      <w:lvlText w:val="%6."/>
      <w:lvlJc w:val="left"/>
      <w:pPr>
        <w:tabs>
          <w:tab w:val="num" w:pos="4412"/>
        </w:tabs>
        <w:ind w:left="4412" w:hanging="360"/>
      </w:pPr>
    </w:lvl>
    <w:lvl w:ilvl="6" w:tentative="1">
      <w:start w:val="1"/>
      <w:numFmt w:val="decimal"/>
      <w:lvlText w:val="%7."/>
      <w:lvlJc w:val="left"/>
      <w:pPr>
        <w:tabs>
          <w:tab w:val="num" w:pos="5132"/>
        </w:tabs>
        <w:ind w:left="5132" w:hanging="360"/>
      </w:pPr>
    </w:lvl>
    <w:lvl w:ilvl="7" w:tentative="1">
      <w:start w:val="1"/>
      <w:numFmt w:val="decimal"/>
      <w:lvlText w:val="%8."/>
      <w:lvlJc w:val="left"/>
      <w:pPr>
        <w:tabs>
          <w:tab w:val="num" w:pos="5852"/>
        </w:tabs>
        <w:ind w:left="5852" w:hanging="360"/>
      </w:pPr>
    </w:lvl>
    <w:lvl w:ilvl="8" w:tentative="1">
      <w:start w:val="1"/>
      <w:numFmt w:val="decimal"/>
      <w:lvlText w:val="%9."/>
      <w:lvlJc w:val="left"/>
      <w:pPr>
        <w:tabs>
          <w:tab w:val="num" w:pos="6572"/>
        </w:tabs>
        <w:ind w:left="6572" w:hanging="360"/>
      </w:pPr>
    </w:lvl>
  </w:abstractNum>
  <w:abstractNum w:abstractNumId="10" w15:restartNumberingAfterBreak="0">
    <w:nsid w:val="1B2472CA"/>
    <w:multiLevelType w:val="multilevel"/>
    <w:tmpl w:val="F5EAD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116BB9"/>
    <w:multiLevelType w:val="hybridMultilevel"/>
    <w:tmpl w:val="E2882326"/>
    <w:lvl w:ilvl="0" w:tplc="CA5EF04A">
      <w:numFmt w:val="bullet"/>
      <w:lvlText w:val="-"/>
      <w:lvlJc w:val="left"/>
      <w:pPr>
        <w:ind w:left="1440" w:hanging="360"/>
      </w:pPr>
      <w:rPr>
        <w:rFonts w:ascii="Calibri" w:eastAsiaTheme="minorHAnsi" w:hAnsi="Calibri" w:cs="Calibr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FEB43A7"/>
    <w:multiLevelType w:val="multilevel"/>
    <w:tmpl w:val="4708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E1078D"/>
    <w:multiLevelType w:val="multilevel"/>
    <w:tmpl w:val="9642F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1C2E21"/>
    <w:multiLevelType w:val="multilevel"/>
    <w:tmpl w:val="432AF52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F76E6A"/>
    <w:multiLevelType w:val="multilevel"/>
    <w:tmpl w:val="AE6AC292"/>
    <w:lvl w:ilvl="0">
      <w:start w:val="1"/>
      <w:numFmt w:val="decimal"/>
      <w:lvlText w:val="%1."/>
      <w:lvlJc w:val="left"/>
      <w:pPr>
        <w:tabs>
          <w:tab w:val="num" w:pos="699"/>
        </w:tabs>
        <w:ind w:left="699" w:hanging="360"/>
      </w:pPr>
      <w:rPr>
        <w:rFonts w:ascii="Times New Roman" w:eastAsia="Times New Roman" w:hAnsi="Times New Roman" w:cs="Times New Roman"/>
        <w:b w:val="0"/>
        <w:bCs w:val="0"/>
      </w:rPr>
    </w:lvl>
    <w:lvl w:ilvl="1" w:tentative="1">
      <w:start w:val="1"/>
      <w:numFmt w:val="decimal"/>
      <w:lvlText w:val="%2."/>
      <w:lvlJc w:val="left"/>
      <w:pPr>
        <w:tabs>
          <w:tab w:val="num" w:pos="1419"/>
        </w:tabs>
        <w:ind w:left="1419" w:hanging="360"/>
      </w:pPr>
    </w:lvl>
    <w:lvl w:ilvl="2" w:tentative="1">
      <w:start w:val="1"/>
      <w:numFmt w:val="decimal"/>
      <w:lvlText w:val="%3."/>
      <w:lvlJc w:val="left"/>
      <w:pPr>
        <w:tabs>
          <w:tab w:val="num" w:pos="2139"/>
        </w:tabs>
        <w:ind w:left="2139" w:hanging="360"/>
      </w:pPr>
    </w:lvl>
    <w:lvl w:ilvl="3" w:tentative="1">
      <w:start w:val="1"/>
      <w:numFmt w:val="decimal"/>
      <w:lvlText w:val="%4."/>
      <w:lvlJc w:val="left"/>
      <w:pPr>
        <w:tabs>
          <w:tab w:val="num" w:pos="2859"/>
        </w:tabs>
        <w:ind w:left="2859" w:hanging="360"/>
      </w:pPr>
    </w:lvl>
    <w:lvl w:ilvl="4" w:tentative="1">
      <w:start w:val="1"/>
      <w:numFmt w:val="decimal"/>
      <w:lvlText w:val="%5."/>
      <w:lvlJc w:val="left"/>
      <w:pPr>
        <w:tabs>
          <w:tab w:val="num" w:pos="3579"/>
        </w:tabs>
        <w:ind w:left="3579" w:hanging="360"/>
      </w:pPr>
    </w:lvl>
    <w:lvl w:ilvl="5" w:tentative="1">
      <w:start w:val="1"/>
      <w:numFmt w:val="decimal"/>
      <w:lvlText w:val="%6."/>
      <w:lvlJc w:val="left"/>
      <w:pPr>
        <w:tabs>
          <w:tab w:val="num" w:pos="4299"/>
        </w:tabs>
        <w:ind w:left="4299" w:hanging="360"/>
      </w:pPr>
    </w:lvl>
    <w:lvl w:ilvl="6" w:tentative="1">
      <w:start w:val="1"/>
      <w:numFmt w:val="decimal"/>
      <w:lvlText w:val="%7."/>
      <w:lvlJc w:val="left"/>
      <w:pPr>
        <w:tabs>
          <w:tab w:val="num" w:pos="5019"/>
        </w:tabs>
        <w:ind w:left="5019" w:hanging="360"/>
      </w:pPr>
    </w:lvl>
    <w:lvl w:ilvl="7" w:tentative="1">
      <w:start w:val="1"/>
      <w:numFmt w:val="decimal"/>
      <w:lvlText w:val="%8."/>
      <w:lvlJc w:val="left"/>
      <w:pPr>
        <w:tabs>
          <w:tab w:val="num" w:pos="5739"/>
        </w:tabs>
        <w:ind w:left="5739" w:hanging="360"/>
      </w:pPr>
    </w:lvl>
    <w:lvl w:ilvl="8" w:tentative="1">
      <w:start w:val="1"/>
      <w:numFmt w:val="decimal"/>
      <w:lvlText w:val="%9."/>
      <w:lvlJc w:val="left"/>
      <w:pPr>
        <w:tabs>
          <w:tab w:val="num" w:pos="6459"/>
        </w:tabs>
        <w:ind w:left="6459" w:hanging="360"/>
      </w:pPr>
    </w:lvl>
  </w:abstractNum>
  <w:abstractNum w:abstractNumId="16" w15:restartNumberingAfterBreak="0">
    <w:nsid w:val="28674094"/>
    <w:multiLevelType w:val="hybridMultilevel"/>
    <w:tmpl w:val="6BDC67E2"/>
    <w:lvl w:ilvl="0" w:tplc="CA5EF04A">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28A33500"/>
    <w:multiLevelType w:val="hybridMultilevel"/>
    <w:tmpl w:val="18AA7F4E"/>
    <w:lvl w:ilvl="0" w:tplc="CA5EF04A">
      <w:numFmt w:val="bullet"/>
      <w:lvlText w:val="-"/>
      <w:lvlJc w:val="left"/>
      <w:pPr>
        <w:ind w:left="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C446CFA"/>
    <w:multiLevelType w:val="multilevel"/>
    <w:tmpl w:val="1E0E5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C00A93"/>
    <w:multiLevelType w:val="multilevel"/>
    <w:tmpl w:val="ECF4D6F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0" w15:restartNumberingAfterBreak="0">
    <w:nsid w:val="33E76F1E"/>
    <w:multiLevelType w:val="hybridMultilevel"/>
    <w:tmpl w:val="D2C42AF2"/>
    <w:lvl w:ilvl="0" w:tplc="9EE6719C">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F90519"/>
    <w:multiLevelType w:val="multilevel"/>
    <w:tmpl w:val="36AAA2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1D0B7B"/>
    <w:multiLevelType w:val="multilevel"/>
    <w:tmpl w:val="23D65138"/>
    <w:lvl w:ilvl="0">
      <w:start w:val="1"/>
      <w:numFmt w:val="decimal"/>
      <w:lvlText w:val="%1."/>
      <w:lvlJc w:val="left"/>
      <w:pPr>
        <w:ind w:left="720" w:hanging="360"/>
      </w:pPr>
      <w:rPr>
        <w:sz w:val="28"/>
        <w:szCs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35814692"/>
    <w:multiLevelType w:val="hybridMultilevel"/>
    <w:tmpl w:val="1F0EB958"/>
    <w:lvl w:ilvl="0" w:tplc="CA5EF04A">
      <w:numFmt w:val="bullet"/>
      <w:lvlText w:val="-"/>
      <w:lvlJc w:val="left"/>
      <w:pPr>
        <w:ind w:left="684" w:hanging="360"/>
      </w:pPr>
      <w:rPr>
        <w:rFonts w:ascii="Calibri" w:eastAsiaTheme="minorHAnsi" w:hAnsi="Calibri" w:cs="Calibri" w:hint="default"/>
      </w:rPr>
    </w:lvl>
    <w:lvl w:ilvl="1" w:tplc="04190003" w:tentative="1">
      <w:start w:val="1"/>
      <w:numFmt w:val="bullet"/>
      <w:lvlText w:val="o"/>
      <w:lvlJc w:val="left"/>
      <w:pPr>
        <w:ind w:left="1404" w:hanging="360"/>
      </w:pPr>
      <w:rPr>
        <w:rFonts w:ascii="Courier New" w:hAnsi="Courier New" w:cs="Courier New" w:hint="default"/>
      </w:rPr>
    </w:lvl>
    <w:lvl w:ilvl="2" w:tplc="04190005" w:tentative="1">
      <w:start w:val="1"/>
      <w:numFmt w:val="bullet"/>
      <w:lvlText w:val=""/>
      <w:lvlJc w:val="left"/>
      <w:pPr>
        <w:ind w:left="2124" w:hanging="360"/>
      </w:pPr>
      <w:rPr>
        <w:rFonts w:ascii="Wingdings" w:hAnsi="Wingdings" w:hint="default"/>
      </w:rPr>
    </w:lvl>
    <w:lvl w:ilvl="3" w:tplc="04190001" w:tentative="1">
      <w:start w:val="1"/>
      <w:numFmt w:val="bullet"/>
      <w:lvlText w:val=""/>
      <w:lvlJc w:val="left"/>
      <w:pPr>
        <w:ind w:left="2844" w:hanging="360"/>
      </w:pPr>
      <w:rPr>
        <w:rFonts w:ascii="Symbol" w:hAnsi="Symbol" w:hint="default"/>
      </w:rPr>
    </w:lvl>
    <w:lvl w:ilvl="4" w:tplc="04190003" w:tentative="1">
      <w:start w:val="1"/>
      <w:numFmt w:val="bullet"/>
      <w:lvlText w:val="o"/>
      <w:lvlJc w:val="left"/>
      <w:pPr>
        <w:ind w:left="3564" w:hanging="360"/>
      </w:pPr>
      <w:rPr>
        <w:rFonts w:ascii="Courier New" w:hAnsi="Courier New" w:cs="Courier New" w:hint="default"/>
      </w:rPr>
    </w:lvl>
    <w:lvl w:ilvl="5" w:tplc="04190005" w:tentative="1">
      <w:start w:val="1"/>
      <w:numFmt w:val="bullet"/>
      <w:lvlText w:val=""/>
      <w:lvlJc w:val="left"/>
      <w:pPr>
        <w:ind w:left="4284" w:hanging="360"/>
      </w:pPr>
      <w:rPr>
        <w:rFonts w:ascii="Wingdings" w:hAnsi="Wingdings" w:hint="default"/>
      </w:rPr>
    </w:lvl>
    <w:lvl w:ilvl="6" w:tplc="04190001" w:tentative="1">
      <w:start w:val="1"/>
      <w:numFmt w:val="bullet"/>
      <w:lvlText w:val=""/>
      <w:lvlJc w:val="left"/>
      <w:pPr>
        <w:ind w:left="5004" w:hanging="360"/>
      </w:pPr>
      <w:rPr>
        <w:rFonts w:ascii="Symbol" w:hAnsi="Symbol" w:hint="default"/>
      </w:rPr>
    </w:lvl>
    <w:lvl w:ilvl="7" w:tplc="04190003" w:tentative="1">
      <w:start w:val="1"/>
      <w:numFmt w:val="bullet"/>
      <w:lvlText w:val="o"/>
      <w:lvlJc w:val="left"/>
      <w:pPr>
        <w:ind w:left="5724" w:hanging="360"/>
      </w:pPr>
      <w:rPr>
        <w:rFonts w:ascii="Courier New" w:hAnsi="Courier New" w:cs="Courier New" w:hint="default"/>
      </w:rPr>
    </w:lvl>
    <w:lvl w:ilvl="8" w:tplc="04190005" w:tentative="1">
      <w:start w:val="1"/>
      <w:numFmt w:val="bullet"/>
      <w:lvlText w:val=""/>
      <w:lvlJc w:val="left"/>
      <w:pPr>
        <w:ind w:left="6444" w:hanging="360"/>
      </w:pPr>
      <w:rPr>
        <w:rFonts w:ascii="Wingdings" w:hAnsi="Wingdings" w:hint="default"/>
      </w:rPr>
    </w:lvl>
  </w:abstractNum>
  <w:abstractNum w:abstractNumId="24" w15:restartNumberingAfterBreak="0">
    <w:nsid w:val="3D2328E5"/>
    <w:multiLevelType w:val="hybridMultilevel"/>
    <w:tmpl w:val="CA245804"/>
    <w:lvl w:ilvl="0" w:tplc="6AD83822">
      <w:start w:val="1"/>
      <w:numFmt w:val="decimal"/>
      <w:lvlText w:val="%1 "/>
      <w:lvlJc w:val="center"/>
      <w:pPr>
        <w:ind w:left="36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254" w:hanging="360"/>
      </w:pPr>
    </w:lvl>
    <w:lvl w:ilvl="2" w:tplc="0419001B" w:tentative="1">
      <w:start w:val="1"/>
      <w:numFmt w:val="lowerRoman"/>
      <w:lvlText w:val="%3."/>
      <w:lvlJc w:val="right"/>
      <w:pPr>
        <w:ind w:left="-534" w:hanging="180"/>
      </w:pPr>
    </w:lvl>
    <w:lvl w:ilvl="3" w:tplc="0419000F" w:tentative="1">
      <w:start w:val="1"/>
      <w:numFmt w:val="decimal"/>
      <w:lvlText w:val="%4."/>
      <w:lvlJc w:val="left"/>
      <w:pPr>
        <w:ind w:left="186" w:hanging="360"/>
      </w:pPr>
    </w:lvl>
    <w:lvl w:ilvl="4" w:tplc="04190019" w:tentative="1">
      <w:start w:val="1"/>
      <w:numFmt w:val="lowerLetter"/>
      <w:lvlText w:val="%5."/>
      <w:lvlJc w:val="left"/>
      <w:pPr>
        <w:ind w:left="906" w:hanging="360"/>
      </w:pPr>
    </w:lvl>
    <w:lvl w:ilvl="5" w:tplc="0419001B" w:tentative="1">
      <w:start w:val="1"/>
      <w:numFmt w:val="lowerRoman"/>
      <w:lvlText w:val="%6."/>
      <w:lvlJc w:val="right"/>
      <w:pPr>
        <w:ind w:left="1626" w:hanging="180"/>
      </w:pPr>
    </w:lvl>
    <w:lvl w:ilvl="6" w:tplc="0419000F" w:tentative="1">
      <w:start w:val="1"/>
      <w:numFmt w:val="decimal"/>
      <w:lvlText w:val="%7."/>
      <w:lvlJc w:val="left"/>
      <w:pPr>
        <w:ind w:left="2346" w:hanging="360"/>
      </w:pPr>
    </w:lvl>
    <w:lvl w:ilvl="7" w:tplc="04190019" w:tentative="1">
      <w:start w:val="1"/>
      <w:numFmt w:val="lowerLetter"/>
      <w:lvlText w:val="%8."/>
      <w:lvlJc w:val="left"/>
      <w:pPr>
        <w:ind w:left="3066" w:hanging="360"/>
      </w:pPr>
    </w:lvl>
    <w:lvl w:ilvl="8" w:tplc="0419001B" w:tentative="1">
      <w:start w:val="1"/>
      <w:numFmt w:val="lowerRoman"/>
      <w:lvlText w:val="%9."/>
      <w:lvlJc w:val="right"/>
      <w:pPr>
        <w:ind w:left="3786" w:hanging="180"/>
      </w:pPr>
    </w:lvl>
  </w:abstractNum>
  <w:abstractNum w:abstractNumId="25" w15:restartNumberingAfterBreak="0">
    <w:nsid w:val="44F06B08"/>
    <w:multiLevelType w:val="multilevel"/>
    <w:tmpl w:val="AD7277AA"/>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6" w15:restartNumberingAfterBreak="0">
    <w:nsid w:val="470F461F"/>
    <w:multiLevelType w:val="hybridMultilevel"/>
    <w:tmpl w:val="0F964A12"/>
    <w:lvl w:ilvl="0" w:tplc="04190011">
      <w:start w:val="1"/>
      <w:numFmt w:val="decimal"/>
      <w:lvlText w:val="%1)"/>
      <w:lvlJc w:val="left"/>
      <w:pPr>
        <w:ind w:left="699" w:hanging="360"/>
      </w:pPr>
    </w:lvl>
    <w:lvl w:ilvl="1" w:tplc="04190019" w:tentative="1">
      <w:start w:val="1"/>
      <w:numFmt w:val="lowerLetter"/>
      <w:lvlText w:val="%2."/>
      <w:lvlJc w:val="left"/>
      <w:pPr>
        <w:ind w:left="1419" w:hanging="360"/>
      </w:pPr>
    </w:lvl>
    <w:lvl w:ilvl="2" w:tplc="0419001B" w:tentative="1">
      <w:start w:val="1"/>
      <w:numFmt w:val="lowerRoman"/>
      <w:lvlText w:val="%3."/>
      <w:lvlJc w:val="right"/>
      <w:pPr>
        <w:ind w:left="2139" w:hanging="180"/>
      </w:pPr>
    </w:lvl>
    <w:lvl w:ilvl="3" w:tplc="0419000F" w:tentative="1">
      <w:start w:val="1"/>
      <w:numFmt w:val="decimal"/>
      <w:lvlText w:val="%4."/>
      <w:lvlJc w:val="left"/>
      <w:pPr>
        <w:ind w:left="2859" w:hanging="360"/>
      </w:pPr>
    </w:lvl>
    <w:lvl w:ilvl="4" w:tplc="04190019" w:tentative="1">
      <w:start w:val="1"/>
      <w:numFmt w:val="lowerLetter"/>
      <w:lvlText w:val="%5."/>
      <w:lvlJc w:val="left"/>
      <w:pPr>
        <w:ind w:left="3579" w:hanging="360"/>
      </w:pPr>
    </w:lvl>
    <w:lvl w:ilvl="5" w:tplc="0419001B" w:tentative="1">
      <w:start w:val="1"/>
      <w:numFmt w:val="lowerRoman"/>
      <w:lvlText w:val="%6."/>
      <w:lvlJc w:val="right"/>
      <w:pPr>
        <w:ind w:left="4299" w:hanging="180"/>
      </w:pPr>
    </w:lvl>
    <w:lvl w:ilvl="6" w:tplc="0419000F" w:tentative="1">
      <w:start w:val="1"/>
      <w:numFmt w:val="decimal"/>
      <w:lvlText w:val="%7."/>
      <w:lvlJc w:val="left"/>
      <w:pPr>
        <w:ind w:left="5019" w:hanging="360"/>
      </w:pPr>
    </w:lvl>
    <w:lvl w:ilvl="7" w:tplc="04190019" w:tentative="1">
      <w:start w:val="1"/>
      <w:numFmt w:val="lowerLetter"/>
      <w:lvlText w:val="%8."/>
      <w:lvlJc w:val="left"/>
      <w:pPr>
        <w:ind w:left="5739" w:hanging="360"/>
      </w:pPr>
    </w:lvl>
    <w:lvl w:ilvl="8" w:tplc="0419001B" w:tentative="1">
      <w:start w:val="1"/>
      <w:numFmt w:val="lowerRoman"/>
      <w:lvlText w:val="%9."/>
      <w:lvlJc w:val="right"/>
      <w:pPr>
        <w:ind w:left="6459" w:hanging="180"/>
      </w:pPr>
    </w:lvl>
  </w:abstractNum>
  <w:abstractNum w:abstractNumId="27" w15:restartNumberingAfterBreak="0">
    <w:nsid w:val="47A84DC9"/>
    <w:multiLevelType w:val="hybridMultilevel"/>
    <w:tmpl w:val="BA2E0A0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B0A7298"/>
    <w:multiLevelType w:val="multilevel"/>
    <w:tmpl w:val="F9084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4A7D48"/>
    <w:multiLevelType w:val="hybridMultilevel"/>
    <w:tmpl w:val="00B434AC"/>
    <w:lvl w:ilvl="0" w:tplc="CA5EF04A">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FD445A2"/>
    <w:multiLevelType w:val="multilevel"/>
    <w:tmpl w:val="AE6AC292"/>
    <w:lvl w:ilvl="0">
      <w:start w:val="1"/>
      <w:numFmt w:val="decimal"/>
      <w:lvlText w:val="%1."/>
      <w:lvlJc w:val="left"/>
      <w:pPr>
        <w:tabs>
          <w:tab w:val="num" w:pos="699"/>
        </w:tabs>
        <w:ind w:left="699" w:hanging="360"/>
      </w:pPr>
      <w:rPr>
        <w:rFonts w:ascii="Times New Roman" w:eastAsia="Times New Roman" w:hAnsi="Times New Roman" w:cs="Times New Roman"/>
        <w:b w:val="0"/>
        <w:bCs w:val="0"/>
      </w:rPr>
    </w:lvl>
    <w:lvl w:ilvl="1" w:tentative="1">
      <w:start w:val="1"/>
      <w:numFmt w:val="decimal"/>
      <w:lvlText w:val="%2."/>
      <w:lvlJc w:val="left"/>
      <w:pPr>
        <w:tabs>
          <w:tab w:val="num" w:pos="1419"/>
        </w:tabs>
        <w:ind w:left="1419" w:hanging="360"/>
      </w:pPr>
    </w:lvl>
    <w:lvl w:ilvl="2" w:tentative="1">
      <w:start w:val="1"/>
      <w:numFmt w:val="decimal"/>
      <w:lvlText w:val="%3."/>
      <w:lvlJc w:val="left"/>
      <w:pPr>
        <w:tabs>
          <w:tab w:val="num" w:pos="2139"/>
        </w:tabs>
        <w:ind w:left="2139" w:hanging="360"/>
      </w:pPr>
    </w:lvl>
    <w:lvl w:ilvl="3" w:tentative="1">
      <w:start w:val="1"/>
      <w:numFmt w:val="decimal"/>
      <w:lvlText w:val="%4."/>
      <w:lvlJc w:val="left"/>
      <w:pPr>
        <w:tabs>
          <w:tab w:val="num" w:pos="2859"/>
        </w:tabs>
        <w:ind w:left="2859" w:hanging="360"/>
      </w:pPr>
    </w:lvl>
    <w:lvl w:ilvl="4" w:tentative="1">
      <w:start w:val="1"/>
      <w:numFmt w:val="decimal"/>
      <w:lvlText w:val="%5."/>
      <w:lvlJc w:val="left"/>
      <w:pPr>
        <w:tabs>
          <w:tab w:val="num" w:pos="3579"/>
        </w:tabs>
        <w:ind w:left="3579" w:hanging="360"/>
      </w:pPr>
    </w:lvl>
    <w:lvl w:ilvl="5" w:tentative="1">
      <w:start w:val="1"/>
      <w:numFmt w:val="decimal"/>
      <w:lvlText w:val="%6."/>
      <w:lvlJc w:val="left"/>
      <w:pPr>
        <w:tabs>
          <w:tab w:val="num" w:pos="4299"/>
        </w:tabs>
        <w:ind w:left="4299" w:hanging="360"/>
      </w:pPr>
    </w:lvl>
    <w:lvl w:ilvl="6" w:tentative="1">
      <w:start w:val="1"/>
      <w:numFmt w:val="decimal"/>
      <w:lvlText w:val="%7."/>
      <w:lvlJc w:val="left"/>
      <w:pPr>
        <w:tabs>
          <w:tab w:val="num" w:pos="5019"/>
        </w:tabs>
        <w:ind w:left="5019" w:hanging="360"/>
      </w:pPr>
    </w:lvl>
    <w:lvl w:ilvl="7" w:tentative="1">
      <w:start w:val="1"/>
      <w:numFmt w:val="decimal"/>
      <w:lvlText w:val="%8."/>
      <w:lvlJc w:val="left"/>
      <w:pPr>
        <w:tabs>
          <w:tab w:val="num" w:pos="5739"/>
        </w:tabs>
        <w:ind w:left="5739" w:hanging="360"/>
      </w:pPr>
    </w:lvl>
    <w:lvl w:ilvl="8" w:tentative="1">
      <w:start w:val="1"/>
      <w:numFmt w:val="decimal"/>
      <w:lvlText w:val="%9."/>
      <w:lvlJc w:val="left"/>
      <w:pPr>
        <w:tabs>
          <w:tab w:val="num" w:pos="6459"/>
        </w:tabs>
        <w:ind w:left="6459" w:hanging="360"/>
      </w:pPr>
    </w:lvl>
  </w:abstractNum>
  <w:abstractNum w:abstractNumId="31" w15:restartNumberingAfterBreak="0">
    <w:nsid w:val="50F938C9"/>
    <w:multiLevelType w:val="multilevel"/>
    <w:tmpl w:val="4678F812"/>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2" w15:restartNumberingAfterBreak="0">
    <w:nsid w:val="51434907"/>
    <w:multiLevelType w:val="hybridMultilevel"/>
    <w:tmpl w:val="6972A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26A6B85"/>
    <w:multiLevelType w:val="multilevel"/>
    <w:tmpl w:val="1FC6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E535F6"/>
    <w:multiLevelType w:val="multilevel"/>
    <w:tmpl w:val="9EDCF21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5" w15:restartNumberingAfterBreak="0">
    <w:nsid w:val="556C6A53"/>
    <w:multiLevelType w:val="multilevel"/>
    <w:tmpl w:val="AE6AC292"/>
    <w:lvl w:ilvl="0">
      <w:start w:val="1"/>
      <w:numFmt w:val="decimal"/>
      <w:lvlText w:val="%1."/>
      <w:lvlJc w:val="left"/>
      <w:pPr>
        <w:tabs>
          <w:tab w:val="num" w:pos="812"/>
        </w:tabs>
        <w:ind w:left="812" w:hanging="360"/>
      </w:pPr>
      <w:rPr>
        <w:rFonts w:ascii="Times New Roman" w:eastAsia="Times New Roman" w:hAnsi="Times New Roman" w:cs="Times New Roman"/>
        <w:b w:val="0"/>
        <w:bCs w:val="0"/>
      </w:rPr>
    </w:lvl>
    <w:lvl w:ilvl="1" w:tentative="1">
      <w:start w:val="1"/>
      <w:numFmt w:val="decimal"/>
      <w:lvlText w:val="%2."/>
      <w:lvlJc w:val="left"/>
      <w:pPr>
        <w:tabs>
          <w:tab w:val="num" w:pos="1532"/>
        </w:tabs>
        <w:ind w:left="1532" w:hanging="360"/>
      </w:pPr>
    </w:lvl>
    <w:lvl w:ilvl="2" w:tentative="1">
      <w:start w:val="1"/>
      <w:numFmt w:val="decimal"/>
      <w:lvlText w:val="%3."/>
      <w:lvlJc w:val="left"/>
      <w:pPr>
        <w:tabs>
          <w:tab w:val="num" w:pos="2252"/>
        </w:tabs>
        <w:ind w:left="2252" w:hanging="360"/>
      </w:pPr>
    </w:lvl>
    <w:lvl w:ilvl="3" w:tentative="1">
      <w:start w:val="1"/>
      <w:numFmt w:val="decimal"/>
      <w:lvlText w:val="%4."/>
      <w:lvlJc w:val="left"/>
      <w:pPr>
        <w:tabs>
          <w:tab w:val="num" w:pos="2972"/>
        </w:tabs>
        <w:ind w:left="2972" w:hanging="360"/>
      </w:pPr>
    </w:lvl>
    <w:lvl w:ilvl="4" w:tentative="1">
      <w:start w:val="1"/>
      <w:numFmt w:val="decimal"/>
      <w:lvlText w:val="%5."/>
      <w:lvlJc w:val="left"/>
      <w:pPr>
        <w:tabs>
          <w:tab w:val="num" w:pos="3692"/>
        </w:tabs>
        <w:ind w:left="3692" w:hanging="360"/>
      </w:pPr>
    </w:lvl>
    <w:lvl w:ilvl="5" w:tentative="1">
      <w:start w:val="1"/>
      <w:numFmt w:val="decimal"/>
      <w:lvlText w:val="%6."/>
      <w:lvlJc w:val="left"/>
      <w:pPr>
        <w:tabs>
          <w:tab w:val="num" w:pos="4412"/>
        </w:tabs>
        <w:ind w:left="4412" w:hanging="360"/>
      </w:pPr>
    </w:lvl>
    <w:lvl w:ilvl="6" w:tentative="1">
      <w:start w:val="1"/>
      <w:numFmt w:val="decimal"/>
      <w:lvlText w:val="%7."/>
      <w:lvlJc w:val="left"/>
      <w:pPr>
        <w:tabs>
          <w:tab w:val="num" w:pos="5132"/>
        </w:tabs>
        <w:ind w:left="5132" w:hanging="360"/>
      </w:pPr>
    </w:lvl>
    <w:lvl w:ilvl="7" w:tentative="1">
      <w:start w:val="1"/>
      <w:numFmt w:val="decimal"/>
      <w:lvlText w:val="%8."/>
      <w:lvlJc w:val="left"/>
      <w:pPr>
        <w:tabs>
          <w:tab w:val="num" w:pos="5852"/>
        </w:tabs>
        <w:ind w:left="5852" w:hanging="360"/>
      </w:pPr>
    </w:lvl>
    <w:lvl w:ilvl="8" w:tentative="1">
      <w:start w:val="1"/>
      <w:numFmt w:val="decimal"/>
      <w:lvlText w:val="%9."/>
      <w:lvlJc w:val="left"/>
      <w:pPr>
        <w:tabs>
          <w:tab w:val="num" w:pos="6572"/>
        </w:tabs>
        <w:ind w:left="6572" w:hanging="360"/>
      </w:pPr>
    </w:lvl>
  </w:abstractNum>
  <w:abstractNum w:abstractNumId="36" w15:restartNumberingAfterBreak="0">
    <w:nsid w:val="58311549"/>
    <w:multiLevelType w:val="multilevel"/>
    <w:tmpl w:val="680057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5B0C12AE"/>
    <w:multiLevelType w:val="hybridMultilevel"/>
    <w:tmpl w:val="A6E88A76"/>
    <w:lvl w:ilvl="0" w:tplc="34D89460">
      <w:start w:val="1"/>
      <w:numFmt w:val="decimal"/>
      <w:lvlText w:val="%1)"/>
      <w:lvlJc w:val="left"/>
      <w:pPr>
        <w:tabs>
          <w:tab w:val="num" w:pos="0"/>
        </w:tabs>
        <w:ind w:left="0" w:hanging="360"/>
      </w:pPr>
    </w:lvl>
    <w:lvl w:ilvl="1" w:tplc="9BB63568" w:tentative="1">
      <w:start w:val="1"/>
      <w:numFmt w:val="decimal"/>
      <w:lvlText w:val="%2)"/>
      <w:lvlJc w:val="left"/>
      <w:pPr>
        <w:tabs>
          <w:tab w:val="num" w:pos="720"/>
        </w:tabs>
        <w:ind w:left="720" w:hanging="360"/>
      </w:pPr>
    </w:lvl>
    <w:lvl w:ilvl="2" w:tplc="61C8A358" w:tentative="1">
      <w:start w:val="1"/>
      <w:numFmt w:val="decimal"/>
      <w:lvlText w:val="%3)"/>
      <w:lvlJc w:val="left"/>
      <w:pPr>
        <w:tabs>
          <w:tab w:val="num" w:pos="1440"/>
        </w:tabs>
        <w:ind w:left="1440" w:hanging="360"/>
      </w:pPr>
    </w:lvl>
    <w:lvl w:ilvl="3" w:tplc="045A4054" w:tentative="1">
      <w:start w:val="1"/>
      <w:numFmt w:val="decimal"/>
      <w:lvlText w:val="%4)"/>
      <w:lvlJc w:val="left"/>
      <w:pPr>
        <w:tabs>
          <w:tab w:val="num" w:pos="2160"/>
        </w:tabs>
        <w:ind w:left="2160" w:hanging="360"/>
      </w:pPr>
    </w:lvl>
    <w:lvl w:ilvl="4" w:tplc="3364DB04" w:tentative="1">
      <w:start w:val="1"/>
      <w:numFmt w:val="decimal"/>
      <w:lvlText w:val="%5)"/>
      <w:lvlJc w:val="left"/>
      <w:pPr>
        <w:tabs>
          <w:tab w:val="num" w:pos="2880"/>
        </w:tabs>
        <w:ind w:left="2880" w:hanging="360"/>
      </w:pPr>
    </w:lvl>
    <w:lvl w:ilvl="5" w:tplc="E188B372" w:tentative="1">
      <w:start w:val="1"/>
      <w:numFmt w:val="decimal"/>
      <w:lvlText w:val="%6)"/>
      <w:lvlJc w:val="left"/>
      <w:pPr>
        <w:tabs>
          <w:tab w:val="num" w:pos="3600"/>
        </w:tabs>
        <w:ind w:left="3600" w:hanging="360"/>
      </w:pPr>
    </w:lvl>
    <w:lvl w:ilvl="6" w:tplc="98C8B280" w:tentative="1">
      <w:start w:val="1"/>
      <w:numFmt w:val="decimal"/>
      <w:lvlText w:val="%7)"/>
      <w:lvlJc w:val="left"/>
      <w:pPr>
        <w:tabs>
          <w:tab w:val="num" w:pos="4320"/>
        </w:tabs>
        <w:ind w:left="4320" w:hanging="360"/>
      </w:pPr>
    </w:lvl>
    <w:lvl w:ilvl="7" w:tplc="5FB296C8" w:tentative="1">
      <w:start w:val="1"/>
      <w:numFmt w:val="decimal"/>
      <w:lvlText w:val="%8)"/>
      <w:lvlJc w:val="left"/>
      <w:pPr>
        <w:tabs>
          <w:tab w:val="num" w:pos="5040"/>
        </w:tabs>
        <w:ind w:left="5040" w:hanging="360"/>
      </w:pPr>
    </w:lvl>
    <w:lvl w:ilvl="8" w:tplc="07303098" w:tentative="1">
      <w:start w:val="1"/>
      <w:numFmt w:val="decimal"/>
      <w:lvlText w:val="%9)"/>
      <w:lvlJc w:val="left"/>
      <w:pPr>
        <w:tabs>
          <w:tab w:val="num" w:pos="5760"/>
        </w:tabs>
        <w:ind w:left="5760" w:hanging="360"/>
      </w:pPr>
    </w:lvl>
  </w:abstractNum>
  <w:abstractNum w:abstractNumId="38" w15:restartNumberingAfterBreak="0">
    <w:nsid w:val="5C9E6E18"/>
    <w:multiLevelType w:val="multilevel"/>
    <w:tmpl w:val="8D2E81C2"/>
    <w:lvl w:ilvl="0">
      <w:start w:val="1"/>
      <w:numFmt w:val="decimal"/>
      <w:lvlText w:val="%1."/>
      <w:lvlJc w:val="left"/>
      <w:pPr>
        <w:ind w:left="720" w:hanging="360"/>
      </w:pPr>
      <w:rPr>
        <w:b w:val="0"/>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63592B55"/>
    <w:multiLevelType w:val="hybridMultilevel"/>
    <w:tmpl w:val="CE5C3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CE97F1F"/>
    <w:multiLevelType w:val="multilevel"/>
    <w:tmpl w:val="343C6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9A7380"/>
    <w:multiLevelType w:val="hybridMultilevel"/>
    <w:tmpl w:val="862E0774"/>
    <w:lvl w:ilvl="0" w:tplc="D424F42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DA5325C"/>
    <w:multiLevelType w:val="multilevel"/>
    <w:tmpl w:val="52F603B4"/>
    <w:lvl w:ilvl="0">
      <w:start w:val="1"/>
      <w:numFmt w:val="decimal"/>
      <w:lvlText w:val="%1."/>
      <w:lvlJc w:val="left"/>
      <w:pPr>
        <w:ind w:left="450" w:hanging="450"/>
      </w:pPr>
      <w:rPr>
        <w:rFonts w:hint="default"/>
        <w:b w:val="0"/>
        <w:b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DEB0E75"/>
    <w:multiLevelType w:val="hybridMultilevel"/>
    <w:tmpl w:val="CA9C3E10"/>
    <w:lvl w:ilvl="0" w:tplc="CA5EF04A">
      <w:numFmt w:val="bullet"/>
      <w:lvlText w:val="-"/>
      <w:lvlJc w:val="left"/>
      <w:pPr>
        <w:ind w:left="0" w:hanging="360"/>
      </w:pPr>
      <w:rPr>
        <w:rFonts w:ascii="Calibri" w:eastAsiaTheme="minorHAnsi" w:hAnsi="Calibri" w:cs="Calibri" w:hint="default"/>
      </w:rPr>
    </w:lvl>
    <w:lvl w:ilvl="1" w:tplc="20000003" w:tentative="1">
      <w:start w:val="1"/>
      <w:numFmt w:val="bullet"/>
      <w:lvlText w:val="o"/>
      <w:lvlJc w:val="left"/>
      <w:pPr>
        <w:ind w:left="720" w:hanging="360"/>
      </w:pPr>
      <w:rPr>
        <w:rFonts w:ascii="Courier New" w:hAnsi="Courier New" w:cs="Courier New" w:hint="default"/>
      </w:rPr>
    </w:lvl>
    <w:lvl w:ilvl="2" w:tplc="20000005" w:tentative="1">
      <w:start w:val="1"/>
      <w:numFmt w:val="bullet"/>
      <w:lvlText w:val=""/>
      <w:lvlJc w:val="left"/>
      <w:pPr>
        <w:ind w:left="1440" w:hanging="360"/>
      </w:pPr>
      <w:rPr>
        <w:rFonts w:ascii="Wingdings" w:hAnsi="Wingdings" w:hint="default"/>
      </w:rPr>
    </w:lvl>
    <w:lvl w:ilvl="3" w:tplc="20000001" w:tentative="1">
      <w:start w:val="1"/>
      <w:numFmt w:val="bullet"/>
      <w:lvlText w:val=""/>
      <w:lvlJc w:val="left"/>
      <w:pPr>
        <w:ind w:left="2160" w:hanging="360"/>
      </w:pPr>
      <w:rPr>
        <w:rFonts w:ascii="Symbol" w:hAnsi="Symbol" w:hint="default"/>
      </w:rPr>
    </w:lvl>
    <w:lvl w:ilvl="4" w:tplc="20000003" w:tentative="1">
      <w:start w:val="1"/>
      <w:numFmt w:val="bullet"/>
      <w:lvlText w:val="o"/>
      <w:lvlJc w:val="left"/>
      <w:pPr>
        <w:ind w:left="2880" w:hanging="360"/>
      </w:pPr>
      <w:rPr>
        <w:rFonts w:ascii="Courier New" w:hAnsi="Courier New" w:cs="Courier New" w:hint="default"/>
      </w:rPr>
    </w:lvl>
    <w:lvl w:ilvl="5" w:tplc="20000005" w:tentative="1">
      <w:start w:val="1"/>
      <w:numFmt w:val="bullet"/>
      <w:lvlText w:val=""/>
      <w:lvlJc w:val="left"/>
      <w:pPr>
        <w:ind w:left="3600" w:hanging="360"/>
      </w:pPr>
      <w:rPr>
        <w:rFonts w:ascii="Wingdings" w:hAnsi="Wingdings" w:hint="default"/>
      </w:rPr>
    </w:lvl>
    <w:lvl w:ilvl="6" w:tplc="20000001" w:tentative="1">
      <w:start w:val="1"/>
      <w:numFmt w:val="bullet"/>
      <w:lvlText w:val=""/>
      <w:lvlJc w:val="left"/>
      <w:pPr>
        <w:ind w:left="4320" w:hanging="360"/>
      </w:pPr>
      <w:rPr>
        <w:rFonts w:ascii="Symbol" w:hAnsi="Symbol" w:hint="default"/>
      </w:rPr>
    </w:lvl>
    <w:lvl w:ilvl="7" w:tplc="20000003" w:tentative="1">
      <w:start w:val="1"/>
      <w:numFmt w:val="bullet"/>
      <w:lvlText w:val="o"/>
      <w:lvlJc w:val="left"/>
      <w:pPr>
        <w:ind w:left="5040" w:hanging="360"/>
      </w:pPr>
      <w:rPr>
        <w:rFonts w:ascii="Courier New" w:hAnsi="Courier New" w:cs="Courier New" w:hint="default"/>
      </w:rPr>
    </w:lvl>
    <w:lvl w:ilvl="8" w:tplc="20000005" w:tentative="1">
      <w:start w:val="1"/>
      <w:numFmt w:val="bullet"/>
      <w:lvlText w:val=""/>
      <w:lvlJc w:val="left"/>
      <w:pPr>
        <w:ind w:left="5760" w:hanging="360"/>
      </w:pPr>
      <w:rPr>
        <w:rFonts w:ascii="Wingdings" w:hAnsi="Wingdings" w:hint="default"/>
      </w:rPr>
    </w:lvl>
  </w:abstractNum>
  <w:abstractNum w:abstractNumId="44" w15:restartNumberingAfterBreak="0">
    <w:nsid w:val="6F22349B"/>
    <w:multiLevelType w:val="hybridMultilevel"/>
    <w:tmpl w:val="CD84FD24"/>
    <w:lvl w:ilvl="0" w:tplc="2000000D">
      <w:start w:val="1"/>
      <w:numFmt w:val="bullet"/>
      <w:lvlText w:val=""/>
      <w:lvlJc w:val="left"/>
      <w:pPr>
        <w:ind w:left="699" w:hanging="360"/>
      </w:pPr>
      <w:rPr>
        <w:rFonts w:ascii="Wingdings" w:hAnsi="Wingdings" w:hint="default"/>
      </w:rPr>
    </w:lvl>
    <w:lvl w:ilvl="1" w:tplc="20000003" w:tentative="1">
      <w:start w:val="1"/>
      <w:numFmt w:val="bullet"/>
      <w:lvlText w:val="o"/>
      <w:lvlJc w:val="left"/>
      <w:pPr>
        <w:ind w:left="1419" w:hanging="360"/>
      </w:pPr>
      <w:rPr>
        <w:rFonts w:ascii="Courier New" w:hAnsi="Courier New" w:cs="Courier New" w:hint="default"/>
      </w:rPr>
    </w:lvl>
    <w:lvl w:ilvl="2" w:tplc="20000005" w:tentative="1">
      <w:start w:val="1"/>
      <w:numFmt w:val="bullet"/>
      <w:lvlText w:val=""/>
      <w:lvlJc w:val="left"/>
      <w:pPr>
        <w:ind w:left="2139" w:hanging="360"/>
      </w:pPr>
      <w:rPr>
        <w:rFonts w:ascii="Wingdings" w:hAnsi="Wingdings" w:hint="default"/>
      </w:rPr>
    </w:lvl>
    <w:lvl w:ilvl="3" w:tplc="20000001" w:tentative="1">
      <w:start w:val="1"/>
      <w:numFmt w:val="bullet"/>
      <w:lvlText w:val=""/>
      <w:lvlJc w:val="left"/>
      <w:pPr>
        <w:ind w:left="2859" w:hanging="360"/>
      </w:pPr>
      <w:rPr>
        <w:rFonts w:ascii="Symbol" w:hAnsi="Symbol" w:hint="default"/>
      </w:rPr>
    </w:lvl>
    <w:lvl w:ilvl="4" w:tplc="20000003" w:tentative="1">
      <w:start w:val="1"/>
      <w:numFmt w:val="bullet"/>
      <w:lvlText w:val="o"/>
      <w:lvlJc w:val="left"/>
      <w:pPr>
        <w:ind w:left="3579" w:hanging="360"/>
      </w:pPr>
      <w:rPr>
        <w:rFonts w:ascii="Courier New" w:hAnsi="Courier New" w:cs="Courier New" w:hint="default"/>
      </w:rPr>
    </w:lvl>
    <w:lvl w:ilvl="5" w:tplc="20000005" w:tentative="1">
      <w:start w:val="1"/>
      <w:numFmt w:val="bullet"/>
      <w:lvlText w:val=""/>
      <w:lvlJc w:val="left"/>
      <w:pPr>
        <w:ind w:left="4299" w:hanging="360"/>
      </w:pPr>
      <w:rPr>
        <w:rFonts w:ascii="Wingdings" w:hAnsi="Wingdings" w:hint="default"/>
      </w:rPr>
    </w:lvl>
    <w:lvl w:ilvl="6" w:tplc="20000001" w:tentative="1">
      <w:start w:val="1"/>
      <w:numFmt w:val="bullet"/>
      <w:lvlText w:val=""/>
      <w:lvlJc w:val="left"/>
      <w:pPr>
        <w:ind w:left="5019" w:hanging="360"/>
      </w:pPr>
      <w:rPr>
        <w:rFonts w:ascii="Symbol" w:hAnsi="Symbol" w:hint="default"/>
      </w:rPr>
    </w:lvl>
    <w:lvl w:ilvl="7" w:tplc="20000003" w:tentative="1">
      <w:start w:val="1"/>
      <w:numFmt w:val="bullet"/>
      <w:lvlText w:val="o"/>
      <w:lvlJc w:val="left"/>
      <w:pPr>
        <w:ind w:left="5739" w:hanging="360"/>
      </w:pPr>
      <w:rPr>
        <w:rFonts w:ascii="Courier New" w:hAnsi="Courier New" w:cs="Courier New" w:hint="default"/>
      </w:rPr>
    </w:lvl>
    <w:lvl w:ilvl="8" w:tplc="20000005" w:tentative="1">
      <w:start w:val="1"/>
      <w:numFmt w:val="bullet"/>
      <w:lvlText w:val=""/>
      <w:lvlJc w:val="left"/>
      <w:pPr>
        <w:ind w:left="6459" w:hanging="360"/>
      </w:pPr>
      <w:rPr>
        <w:rFonts w:ascii="Wingdings" w:hAnsi="Wingdings" w:hint="default"/>
      </w:rPr>
    </w:lvl>
  </w:abstractNum>
  <w:abstractNum w:abstractNumId="45" w15:restartNumberingAfterBreak="0">
    <w:nsid w:val="70DC67A5"/>
    <w:multiLevelType w:val="multilevel"/>
    <w:tmpl w:val="AE6AC292"/>
    <w:lvl w:ilvl="0">
      <w:start w:val="1"/>
      <w:numFmt w:val="decimal"/>
      <w:lvlText w:val="%1."/>
      <w:lvlJc w:val="left"/>
      <w:pPr>
        <w:tabs>
          <w:tab w:val="num" w:pos="699"/>
        </w:tabs>
        <w:ind w:left="699" w:hanging="360"/>
      </w:pPr>
      <w:rPr>
        <w:rFonts w:ascii="Times New Roman" w:eastAsia="Times New Roman" w:hAnsi="Times New Roman" w:cs="Times New Roman"/>
        <w:b w:val="0"/>
        <w:bCs w:val="0"/>
      </w:rPr>
    </w:lvl>
    <w:lvl w:ilvl="1" w:tentative="1">
      <w:start w:val="1"/>
      <w:numFmt w:val="decimal"/>
      <w:lvlText w:val="%2."/>
      <w:lvlJc w:val="left"/>
      <w:pPr>
        <w:tabs>
          <w:tab w:val="num" w:pos="1419"/>
        </w:tabs>
        <w:ind w:left="1419" w:hanging="360"/>
      </w:pPr>
    </w:lvl>
    <w:lvl w:ilvl="2" w:tentative="1">
      <w:start w:val="1"/>
      <w:numFmt w:val="decimal"/>
      <w:lvlText w:val="%3."/>
      <w:lvlJc w:val="left"/>
      <w:pPr>
        <w:tabs>
          <w:tab w:val="num" w:pos="2139"/>
        </w:tabs>
        <w:ind w:left="2139" w:hanging="360"/>
      </w:pPr>
    </w:lvl>
    <w:lvl w:ilvl="3" w:tentative="1">
      <w:start w:val="1"/>
      <w:numFmt w:val="decimal"/>
      <w:lvlText w:val="%4."/>
      <w:lvlJc w:val="left"/>
      <w:pPr>
        <w:tabs>
          <w:tab w:val="num" w:pos="2859"/>
        </w:tabs>
        <w:ind w:left="2859" w:hanging="360"/>
      </w:pPr>
    </w:lvl>
    <w:lvl w:ilvl="4" w:tentative="1">
      <w:start w:val="1"/>
      <w:numFmt w:val="decimal"/>
      <w:lvlText w:val="%5."/>
      <w:lvlJc w:val="left"/>
      <w:pPr>
        <w:tabs>
          <w:tab w:val="num" w:pos="3579"/>
        </w:tabs>
        <w:ind w:left="3579" w:hanging="360"/>
      </w:pPr>
    </w:lvl>
    <w:lvl w:ilvl="5" w:tentative="1">
      <w:start w:val="1"/>
      <w:numFmt w:val="decimal"/>
      <w:lvlText w:val="%6."/>
      <w:lvlJc w:val="left"/>
      <w:pPr>
        <w:tabs>
          <w:tab w:val="num" w:pos="4299"/>
        </w:tabs>
        <w:ind w:left="4299" w:hanging="360"/>
      </w:pPr>
    </w:lvl>
    <w:lvl w:ilvl="6" w:tentative="1">
      <w:start w:val="1"/>
      <w:numFmt w:val="decimal"/>
      <w:lvlText w:val="%7."/>
      <w:lvlJc w:val="left"/>
      <w:pPr>
        <w:tabs>
          <w:tab w:val="num" w:pos="5019"/>
        </w:tabs>
        <w:ind w:left="5019" w:hanging="360"/>
      </w:pPr>
    </w:lvl>
    <w:lvl w:ilvl="7" w:tentative="1">
      <w:start w:val="1"/>
      <w:numFmt w:val="decimal"/>
      <w:lvlText w:val="%8."/>
      <w:lvlJc w:val="left"/>
      <w:pPr>
        <w:tabs>
          <w:tab w:val="num" w:pos="5739"/>
        </w:tabs>
        <w:ind w:left="5739" w:hanging="360"/>
      </w:pPr>
    </w:lvl>
    <w:lvl w:ilvl="8" w:tentative="1">
      <w:start w:val="1"/>
      <w:numFmt w:val="decimal"/>
      <w:lvlText w:val="%9."/>
      <w:lvlJc w:val="left"/>
      <w:pPr>
        <w:tabs>
          <w:tab w:val="num" w:pos="6459"/>
        </w:tabs>
        <w:ind w:left="6459" w:hanging="360"/>
      </w:pPr>
    </w:lvl>
  </w:abstractNum>
  <w:abstractNum w:abstractNumId="46" w15:restartNumberingAfterBreak="0">
    <w:nsid w:val="74FE7A05"/>
    <w:multiLevelType w:val="hybridMultilevel"/>
    <w:tmpl w:val="E77E6640"/>
    <w:lvl w:ilvl="0" w:tplc="CA5EF04A">
      <w:numFmt w:val="bullet"/>
      <w:lvlText w:val="-"/>
      <w:lvlJc w:val="left"/>
      <w:pPr>
        <w:ind w:left="699" w:hanging="360"/>
      </w:pPr>
      <w:rPr>
        <w:rFonts w:ascii="Calibri" w:eastAsiaTheme="minorHAnsi" w:hAnsi="Calibri" w:cs="Calibri" w:hint="default"/>
      </w:rPr>
    </w:lvl>
    <w:lvl w:ilvl="1" w:tplc="04190003" w:tentative="1">
      <w:start w:val="1"/>
      <w:numFmt w:val="bullet"/>
      <w:lvlText w:val="o"/>
      <w:lvlJc w:val="left"/>
      <w:pPr>
        <w:ind w:left="1419" w:hanging="360"/>
      </w:pPr>
      <w:rPr>
        <w:rFonts w:ascii="Courier New" w:hAnsi="Courier New" w:cs="Courier New" w:hint="default"/>
      </w:rPr>
    </w:lvl>
    <w:lvl w:ilvl="2" w:tplc="04190005" w:tentative="1">
      <w:start w:val="1"/>
      <w:numFmt w:val="bullet"/>
      <w:lvlText w:val=""/>
      <w:lvlJc w:val="left"/>
      <w:pPr>
        <w:ind w:left="2139" w:hanging="360"/>
      </w:pPr>
      <w:rPr>
        <w:rFonts w:ascii="Wingdings" w:hAnsi="Wingdings" w:hint="default"/>
      </w:rPr>
    </w:lvl>
    <w:lvl w:ilvl="3" w:tplc="04190001" w:tentative="1">
      <w:start w:val="1"/>
      <w:numFmt w:val="bullet"/>
      <w:lvlText w:val=""/>
      <w:lvlJc w:val="left"/>
      <w:pPr>
        <w:ind w:left="2859" w:hanging="360"/>
      </w:pPr>
      <w:rPr>
        <w:rFonts w:ascii="Symbol" w:hAnsi="Symbol" w:hint="default"/>
      </w:rPr>
    </w:lvl>
    <w:lvl w:ilvl="4" w:tplc="04190003" w:tentative="1">
      <w:start w:val="1"/>
      <w:numFmt w:val="bullet"/>
      <w:lvlText w:val="o"/>
      <w:lvlJc w:val="left"/>
      <w:pPr>
        <w:ind w:left="3579" w:hanging="360"/>
      </w:pPr>
      <w:rPr>
        <w:rFonts w:ascii="Courier New" w:hAnsi="Courier New" w:cs="Courier New" w:hint="default"/>
      </w:rPr>
    </w:lvl>
    <w:lvl w:ilvl="5" w:tplc="04190005" w:tentative="1">
      <w:start w:val="1"/>
      <w:numFmt w:val="bullet"/>
      <w:lvlText w:val=""/>
      <w:lvlJc w:val="left"/>
      <w:pPr>
        <w:ind w:left="4299" w:hanging="360"/>
      </w:pPr>
      <w:rPr>
        <w:rFonts w:ascii="Wingdings" w:hAnsi="Wingdings" w:hint="default"/>
      </w:rPr>
    </w:lvl>
    <w:lvl w:ilvl="6" w:tplc="04190001" w:tentative="1">
      <w:start w:val="1"/>
      <w:numFmt w:val="bullet"/>
      <w:lvlText w:val=""/>
      <w:lvlJc w:val="left"/>
      <w:pPr>
        <w:ind w:left="5019" w:hanging="360"/>
      </w:pPr>
      <w:rPr>
        <w:rFonts w:ascii="Symbol" w:hAnsi="Symbol" w:hint="default"/>
      </w:rPr>
    </w:lvl>
    <w:lvl w:ilvl="7" w:tplc="04190003" w:tentative="1">
      <w:start w:val="1"/>
      <w:numFmt w:val="bullet"/>
      <w:lvlText w:val="o"/>
      <w:lvlJc w:val="left"/>
      <w:pPr>
        <w:ind w:left="5739" w:hanging="360"/>
      </w:pPr>
      <w:rPr>
        <w:rFonts w:ascii="Courier New" w:hAnsi="Courier New" w:cs="Courier New" w:hint="default"/>
      </w:rPr>
    </w:lvl>
    <w:lvl w:ilvl="8" w:tplc="04190005" w:tentative="1">
      <w:start w:val="1"/>
      <w:numFmt w:val="bullet"/>
      <w:lvlText w:val=""/>
      <w:lvlJc w:val="left"/>
      <w:pPr>
        <w:ind w:left="6459" w:hanging="360"/>
      </w:pPr>
      <w:rPr>
        <w:rFonts w:ascii="Wingdings" w:hAnsi="Wingdings" w:hint="default"/>
      </w:rPr>
    </w:lvl>
  </w:abstractNum>
  <w:abstractNum w:abstractNumId="47" w15:restartNumberingAfterBreak="0">
    <w:nsid w:val="7D050335"/>
    <w:multiLevelType w:val="multilevel"/>
    <w:tmpl w:val="0419001F"/>
    <w:lvl w:ilvl="0">
      <w:start w:val="1"/>
      <w:numFmt w:val="decimal"/>
      <w:lvlText w:val="%1."/>
      <w:lvlJc w:val="left"/>
      <w:pPr>
        <w:ind w:left="586" w:hanging="360"/>
      </w:pPr>
    </w:lvl>
    <w:lvl w:ilvl="1">
      <w:start w:val="1"/>
      <w:numFmt w:val="decimal"/>
      <w:lvlText w:val="%1.%2."/>
      <w:lvlJc w:val="left"/>
      <w:pPr>
        <w:ind w:left="1018" w:hanging="432"/>
      </w:pPr>
    </w:lvl>
    <w:lvl w:ilvl="2">
      <w:start w:val="1"/>
      <w:numFmt w:val="decimal"/>
      <w:lvlText w:val="%1.%2.%3."/>
      <w:lvlJc w:val="left"/>
      <w:pPr>
        <w:ind w:left="1450" w:hanging="504"/>
      </w:pPr>
    </w:lvl>
    <w:lvl w:ilvl="3">
      <w:start w:val="1"/>
      <w:numFmt w:val="decimal"/>
      <w:lvlText w:val="%1.%2.%3.%4."/>
      <w:lvlJc w:val="left"/>
      <w:pPr>
        <w:ind w:left="1954" w:hanging="648"/>
      </w:pPr>
    </w:lvl>
    <w:lvl w:ilvl="4">
      <w:start w:val="1"/>
      <w:numFmt w:val="decimal"/>
      <w:lvlText w:val="%1.%2.%3.%4.%5."/>
      <w:lvlJc w:val="left"/>
      <w:pPr>
        <w:ind w:left="2458" w:hanging="792"/>
      </w:pPr>
    </w:lvl>
    <w:lvl w:ilvl="5">
      <w:start w:val="1"/>
      <w:numFmt w:val="decimal"/>
      <w:lvlText w:val="%1.%2.%3.%4.%5.%6."/>
      <w:lvlJc w:val="left"/>
      <w:pPr>
        <w:ind w:left="2962" w:hanging="936"/>
      </w:pPr>
    </w:lvl>
    <w:lvl w:ilvl="6">
      <w:start w:val="1"/>
      <w:numFmt w:val="decimal"/>
      <w:lvlText w:val="%1.%2.%3.%4.%5.%6.%7."/>
      <w:lvlJc w:val="left"/>
      <w:pPr>
        <w:ind w:left="3466" w:hanging="1080"/>
      </w:pPr>
    </w:lvl>
    <w:lvl w:ilvl="7">
      <w:start w:val="1"/>
      <w:numFmt w:val="decimal"/>
      <w:lvlText w:val="%1.%2.%3.%4.%5.%6.%7.%8."/>
      <w:lvlJc w:val="left"/>
      <w:pPr>
        <w:ind w:left="3970" w:hanging="1224"/>
      </w:pPr>
    </w:lvl>
    <w:lvl w:ilvl="8">
      <w:start w:val="1"/>
      <w:numFmt w:val="decimal"/>
      <w:lvlText w:val="%1.%2.%3.%4.%5.%6.%7.%8.%9."/>
      <w:lvlJc w:val="left"/>
      <w:pPr>
        <w:ind w:left="4546" w:hanging="1440"/>
      </w:pPr>
    </w:lvl>
  </w:abstractNum>
  <w:abstractNum w:abstractNumId="48" w15:restartNumberingAfterBreak="0">
    <w:nsid w:val="7FA35EC8"/>
    <w:multiLevelType w:val="hybridMultilevel"/>
    <w:tmpl w:val="DF22D8C0"/>
    <w:lvl w:ilvl="0" w:tplc="CA5EF04A">
      <w:numFmt w:val="bullet"/>
      <w:lvlText w:val="-"/>
      <w:lvlJc w:val="left"/>
      <w:pPr>
        <w:ind w:left="1440" w:hanging="360"/>
      </w:pPr>
      <w:rPr>
        <w:rFonts w:ascii="Calibri" w:eastAsiaTheme="minorHAnsi" w:hAnsi="Calibri" w:cs="Calibr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18"/>
  </w:num>
  <w:num w:numId="3">
    <w:abstractNumId w:val="27"/>
  </w:num>
  <w:num w:numId="4">
    <w:abstractNumId w:val="28"/>
  </w:num>
  <w:num w:numId="5">
    <w:abstractNumId w:val="40"/>
  </w:num>
  <w:num w:numId="6">
    <w:abstractNumId w:val="15"/>
  </w:num>
  <w:num w:numId="7">
    <w:abstractNumId w:val="37"/>
  </w:num>
  <w:num w:numId="8">
    <w:abstractNumId w:val="34"/>
  </w:num>
  <w:num w:numId="9">
    <w:abstractNumId w:val="25"/>
  </w:num>
  <w:num w:numId="10">
    <w:abstractNumId w:val="19"/>
  </w:num>
  <w:num w:numId="11">
    <w:abstractNumId w:val="43"/>
  </w:num>
  <w:num w:numId="12">
    <w:abstractNumId w:val="31"/>
  </w:num>
  <w:num w:numId="13">
    <w:abstractNumId w:val="33"/>
  </w:num>
  <w:num w:numId="14">
    <w:abstractNumId w:val="13"/>
  </w:num>
  <w:num w:numId="15">
    <w:abstractNumId w:val="1"/>
  </w:num>
  <w:num w:numId="16">
    <w:abstractNumId w:val="44"/>
  </w:num>
  <w:num w:numId="17">
    <w:abstractNumId w:val="7"/>
  </w:num>
  <w:num w:numId="18">
    <w:abstractNumId w:val="42"/>
  </w:num>
  <w:num w:numId="19">
    <w:abstractNumId w:val="41"/>
  </w:num>
  <w:num w:numId="20">
    <w:abstractNumId w:val="14"/>
  </w:num>
  <w:num w:numId="21">
    <w:abstractNumId w:val="21"/>
  </w:num>
  <w:num w:numId="22">
    <w:abstractNumId w:val="4"/>
  </w:num>
  <w:num w:numId="23">
    <w:abstractNumId w:val="3"/>
  </w:num>
  <w:num w:numId="24">
    <w:abstractNumId w:val="6"/>
  </w:num>
  <w:num w:numId="25">
    <w:abstractNumId w:val="39"/>
  </w:num>
  <w:num w:numId="26">
    <w:abstractNumId w:val="32"/>
  </w:num>
  <w:num w:numId="27">
    <w:abstractNumId w:val="10"/>
  </w:num>
  <w:num w:numId="28">
    <w:abstractNumId w:val="45"/>
  </w:num>
  <w:num w:numId="29">
    <w:abstractNumId w:val="11"/>
  </w:num>
  <w:num w:numId="30">
    <w:abstractNumId w:val="5"/>
  </w:num>
  <w:num w:numId="31">
    <w:abstractNumId w:val="29"/>
  </w:num>
  <w:num w:numId="32">
    <w:abstractNumId w:val="26"/>
  </w:num>
  <w:num w:numId="33">
    <w:abstractNumId w:val="46"/>
  </w:num>
  <w:num w:numId="34">
    <w:abstractNumId w:val="24"/>
  </w:num>
  <w:num w:numId="35">
    <w:abstractNumId w:val="20"/>
  </w:num>
  <w:num w:numId="36">
    <w:abstractNumId w:val="47"/>
  </w:num>
  <w:num w:numId="37">
    <w:abstractNumId w:val="8"/>
  </w:num>
  <w:num w:numId="38">
    <w:abstractNumId w:val="23"/>
  </w:num>
  <w:num w:numId="39">
    <w:abstractNumId w:val="12"/>
  </w:num>
  <w:num w:numId="40">
    <w:abstractNumId w:val="2"/>
  </w:num>
  <w:num w:numId="41">
    <w:abstractNumId w:val="36"/>
  </w:num>
  <w:num w:numId="42">
    <w:abstractNumId w:val="30"/>
  </w:num>
  <w:num w:numId="43">
    <w:abstractNumId w:val="22"/>
  </w:num>
  <w:num w:numId="44">
    <w:abstractNumId w:val="9"/>
  </w:num>
  <w:num w:numId="45">
    <w:abstractNumId w:val="38"/>
  </w:num>
  <w:num w:numId="46">
    <w:abstractNumId w:val="35"/>
  </w:num>
  <w:num w:numId="47">
    <w:abstractNumId w:val="16"/>
  </w:num>
  <w:num w:numId="48">
    <w:abstractNumId w:val="48"/>
  </w:num>
  <w:num w:numId="49">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1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6C2"/>
    <w:rsid w:val="00007BE3"/>
    <w:rsid w:val="000134C5"/>
    <w:rsid w:val="00015249"/>
    <w:rsid w:val="00015E71"/>
    <w:rsid w:val="0001723B"/>
    <w:rsid w:val="00017CD9"/>
    <w:rsid w:val="00021F3D"/>
    <w:rsid w:val="00022573"/>
    <w:rsid w:val="00022E72"/>
    <w:rsid w:val="00025523"/>
    <w:rsid w:val="00026766"/>
    <w:rsid w:val="00032A6A"/>
    <w:rsid w:val="00033BD6"/>
    <w:rsid w:val="0003526D"/>
    <w:rsid w:val="00036FEF"/>
    <w:rsid w:val="00045374"/>
    <w:rsid w:val="0005158E"/>
    <w:rsid w:val="00051EAC"/>
    <w:rsid w:val="0005454E"/>
    <w:rsid w:val="00056210"/>
    <w:rsid w:val="00065147"/>
    <w:rsid w:val="00067BAD"/>
    <w:rsid w:val="00067FAD"/>
    <w:rsid w:val="00075D65"/>
    <w:rsid w:val="0008013B"/>
    <w:rsid w:val="00081E48"/>
    <w:rsid w:val="00084D1C"/>
    <w:rsid w:val="000918DF"/>
    <w:rsid w:val="00094A51"/>
    <w:rsid w:val="0009795F"/>
    <w:rsid w:val="000A352C"/>
    <w:rsid w:val="000A76C9"/>
    <w:rsid w:val="000B4D45"/>
    <w:rsid w:val="000B5465"/>
    <w:rsid w:val="000B63B4"/>
    <w:rsid w:val="000C674B"/>
    <w:rsid w:val="000D142C"/>
    <w:rsid w:val="000D4F2C"/>
    <w:rsid w:val="000D6171"/>
    <w:rsid w:val="000E0481"/>
    <w:rsid w:val="000E481B"/>
    <w:rsid w:val="000E56D8"/>
    <w:rsid w:val="000F1099"/>
    <w:rsid w:val="000F1270"/>
    <w:rsid w:val="000F3FEB"/>
    <w:rsid w:val="000F4805"/>
    <w:rsid w:val="000F7096"/>
    <w:rsid w:val="00102067"/>
    <w:rsid w:val="00107FCA"/>
    <w:rsid w:val="00110B7A"/>
    <w:rsid w:val="00110BB7"/>
    <w:rsid w:val="00111C9F"/>
    <w:rsid w:val="0011563E"/>
    <w:rsid w:val="00116F6A"/>
    <w:rsid w:val="00120ADF"/>
    <w:rsid w:val="00124149"/>
    <w:rsid w:val="00124BA7"/>
    <w:rsid w:val="0012519A"/>
    <w:rsid w:val="00126C8F"/>
    <w:rsid w:val="001333E5"/>
    <w:rsid w:val="001349C5"/>
    <w:rsid w:val="0014110F"/>
    <w:rsid w:val="00143735"/>
    <w:rsid w:val="00146723"/>
    <w:rsid w:val="00147AF6"/>
    <w:rsid w:val="001500FA"/>
    <w:rsid w:val="00150CE1"/>
    <w:rsid w:val="001534F7"/>
    <w:rsid w:val="001571C9"/>
    <w:rsid w:val="00157FC3"/>
    <w:rsid w:val="00164015"/>
    <w:rsid w:val="0016633D"/>
    <w:rsid w:val="001670AF"/>
    <w:rsid w:val="001714ED"/>
    <w:rsid w:val="00172E7E"/>
    <w:rsid w:val="00174CFF"/>
    <w:rsid w:val="00177407"/>
    <w:rsid w:val="00181A43"/>
    <w:rsid w:val="001838B1"/>
    <w:rsid w:val="0018540F"/>
    <w:rsid w:val="00190C0E"/>
    <w:rsid w:val="001941FC"/>
    <w:rsid w:val="001A2A99"/>
    <w:rsid w:val="001A38B0"/>
    <w:rsid w:val="001A424E"/>
    <w:rsid w:val="001B2A0D"/>
    <w:rsid w:val="001B2EB5"/>
    <w:rsid w:val="001B3985"/>
    <w:rsid w:val="001B500C"/>
    <w:rsid w:val="001B5231"/>
    <w:rsid w:val="001B67EF"/>
    <w:rsid w:val="001C04BE"/>
    <w:rsid w:val="001C21E2"/>
    <w:rsid w:val="001D0158"/>
    <w:rsid w:val="001D0258"/>
    <w:rsid w:val="001D41CA"/>
    <w:rsid w:val="001D54EC"/>
    <w:rsid w:val="001D5658"/>
    <w:rsid w:val="001D7342"/>
    <w:rsid w:val="001D7515"/>
    <w:rsid w:val="001E1A46"/>
    <w:rsid w:val="001E2B33"/>
    <w:rsid w:val="001E3D87"/>
    <w:rsid w:val="001F13ED"/>
    <w:rsid w:val="001F2973"/>
    <w:rsid w:val="001F336A"/>
    <w:rsid w:val="001F349A"/>
    <w:rsid w:val="001F4C5D"/>
    <w:rsid w:val="00207667"/>
    <w:rsid w:val="0021183A"/>
    <w:rsid w:val="00211F43"/>
    <w:rsid w:val="00213D3A"/>
    <w:rsid w:val="0021462A"/>
    <w:rsid w:val="00217684"/>
    <w:rsid w:val="002178E1"/>
    <w:rsid w:val="0022239F"/>
    <w:rsid w:val="00222880"/>
    <w:rsid w:val="002367BD"/>
    <w:rsid w:val="0024375D"/>
    <w:rsid w:val="002537C4"/>
    <w:rsid w:val="00255985"/>
    <w:rsid w:val="00263F5F"/>
    <w:rsid w:val="00264E64"/>
    <w:rsid w:val="00265699"/>
    <w:rsid w:val="0026746B"/>
    <w:rsid w:val="00267B0C"/>
    <w:rsid w:val="00273697"/>
    <w:rsid w:val="002830DE"/>
    <w:rsid w:val="002836E8"/>
    <w:rsid w:val="00285A65"/>
    <w:rsid w:val="00296540"/>
    <w:rsid w:val="00297606"/>
    <w:rsid w:val="002A6408"/>
    <w:rsid w:val="002B0177"/>
    <w:rsid w:val="002B2A5B"/>
    <w:rsid w:val="002B6829"/>
    <w:rsid w:val="002C4D5A"/>
    <w:rsid w:val="002C6007"/>
    <w:rsid w:val="002D2F0E"/>
    <w:rsid w:val="002D427D"/>
    <w:rsid w:val="002E2B56"/>
    <w:rsid w:val="002E485E"/>
    <w:rsid w:val="002E6CAE"/>
    <w:rsid w:val="002E7092"/>
    <w:rsid w:val="002E7491"/>
    <w:rsid w:val="002F37FD"/>
    <w:rsid w:val="002F4189"/>
    <w:rsid w:val="002F5849"/>
    <w:rsid w:val="002F7B32"/>
    <w:rsid w:val="00301264"/>
    <w:rsid w:val="00305735"/>
    <w:rsid w:val="003119BB"/>
    <w:rsid w:val="00312FE6"/>
    <w:rsid w:val="00313246"/>
    <w:rsid w:val="003151EB"/>
    <w:rsid w:val="0031561D"/>
    <w:rsid w:val="00320D69"/>
    <w:rsid w:val="0032235E"/>
    <w:rsid w:val="00330FC2"/>
    <w:rsid w:val="003324B8"/>
    <w:rsid w:val="00337728"/>
    <w:rsid w:val="00340571"/>
    <w:rsid w:val="00341689"/>
    <w:rsid w:val="0035414C"/>
    <w:rsid w:val="00355715"/>
    <w:rsid w:val="0035682E"/>
    <w:rsid w:val="00360B54"/>
    <w:rsid w:val="00361065"/>
    <w:rsid w:val="00364C67"/>
    <w:rsid w:val="003708CF"/>
    <w:rsid w:val="003715CC"/>
    <w:rsid w:val="0037797F"/>
    <w:rsid w:val="003853CC"/>
    <w:rsid w:val="00385D33"/>
    <w:rsid w:val="00390593"/>
    <w:rsid w:val="00391BAF"/>
    <w:rsid w:val="00391EFC"/>
    <w:rsid w:val="00397AA3"/>
    <w:rsid w:val="003A0202"/>
    <w:rsid w:val="003A0434"/>
    <w:rsid w:val="003A6F12"/>
    <w:rsid w:val="003A7E6A"/>
    <w:rsid w:val="003B30F8"/>
    <w:rsid w:val="003B5F46"/>
    <w:rsid w:val="003C2516"/>
    <w:rsid w:val="003C46F2"/>
    <w:rsid w:val="003C7F61"/>
    <w:rsid w:val="003D3E24"/>
    <w:rsid w:val="003D64FF"/>
    <w:rsid w:val="003D6D5F"/>
    <w:rsid w:val="003E564E"/>
    <w:rsid w:val="003E624F"/>
    <w:rsid w:val="003E6682"/>
    <w:rsid w:val="003E6C17"/>
    <w:rsid w:val="003E7B10"/>
    <w:rsid w:val="003F03A7"/>
    <w:rsid w:val="003F5BF1"/>
    <w:rsid w:val="003F7DB1"/>
    <w:rsid w:val="004013D8"/>
    <w:rsid w:val="00402A17"/>
    <w:rsid w:val="00403D31"/>
    <w:rsid w:val="004157D2"/>
    <w:rsid w:val="00415AC1"/>
    <w:rsid w:val="00416C4F"/>
    <w:rsid w:val="00422C11"/>
    <w:rsid w:val="00431D52"/>
    <w:rsid w:val="00436413"/>
    <w:rsid w:val="00437382"/>
    <w:rsid w:val="004422C5"/>
    <w:rsid w:val="00444953"/>
    <w:rsid w:val="004462B7"/>
    <w:rsid w:val="004524BE"/>
    <w:rsid w:val="0045502E"/>
    <w:rsid w:val="0045763F"/>
    <w:rsid w:val="004623DC"/>
    <w:rsid w:val="0046396C"/>
    <w:rsid w:val="00464943"/>
    <w:rsid w:val="00465214"/>
    <w:rsid w:val="00467AB5"/>
    <w:rsid w:val="004730AE"/>
    <w:rsid w:val="00473E87"/>
    <w:rsid w:val="00476B0F"/>
    <w:rsid w:val="00477AA9"/>
    <w:rsid w:val="00485771"/>
    <w:rsid w:val="004916C2"/>
    <w:rsid w:val="004924B7"/>
    <w:rsid w:val="0049357A"/>
    <w:rsid w:val="00493A5C"/>
    <w:rsid w:val="00497802"/>
    <w:rsid w:val="004A02A3"/>
    <w:rsid w:val="004A0719"/>
    <w:rsid w:val="004A2865"/>
    <w:rsid w:val="004A56DC"/>
    <w:rsid w:val="004A6845"/>
    <w:rsid w:val="004B03CB"/>
    <w:rsid w:val="004B2633"/>
    <w:rsid w:val="004B3CDB"/>
    <w:rsid w:val="004B4DED"/>
    <w:rsid w:val="004B5130"/>
    <w:rsid w:val="004B63D4"/>
    <w:rsid w:val="004E2FD7"/>
    <w:rsid w:val="004E5D21"/>
    <w:rsid w:val="004E66FE"/>
    <w:rsid w:val="004E6DBF"/>
    <w:rsid w:val="004F674F"/>
    <w:rsid w:val="00500046"/>
    <w:rsid w:val="00501AA7"/>
    <w:rsid w:val="00507F88"/>
    <w:rsid w:val="005113BF"/>
    <w:rsid w:val="005157D4"/>
    <w:rsid w:val="00516330"/>
    <w:rsid w:val="00520F7A"/>
    <w:rsid w:val="0052133B"/>
    <w:rsid w:val="00526949"/>
    <w:rsid w:val="00526B08"/>
    <w:rsid w:val="00530634"/>
    <w:rsid w:val="00533B37"/>
    <w:rsid w:val="00534967"/>
    <w:rsid w:val="0054045C"/>
    <w:rsid w:val="00541EDF"/>
    <w:rsid w:val="0055199F"/>
    <w:rsid w:val="005544BB"/>
    <w:rsid w:val="00554724"/>
    <w:rsid w:val="00554A14"/>
    <w:rsid w:val="00554D98"/>
    <w:rsid w:val="005556EE"/>
    <w:rsid w:val="005601D2"/>
    <w:rsid w:val="00560673"/>
    <w:rsid w:val="00561FBF"/>
    <w:rsid w:val="00567E2F"/>
    <w:rsid w:val="00572945"/>
    <w:rsid w:val="0057736C"/>
    <w:rsid w:val="00583F57"/>
    <w:rsid w:val="00586F64"/>
    <w:rsid w:val="005904CF"/>
    <w:rsid w:val="00596098"/>
    <w:rsid w:val="00597B0D"/>
    <w:rsid w:val="005A0804"/>
    <w:rsid w:val="005A1F70"/>
    <w:rsid w:val="005A4058"/>
    <w:rsid w:val="005B553D"/>
    <w:rsid w:val="005B7DD7"/>
    <w:rsid w:val="005C0256"/>
    <w:rsid w:val="005C1593"/>
    <w:rsid w:val="005C3631"/>
    <w:rsid w:val="005C6D95"/>
    <w:rsid w:val="005C7865"/>
    <w:rsid w:val="005D276D"/>
    <w:rsid w:val="005D5192"/>
    <w:rsid w:val="005D59FB"/>
    <w:rsid w:val="005D65EC"/>
    <w:rsid w:val="005D74C9"/>
    <w:rsid w:val="005E0770"/>
    <w:rsid w:val="005E13D7"/>
    <w:rsid w:val="005E2CA7"/>
    <w:rsid w:val="005E5835"/>
    <w:rsid w:val="005F18DB"/>
    <w:rsid w:val="005F2EFC"/>
    <w:rsid w:val="005F4231"/>
    <w:rsid w:val="0060031D"/>
    <w:rsid w:val="00600C79"/>
    <w:rsid w:val="0061120F"/>
    <w:rsid w:val="006171C2"/>
    <w:rsid w:val="00626AC4"/>
    <w:rsid w:val="00626DEE"/>
    <w:rsid w:val="00632B5A"/>
    <w:rsid w:val="00633104"/>
    <w:rsid w:val="00634F4A"/>
    <w:rsid w:val="006354D5"/>
    <w:rsid w:val="00635FB0"/>
    <w:rsid w:val="00637220"/>
    <w:rsid w:val="006376AB"/>
    <w:rsid w:val="00643A03"/>
    <w:rsid w:val="00644EE2"/>
    <w:rsid w:val="006466D8"/>
    <w:rsid w:val="00647D5B"/>
    <w:rsid w:val="0065020C"/>
    <w:rsid w:val="00650D63"/>
    <w:rsid w:val="006569AF"/>
    <w:rsid w:val="00660E1F"/>
    <w:rsid w:val="0066346F"/>
    <w:rsid w:val="00673546"/>
    <w:rsid w:val="00675869"/>
    <w:rsid w:val="00676793"/>
    <w:rsid w:val="006777AA"/>
    <w:rsid w:val="00690084"/>
    <w:rsid w:val="006907D6"/>
    <w:rsid w:val="00692FE8"/>
    <w:rsid w:val="0069469B"/>
    <w:rsid w:val="006A0AC9"/>
    <w:rsid w:val="006A6B97"/>
    <w:rsid w:val="006B202A"/>
    <w:rsid w:val="006B3BA4"/>
    <w:rsid w:val="006B6DAC"/>
    <w:rsid w:val="006B70D7"/>
    <w:rsid w:val="006B7D3B"/>
    <w:rsid w:val="006C0EBA"/>
    <w:rsid w:val="006C73BB"/>
    <w:rsid w:val="006D4AC6"/>
    <w:rsid w:val="006D799B"/>
    <w:rsid w:val="006E1415"/>
    <w:rsid w:val="006E6105"/>
    <w:rsid w:val="006F00CD"/>
    <w:rsid w:val="006F2E30"/>
    <w:rsid w:val="006F401F"/>
    <w:rsid w:val="00700108"/>
    <w:rsid w:val="007116BC"/>
    <w:rsid w:val="00711A7F"/>
    <w:rsid w:val="00714D05"/>
    <w:rsid w:val="00714DE7"/>
    <w:rsid w:val="00715C92"/>
    <w:rsid w:val="007246FE"/>
    <w:rsid w:val="00725682"/>
    <w:rsid w:val="007309A4"/>
    <w:rsid w:val="0074076A"/>
    <w:rsid w:val="00742D15"/>
    <w:rsid w:val="00742D77"/>
    <w:rsid w:val="00744345"/>
    <w:rsid w:val="00760920"/>
    <w:rsid w:val="0076215A"/>
    <w:rsid w:val="00766A7D"/>
    <w:rsid w:val="00766E4C"/>
    <w:rsid w:val="00770DC9"/>
    <w:rsid w:val="00781C84"/>
    <w:rsid w:val="007836DB"/>
    <w:rsid w:val="00785EA1"/>
    <w:rsid w:val="00790784"/>
    <w:rsid w:val="00794BF6"/>
    <w:rsid w:val="00796F29"/>
    <w:rsid w:val="007A6151"/>
    <w:rsid w:val="007B272F"/>
    <w:rsid w:val="007D5D8E"/>
    <w:rsid w:val="007E0D76"/>
    <w:rsid w:val="007F1DDB"/>
    <w:rsid w:val="007F24C1"/>
    <w:rsid w:val="00812ED0"/>
    <w:rsid w:val="00822365"/>
    <w:rsid w:val="00824B4E"/>
    <w:rsid w:val="00831AC3"/>
    <w:rsid w:val="00836FC0"/>
    <w:rsid w:val="00840120"/>
    <w:rsid w:val="00841FE9"/>
    <w:rsid w:val="00853725"/>
    <w:rsid w:val="0085387D"/>
    <w:rsid w:val="008545F3"/>
    <w:rsid w:val="0085624D"/>
    <w:rsid w:val="00862566"/>
    <w:rsid w:val="00864903"/>
    <w:rsid w:val="00873C09"/>
    <w:rsid w:val="008745ED"/>
    <w:rsid w:val="008748D1"/>
    <w:rsid w:val="008838AE"/>
    <w:rsid w:val="008862F5"/>
    <w:rsid w:val="008966DD"/>
    <w:rsid w:val="00896EF7"/>
    <w:rsid w:val="008A2CEC"/>
    <w:rsid w:val="008A37A1"/>
    <w:rsid w:val="008A698C"/>
    <w:rsid w:val="008B36A3"/>
    <w:rsid w:val="008B46E0"/>
    <w:rsid w:val="008B5887"/>
    <w:rsid w:val="008C0C8D"/>
    <w:rsid w:val="008C3A30"/>
    <w:rsid w:val="008C49B2"/>
    <w:rsid w:val="008C70D0"/>
    <w:rsid w:val="008C7FCA"/>
    <w:rsid w:val="008D4E37"/>
    <w:rsid w:val="008D50B7"/>
    <w:rsid w:val="008D5DA4"/>
    <w:rsid w:val="008D793A"/>
    <w:rsid w:val="008E4A3C"/>
    <w:rsid w:val="008E6E5F"/>
    <w:rsid w:val="008F0F1A"/>
    <w:rsid w:val="008F30B7"/>
    <w:rsid w:val="008F4817"/>
    <w:rsid w:val="008F654D"/>
    <w:rsid w:val="008F6C45"/>
    <w:rsid w:val="008F79B2"/>
    <w:rsid w:val="009000E7"/>
    <w:rsid w:val="00901CED"/>
    <w:rsid w:val="00904543"/>
    <w:rsid w:val="00905334"/>
    <w:rsid w:val="0090661D"/>
    <w:rsid w:val="00913224"/>
    <w:rsid w:val="009208E8"/>
    <w:rsid w:val="00921BD6"/>
    <w:rsid w:val="0092229A"/>
    <w:rsid w:val="009232D5"/>
    <w:rsid w:val="00926514"/>
    <w:rsid w:val="0093651E"/>
    <w:rsid w:val="009366D7"/>
    <w:rsid w:val="009406D0"/>
    <w:rsid w:val="00943A62"/>
    <w:rsid w:val="00950438"/>
    <w:rsid w:val="00950946"/>
    <w:rsid w:val="009557BD"/>
    <w:rsid w:val="0095613B"/>
    <w:rsid w:val="00956530"/>
    <w:rsid w:val="00956FE9"/>
    <w:rsid w:val="00961802"/>
    <w:rsid w:val="00963705"/>
    <w:rsid w:val="0096772F"/>
    <w:rsid w:val="00974171"/>
    <w:rsid w:val="009802A4"/>
    <w:rsid w:val="00981A09"/>
    <w:rsid w:val="00983482"/>
    <w:rsid w:val="00983EC1"/>
    <w:rsid w:val="0098437A"/>
    <w:rsid w:val="0099044E"/>
    <w:rsid w:val="009918A6"/>
    <w:rsid w:val="009957B7"/>
    <w:rsid w:val="00996F9A"/>
    <w:rsid w:val="00997DCD"/>
    <w:rsid w:val="009A1777"/>
    <w:rsid w:val="009B0D27"/>
    <w:rsid w:val="009B0E2F"/>
    <w:rsid w:val="009B78A5"/>
    <w:rsid w:val="009C0DDF"/>
    <w:rsid w:val="009C1A4C"/>
    <w:rsid w:val="009C2334"/>
    <w:rsid w:val="009C2E08"/>
    <w:rsid w:val="009C6FA2"/>
    <w:rsid w:val="009C7619"/>
    <w:rsid w:val="009D289D"/>
    <w:rsid w:val="009E0222"/>
    <w:rsid w:val="009E451C"/>
    <w:rsid w:val="009E63CC"/>
    <w:rsid w:val="009F0914"/>
    <w:rsid w:val="009F0B8F"/>
    <w:rsid w:val="009F28F0"/>
    <w:rsid w:val="009F2A13"/>
    <w:rsid w:val="009F3817"/>
    <w:rsid w:val="009F6D98"/>
    <w:rsid w:val="00A01E0D"/>
    <w:rsid w:val="00A01F56"/>
    <w:rsid w:val="00A073CA"/>
    <w:rsid w:val="00A1579F"/>
    <w:rsid w:val="00A20135"/>
    <w:rsid w:val="00A351D9"/>
    <w:rsid w:val="00A4755D"/>
    <w:rsid w:val="00A54393"/>
    <w:rsid w:val="00A6039F"/>
    <w:rsid w:val="00A614EC"/>
    <w:rsid w:val="00A6210F"/>
    <w:rsid w:val="00A746AA"/>
    <w:rsid w:val="00A8745E"/>
    <w:rsid w:val="00A97244"/>
    <w:rsid w:val="00A97E55"/>
    <w:rsid w:val="00AA55CE"/>
    <w:rsid w:val="00AB3DAD"/>
    <w:rsid w:val="00AB577A"/>
    <w:rsid w:val="00AB633E"/>
    <w:rsid w:val="00AD6678"/>
    <w:rsid w:val="00AE12FC"/>
    <w:rsid w:val="00AF3610"/>
    <w:rsid w:val="00AF4FCF"/>
    <w:rsid w:val="00B011A0"/>
    <w:rsid w:val="00B0234B"/>
    <w:rsid w:val="00B035B2"/>
    <w:rsid w:val="00B06CB3"/>
    <w:rsid w:val="00B07683"/>
    <w:rsid w:val="00B1670A"/>
    <w:rsid w:val="00B20C3E"/>
    <w:rsid w:val="00B22C98"/>
    <w:rsid w:val="00B2633D"/>
    <w:rsid w:val="00B37A69"/>
    <w:rsid w:val="00B4072F"/>
    <w:rsid w:val="00B456FB"/>
    <w:rsid w:val="00B4623F"/>
    <w:rsid w:val="00B47610"/>
    <w:rsid w:val="00B47F30"/>
    <w:rsid w:val="00B52B62"/>
    <w:rsid w:val="00B67824"/>
    <w:rsid w:val="00B67CBB"/>
    <w:rsid w:val="00B73CC6"/>
    <w:rsid w:val="00B77529"/>
    <w:rsid w:val="00B775A3"/>
    <w:rsid w:val="00B82C27"/>
    <w:rsid w:val="00B904E0"/>
    <w:rsid w:val="00BA0D95"/>
    <w:rsid w:val="00BA2146"/>
    <w:rsid w:val="00BA3B4F"/>
    <w:rsid w:val="00BA51BA"/>
    <w:rsid w:val="00BB0AD8"/>
    <w:rsid w:val="00BB1337"/>
    <w:rsid w:val="00BB622F"/>
    <w:rsid w:val="00BB75CA"/>
    <w:rsid w:val="00BC2B69"/>
    <w:rsid w:val="00BC4956"/>
    <w:rsid w:val="00BD1A44"/>
    <w:rsid w:val="00BD1FCB"/>
    <w:rsid w:val="00BE646A"/>
    <w:rsid w:val="00BE6B68"/>
    <w:rsid w:val="00BF0226"/>
    <w:rsid w:val="00BF073E"/>
    <w:rsid w:val="00BF305E"/>
    <w:rsid w:val="00BF504D"/>
    <w:rsid w:val="00BF5343"/>
    <w:rsid w:val="00C0242D"/>
    <w:rsid w:val="00C02FF7"/>
    <w:rsid w:val="00C04E9D"/>
    <w:rsid w:val="00C07F22"/>
    <w:rsid w:val="00C13276"/>
    <w:rsid w:val="00C217DE"/>
    <w:rsid w:val="00C218DE"/>
    <w:rsid w:val="00C21E74"/>
    <w:rsid w:val="00C25782"/>
    <w:rsid w:val="00C300C8"/>
    <w:rsid w:val="00C353AE"/>
    <w:rsid w:val="00C35C5C"/>
    <w:rsid w:val="00C467C8"/>
    <w:rsid w:val="00C56400"/>
    <w:rsid w:val="00C615F0"/>
    <w:rsid w:val="00C630DB"/>
    <w:rsid w:val="00C635A9"/>
    <w:rsid w:val="00C71DA9"/>
    <w:rsid w:val="00C71F3D"/>
    <w:rsid w:val="00C71FDB"/>
    <w:rsid w:val="00C72C7F"/>
    <w:rsid w:val="00C743D4"/>
    <w:rsid w:val="00C76666"/>
    <w:rsid w:val="00C77A97"/>
    <w:rsid w:val="00C80297"/>
    <w:rsid w:val="00C87A6D"/>
    <w:rsid w:val="00C948FF"/>
    <w:rsid w:val="00C975D3"/>
    <w:rsid w:val="00C97C92"/>
    <w:rsid w:val="00CA095B"/>
    <w:rsid w:val="00CA4883"/>
    <w:rsid w:val="00CA718A"/>
    <w:rsid w:val="00CB0568"/>
    <w:rsid w:val="00CC0E19"/>
    <w:rsid w:val="00CC2FD1"/>
    <w:rsid w:val="00CC645E"/>
    <w:rsid w:val="00CC70D6"/>
    <w:rsid w:val="00CD1A46"/>
    <w:rsid w:val="00CE0E57"/>
    <w:rsid w:val="00CE0E6E"/>
    <w:rsid w:val="00CE2251"/>
    <w:rsid w:val="00CE38AB"/>
    <w:rsid w:val="00CE429E"/>
    <w:rsid w:val="00CE483A"/>
    <w:rsid w:val="00CE5495"/>
    <w:rsid w:val="00CE66DA"/>
    <w:rsid w:val="00CF7C35"/>
    <w:rsid w:val="00D00EF2"/>
    <w:rsid w:val="00D02989"/>
    <w:rsid w:val="00D02C9C"/>
    <w:rsid w:val="00D16AD7"/>
    <w:rsid w:val="00D20214"/>
    <w:rsid w:val="00D26CE2"/>
    <w:rsid w:val="00D322E8"/>
    <w:rsid w:val="00D3391F"/>
    <w:rsid w:val="00D364B1"/>
    <w:rsid w:val="00D37776"/>
    <w:rsid w:val="00D414C0"/>
    <w:rsid w:val="00D44FEE"/>
    <w:rsid w:val="00D47164"/>
    <w:rsid w:val="00D53B9C"/>
    <w:rsid w:val="00D6181A"/>
    <w:rsid w:val="00D631EB"/>
    <w:rsid w:val="00D663AE"/>
    <w:rsid w:val="00D760F8"/>
    <w:rsid w:val="00D76371"/>
    <w:rsid w:val="00D770E0"/>
    <w:rsid w:val="00D77940"/>
    <w:rsid w:val="00D80E80"/>
    <w:rsid w:val="00D83810"/>
    <w:rsid w:val="00D86ABD"/>
    <w:rsid w:val="00D87732"/>
    <w:rsid w:val="00D9420A"/>
    <w:rsid w:val="00D95302"/>
    <w:rsid w:val="00DA377F"/>
    <w:rsid w:val="00DA3EB1"/>
    <w:rsid w:val="00DA60D2"/>
    <w:rsid w:val="00DA72A6"/>
    <w:rsid w:val="00DA7B49"/>
    <w:rsid w:val="00DB72FF"/>
    <w:rsid w:val="00DC2862"/>
    <w:rsid w:val="00DC3694"/>
    <w:rsid w:val="00DC4638"/>
    <w:rsid w:val="00DC4C22"/>
    <w:rsid w:val="00DC5CC7"/>
    <w:rsid w:val="00DC6FB6"/>
    <w:rsid w:val="00DC742F"/>
    <w:rsid w:val="00DD6EA3"/>
    <w:rsid w:val="00DE37B7"/>
    <w:rsid w:val="00DE6578"/>
    <w:rsid w:val="00DF0E36"/>
    <w:rsid w:val="00DF4EC0"/>
    <w:rsid w:val="00E01762"/>
    <w:rsid w:val="00E047CD"/>
    <w:rsid w:val="00E10090"/>
    <w:rsid w:val="00E11284"/>
    <w:rsid w:val="00E11DC6"/>
    <w:rsid w:val="00E129AD"/>
    <w:rsid w:val="00E20ED7"/>
    <w:rsid w:val="00E24D6B"/>
    <w:rsid w:val="00E26822"/>
    <w:rsid w:val="00E337D3"/>
    <w:rsid w:val="00E364BB"/>
    <w:rsid w:val="00E37E98"/>
    <w:rsid w:val="00E409A9"/>
    <w:rsid w:val="00E41F87"/>
    <w:rsid w:val="00E43078"/>
    <w:rsid w:val="00E53266"/>
    <w:rsid w:val="00E53766"/>
    <w:rsid w:val="00E62DBF"/>
    <w:rsid w:val="00E738CC"/>
    <w:rsid w:val="00E74527"/>
    <w:rsid w:val="00E7456A"/>
    <w:rsid w:val="00E74906"/>
    <w:rsid w:val="00E76DBE"/>
    <w:rsid w:val="00E77697"/>
    <w:rsid w:val="00E77891"/>
    <w:rsid w:val="00E77D35"/>
    <w:rsid w:val="00E82F71"/>
    <w:rsid w:val="00E836E1"/>
    <w:rsid w:val="00E840B1"/>
    <w:rsid w:val="00E848CB"/>
    <w:rsid w:val="00E92E27"/>
    <w:rsid w:val="00E940FF"/>
    <w:rsid w:val="00E97691"/>
    <w:rsid w:val="00EA1A42"/>
    <w:rsid w:val="00EA4360"/>
    <w:rsid w:val="00EB573A"/>
    <w:rsid w:val="00EC0640"/>
    <w:rsid w:val="00EC13B6"/>
    <w:rsid w:val="00EC36F7"/>
    <w:rsid w:val="00EC52F2"/>
    <w:rsid w:val="00EC772F"/>
    <w:rsid w:val="00EC7B03"/>
    <w:rsid w:val="00ED0271"/>
    <w:rsid w:val="00ED16B6"/>
    <w:rsid w:val="00ED26A8"/>
    <w:rsid w:val="00ED5645"/>
    <w:rsid w:val="00ED7522"/>
    <w:rsid w:val="00ED7EEC"/>
    <w:rsid w:val="00EE0A81"/>
    <w:rsid w:val="00EE2A59"/>
    <w:rsid w:val="00EE5875"/>
    <w:rsid w:val="00EF4C8A"/>
    <w:rsid w:val="00EF5E1B"/>
    <w:rsid w:val="00F03DF7"/>
    <w:rsid w:val="00F1220A"/>
    <w:rsid w:val="00F12AFF"/>
    <w:rsid w:val="00F14E91"/>
    <w:rsid w:val="00F229B0"/>
    <w:rsid w:val="00F249C9"/>
    <w:rsid w:val="00F27AEB"/>
    <w:rsid w:val="00F31374"/>
    <w:rsid w:val="00F3564B"/>
    <w:rsid w:val="00F357E3"/>
    <w:rsid w:val="00F363E1"/>
    <w:rsid w:val="00F40BBC"/>
    <w:rsid w:val="00F42234"/>
    <w:rsid w:val="00F4408F"/>
    <w:rsid w:val="00F44B8C"/>
    <w:rsid w:val="00F57512"/>
    <w:rsid w:val="00F60A2D"/>
    <w:rsid w:val="00F64014"/>
    <w:rsid w:val="00F647AF"/>
    <w:rsid w:val="00F64A64"/>
    <w:rsid w:val="00F65138"/>
    <w:rsid w:val="00F72F6E"/>
    <w:rsid w:val="00F7332B"/>
    <w:rsid w:val="00F74644"/>
    <w:rsid w:val="00F7471E"/>
    <w:rsid w:val="00F75DE6"/>
    <w:rsid w:val="00F770BE"/>
    <w:rsid w:val="00F8343B"/>
    <w:rsid w:val="00F91828"/>
    <w:rsid w:val="00FA090A"/>
    <w:rsid w:val="00FA19A7"/>
    <w:rsid w:val="00FA3480"/>
    <w:rsid w:val="00FA4263"/>
    <w:rsid w:val="00FA4396"/>
    <w:rsid w:val="00FA7E35"/>
    <w:rsid w:val="00FC4291"/>
    <w:rsid w:val="00FC73E7"/>
    <w:rsid w:val="00FD37D3"/>
    <w:rsid w:val="00FD6131"/>
    <w:rsid w:val="00FE196C"/>
    <w:rsid w:val="00FE1FBC"/>
    <w:rsid w:val="00FE57A7"/>
    <w:rsid w:val="00FF1E14"/>
    <w:rsid w:val="00FF5B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4CE3E"/>
  <w15:chartTrackingRefBased/>
  <w15:docId w15:val="{53B8AAA8-32EE-48A6-8646-65EB9A958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172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0172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600C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0">
    <w:name w:val="heading 4"/>
    <w:basedOn w:val="a"/>
    <w:next w:val="a"/>
    <w:link w:val="41"/>
    <w:uiPriority w:val="9"/>
    <w:semiHidden/>
    <w:unhideWhenUsed/>
    <w:qFormat/>
    <w:rsid w:val="0001723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01723B"/>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nhideWhenUsed/>
    <w:qFormat/>
    <w:rsid w:val="0001723B"/>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01723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1723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1723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4916C2"/>
    <w:rPr>
      <w:i/>
      <w:iCs/>
    </w:rPr>
  </w:style>
  <w:style w:type="paragraph" w:styleId="a4">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Знак Знак"/>
    <w:basedOn w:val="a"/>
    <w:link w:val="a5"/>
    <w:uiPriority w:val="99"/>
    <w:unhideWhenUsed/>
    <w:qFormat/>
    <w:rsid w:val="00DA3EB1"/>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DA3EB1"/>
    <w:rPr>
      <w:b/>
      <w:bCs/>
    </w:rPr>
  </w:style>
  <w:style w:type="character" w:styleId="a7">
    <w:name w:val="Hyperlink"/>
    <w:basedOn w:val="a0"/>
    <w:uiPriority w:val="99"/>
    <w:unhideWhenUsed/>
    <w:rsid w:val="00DA3EB1"/>
    <w:rPr>
      <w:color w:val="0000FF"/>
      <w:u w:val="single"/>
    </w:rPr>
  </w:style>
  <w:style w:type="table" w:styleId="a8">
    <w:name w:val="Table Grid"/>
    <w:aliases w:val="TABLEAU"/>
    <w:basedOn w:val="a1"/>
    <w:uiPriority w:val="59"/>
    <w:rsid w:val="00CE22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Grid Table 3 Accent 5"/>
    <w:basedOn w:val="a1"/>
    <w:uiPriority w:val="48"/>
    <w:rsid w:val="00CE225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styleId="a9">
    <w:name w:val="Unresolved Mention"/>
    <w:basedOn w:val="a0"/>
    <w:uiPriority w:val="99"/>
    <w:semiHidden/>
    <w:unhideWhenUsed/>
    <w:rsid w:val="00B775A3"/>
    <w:rPr>
      <w:color w:val="605E5C"/>
      <w:shd w:val="clear" w:color="auto" w:fill="E1DFDD"/>
    </w:rPr>
  </w:style>
  <w:style w:type="paragraph" w:customStyle="1" w:styleId="aa">
    <w:name w:val="Рисунки"/>
    <w:basedOn w:val="ab"/>
    <w:link w:val="ac"/>
    <w:autoRedefine/>
    <w:qFormat/>
    <w:rsid w:val="00DF0E36"/>
    <w:pPr>
      <w:spacing w:after="0"/>
      <w:ind w:firstLine="709"/>
      <w:contextualSpacing/>
      <w:jc w:val="center"/>
    </w:pPr>
    <w:rPr>
      <w:rFonts w:ascii="Times New Roman" w:eastAsia="Calibri" w:hAnsi="Times New Roman" w:cs="Times New Roman"/>
      <w:i w:val="0"/>
      <w:color w:val="auto"/>
      <w:sz w:val="24"/>
      <w:szCs w:val="24"/>
      <w:lang w:val="en-US" w:eastAsia="ru-RU"/>
    </w:rPr>
  </w:style>
  <w:style w:type="character" w:customStyle="1" w:styleId="ac">
    <w:name w:val="Рисунки Знак"/>
    <w:basedOn w:val="a0"/>
    <w:link w:val="aa"/>
    <w:rsid w:val="00DF0E36"/>
    <w:rPr>
      <w:rFonts w:ascii="Times New Roman" w:eastAsia="Calibri" w:hAnsi="Times New Roman" w:cs="Times New Roman"/>
      <w:iCs/>
      <w:sz w:val="24"/>
      <w:szCs w:val="24"/>
      <w:lang w:val="en-US" w:eastAsia="ru-RU"/>
    </w:rPr>
  </w:style>
  <w:style w:type="paragraph" w:styleId="ab">
    <w:name w:val="caption"/>
    <w:basedOn w:val="a"/>
    <w:next w:val="a"/>
    <w:uiPriority w:val="35"/>
    <w:semiHidden/>
    <w:unhideWhenUsed/>
    <w:qFormat/>
    <w:rsid w:val="00997DCD"/>
    <w:pPr>
      <w:spacing w:after="200" w:line="240" w:lineRule="auto"/>
    </w:pPr>
    <w:rPr>
      <w:i/>
      <w:iCs/>
      <w:color w:val="44546A" w:themeColor="text2"/>
      <w:sz w:val="18"/>
      <w:szCs w:val="18"/>
    </w:rPr>
  </w:style>
  <w:style w:type="character" w:customStyle="1" w:styleId="selectable-text">
    <w:name w:val="selectable-text"/>
    <w:basedOn w:val="a0"/>
    <w:rsid w:val="00DC5CC7"/>
  </w:style>
  <w:style w:type="paragraph" w:styleId="ad">
    <w:name w:val="List Paragraph"/>
    <w:aliases w:val="маркированный,ПАРАГРАФ"/>
    <w:basedOn w:val="a"/>
    <w:link w:val="ae"/>
    <w:uiPriority w:val="34"/>
    <w:qFormat/>
    <w:rsid w:val="00DC5CC7"/>
    <w:pPr>
      <w:ind w:left="720"/>
      <w:contextualSpacing/>
    </w:pPr>
  </w:style>
  <w:style w:type="character" w:customStyle="1" w:styleId="ae">
    <w:name w:val="Абзац списка Знак"/>
    <w:aliases w:val="маркированный Знак,ПАРАГРАФ Знак"/>
    <w:link w:val="ad"/>
    <w:uiPriority w:val="34"/>
    <w:rsid w:val="00DC5CC7"/>
    <w:rPr>
      <w:lang w:val="ru-RU"/>
    </w:rPr>
  </w:style>
  <w:style w:type="character" w:customStyle="1" w:styleId="a5">
    <w:name w:val="Обычный (Интернет)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basedOn w:val="a0"/>
    <w:link w:val="a4"/>
    <w:uiPriority w:val="99"/>
    <w:rsid w:val="00600C79"/>
    <w:rPr>
      <w:rFonts w:ascii="Times New Roman" w:eastAsia="Times New Roman" w:hAnsi="Times New Roman" w:cs="Times New Roman"/>
      <w:sz w:val="24"/>
      <w:szCs w:val="24"/>
    </w:rPr>
  </w:style>
  <w:style w:type="paragraph" w:styleId="af">
    <w:name w:val="No Spacing"/>
    <w:uiPriority w:val="1"/>
    <w:qFormat/>
    <w:rsid w:val="00600C79"/>
    <w:pPr>
      <w:spacing w:after="0" w:line="240" w:lineRule="auto"/>
    </w:pPr>
  </w:style>
  <w:style w:type="paragraph" w:customStyle="1" w:styleId="af0">
    <w:name w:val="Таблицы"/>
    <w:basedOn w:val="a4"/>
    <w:link w:val="af1"/>
    <w:autoRedefine/>
    <w:qFormat/>
    <w:rsid w:val="00600C79"/>
    <w:pPr>
      <w:keepNext/>
      <w:spacing w:before="0" w:beforeAutospacing="0" w:after="360" w:afterAutospacing="0"/>
      <w:contextualSpacing/>
      <w:jc w:val="center"/>
    </w:pPr>
    <w:rPr>
      <w:sz w:val="28"/>
      <w:lang w:eastAsia="ru-RU"/>
    </w:rPr>
  </w:style>
  <w:style w:type="character" w:customStyle="1" w:styleId="af1">
    <w:name w:val="Таблицы Знак"/>
    <w:basedOn w:val="a0"/>
    <w:link w:val="af0"/>
    <w:rsid w:val="00600C79"/>
    <w:rPr>
      <w:rFonts w:ascii="Times New Roman" w:eastAsia="Times New Roman" w:hAnsi="Times New Roman" w:cs="Times New Roman"/>
      <w:sz w:val="28"/>
      <w:szCs w:val="24"/>
      <w:lang w:val="ru-RU" w:eastAsia="ru-RU"/>
    </w:rPr>
  </w:style>
  <w:style w:type="character" w:customStyle="1" w:styleId="30">
    <w:name w:val="Заголовок 3 Знак"/>
    <w:basedOn w:val="a0"/>
    <w:link w:val="3"/>
    <w:uiPriority w:val="9"/>
    <w:rsid w:val="00600C79"/>
    <w:rPr>
      <w:rFonts w:asciiTheme="majorHAnsi" w:eastAsiaTheme="majorEastAsia" w:hAnsiTheme="majorHAnsi" w:cstheme="majorBidi"/>
      <w:color w:val="1F3763" w:themeColor="accent1" w:themeShade="7F"/>
      <w:sz w:val="24"/>
      <w:szCs w:val="24"/>
      <w:lang w:val="ru-RU"/>
    </w:rPr>
  </w:style>
  <w:style w:type="table" w:styleId="-15">
    <w:name w:val="Grid Table 1 Light Accent 5"/>
    <w:basedOn w:val="a1"/>
    <w:uiPriority w:val="46"/>
    <w:rsid w:val="00600C7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af2">
    <w:name w:val="header"/>
    <w:basedOn w:val="a"/>
    <w:link w:val="af3"/>
    <w:uiPriority w:val="99"/>
    <w:unhideWhenUsed/>
    <w:rsid w:val="008C49B2"/>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8C49B2"/>
  </w:style>
  <w:style w:type="paragraph" w:styleId="af4">
    <w:name w:val="footer"/>
    <w:basedOn w:val="a"/>
    <w:link w:val="af5"/>
    <w:uiPriority w:val="99"/>
    <w:unhideWhenUsed/>
    <w:rsid w:val="008C49B2"/>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8C49B2"/>
  </w:style>
  <w:style w:type="character" w:styleId="af6">
    <w:name w:val="annotation reference"/>
    <w:basedOn w:val="a0"/>
    <w:uiPriority w:val="99"/>
    <w:semiHidden/>
    <w:unhideWhenUsed/>
    <w:rsid w:val="00007BE3"/>
    <w:rPr>
      <w:sz w:val="16"/>
      <w:szCs w:val="16"/>
    </w:rPr>
  </w:style>
  <w:style w:type="paragraph" w:styleId="af7">
    <w:name w:val="annotation text"/>
    <w:basedOn w:val="a"/>
    <w:link w:val="af8"/>
    <w:uiPriority w:val="99"/>
    <w:semiHidden/>
    <w:unhideWhenUsed/>
    <w:rsid w:val="00007BE3"/>
    <w:pPr>
      <w:spacing w:line="240" w:lineRule="auto"/>
    </w:pPr>
    <w:rPr>
      <w:sz w:val="20"/>
      <w:szCs w:val="20"/>
    </w:rPr>
  </w:style>
  <w:style w:type="character" w:customStyle="1" w:styleId="af8">
    <w:name w:val="Текст примечания Знак"/>
    <w:basedOn w:val="a0"/>
    <w:link w:val="af7"/>
    <w:uiPriority w:val="99"/>
    <w:semiHidden/>
    <w:rsid w:val="00007BE3"/>
    <w:rPr>
      <w:sz w:val="20"/>
      <w:szCs w:val="20"/>
    </w:rPr>
  </w:style>
  <w:style w:type="paragraph" w:styleId="af9">
    <w:name w:val="annotation subject"/>
    <w:basedOn w:val="af7"/>
    <w:next w:val="af7"/>
    <w:link w:val="afa"/>
    <w:uiPriority w:val="99"/>
    <w:semiHidden/>
    <w:unhideWhenUsed/>
    <w:rsid w:val="00007BE3"/>
    <w:rPr>
      <w:b/>
      <w:bCs/>
    </w:rPr>
  </w:style>
  <w:style w:type="character" w:customStyle="1" w:styleId="afa">
    <w:name w:val="Тема примечания Знак"/>
    <w:basedOn w:val="af8"/>
    <w:link w:val="af9"/>
    <w:uiPriority w:val="99"/>
    <w:semiHidden/>
    <w:rsid w:val="00007BE3"/>
    <w:rPr>
      <w:b/>
      <w:bCs/>
      <w:sz w:val="20"/>
      <w:szCs w:val="20"/>
    </w:rPr>
  </w:style>
  <w:style w:type="paragraph" w:styleId="afb">
    <w:name w:val="Balloon Text"/>
    <w:basedOn w:val="a"/>
    <w:link w:val="afc"/>
    <w:uiPriority w:val="99"/>
    <w:semiHidden/>
    <w:unhideWhenUsed/>
    <w:rsid w:val="004524BE"/>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4524BE"/>
    <w:rPr>
      <w:rFonts w:ascii="Segoe UI" w:hAnsi="Segoe UI" w:cs="Segoe UI"/>
      <w:sz w:val="18"/>
      <w:szCs w:val="18"/>
    </w:rPr>
  </w:style>
  <w:style w:type="character" w:styleId="afd">
    <w:name w:val="FollowedHyperlink"/>
    <w:basedOn w:val="a0"/>
    <w:uiPriority w:val="99"/>
    <w:semiHidden/>
    <w:unhideWhenUsed/>
    <w:rsid w:val="00465214"/>
    <w:rPr>
      <w:color w:val="954F72" w:themeColor="followedHyperlink"/>
      <w:u w:val="single"/>
    </w:rPr>
  </w:style>
  <w:style w:type="paragraph" w:customStyle="1" w:styleId="Default">
    <w:name w:val="Default"/>
    <w:rsid w:val="00F122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60">
    <w:name w:val="Заголовок 6 Знак"/>
    <w:basedOn w:val="a0"/>
    <w:link w:val="6"/>
    <w:rsid w:val="0001723B"/>
    <w:rPr>
      <w:rFonts w:asciiTheme="majorHAnsi" w:eastAsiaTheme="majorEastAsia" w:hAnsiTheme="majorHAnsi" w:cstheme="majorBidi"/>
      <w:color w:val="1F3763" w:themeColor="accent1" w:themeShade="7F"/>
    </w:rPr>
  </w:style>
  <w:style w:type="character" w:customStyle="1" w:styleId="10">
    <w:name w:val="Заголовок 1 Знак"/>
    <w:basedOn w:val="a0"/>
    <w:link w:val="1"/>
    <w:uiPriority w:val="9"/>
    <w:rsid w:val="0001723B"/>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01723B"/>
    <w:rPr>
      <w:rFonts w:asciiTheme="majorHAnsi" w:eastAsiaTheme="majorEastAsia" w:hAnsiTheme="majorHAnsi" w:cstheme="majorBidi"/>
      <w:color w:val="2F5496" w:themeColor="accent1" w:themeShade="BF"/>
      <w:sz w:val="26"/>
      <w:szCs w:val="26"/>
    </w:rPr>
  </w:style>
  <w:style w:type="character" w:customStyle="1" w:styleId="41">
    <w:name w:val="Заголовок 4 Знак"/>
    <w:basedOn w:val="a0"/>
    <w:link w:val="40"/>
    <w:uiPriority w:val="9"/>
    <w:semiHidden/>
    <w:rsid w:val="0001723B"/>
    <w:rPr>
      <w:rFonts w:eastAsiaTheme="majorEastAsia" w:cstheme="majorBidi"/>
      <w:i/>
      <w:iCs/>
      <w:color w:val="2F5496" w:themeColor="accent1" w:themeShade="BF"/>
    </w:rPr>
  </w:style>
  <w:style w:type="character" w:customStyle="1" w:styleId="50">
    <w:name w:val="Заголовок 5 Знак"/>
    <w:basedOn w:val="a0"/>
    <w:link w:val="5"/>
    <w:uiPriority w:val="9"/>
    <w:rsid w:val="0001723B"/>
    <w:rPr>
      <w:rFonts w:asciiTheme="majorHAnsi" w:eastAsiaTheme="majorEastAsia" w:hAnsiTheme="majorHAnsi" w:cstheme="majorBidi"/>
      <w:color w:val="2F5496" w:themeColor="accent1" w:themeShade="BF"/>
    </w:rPr>
  </w:style>
  <w:style w:type="character" w:customStyle="1" w:styleId="70">
    <w:name w:val="Заголовок 7 Знак"/>
    <w:basedOn w:val="a0"/>
    <w:link w:val="7"/>
    <w:uiPriority w:val="9"/>
    <w:semiHidden/>
    <w:rsid w:val="0001723B"/>
    <w:rPr>
      <w:rFonts w:eastAsiaTheme="majorEastAsia" w:cstheme="majorBidi"/>
      <w:color w:val="595959" w:themeColor="text1" w:themeTint="A6"/>
    </w:rPr>
  </w:style>
  <w:style w:type="character" w:customStyle="1" w:styleId="80">
    <w:name w:val="Заголовок 8 Знак"/>
    <w:basedOn w:val="a0"/>
    <w:link w:val="8"/>
    <w:uiPriority w:val="9"/>
    <w:semiHidden/>
    <w:rsid w:val="0001723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1723B"/>
    <w:rPr>
      <w:rFonts w:eastAsiaTheme="majorEastAsia" w:cstheme="majorBidi"/>
      <w:color w:val="272727" w:themeColor="text1" w:themeTint="D8"/>
    </w:rPr>
  </w:style>
  <w:style w:type="character" w:customStyle="1" w:styleId="author">
    <w:name w:val="author"/>
    <w:basedOn w:val="a0"/>
    <w:rsid w:val="0001723B"/>
  </w:style>
  <w:style w:type="character" w:customStyle="1" w:styleId="11">
    <w:name w:val="Неразрешенное упоминание1"/>
    <w:basedOn w:val="a0"/>
    <w:uiPriority w:val="99"/>
    <w:semiHidden/>
    <w:unhideWhenUsed/>
    <w:rsid w:val="0001723B"/>
    <w:rPr>
      <w:color w:val="605E5C"/>
      <w:shd w:val="clear" w:color="auto" w:fill="E1DFDD"/>
    </w:rPr>
  </w:style>
  <w:style w:type="character" w:customStyle="1" w:styleId="afe">
    <w:name w:val="_"/>
    <w:basedOn w:val="a0"/>
    <w:rsid w:val="0001723B"/>
  </w:style>
  <w:style w:type="character" w:customStyle="1" w:styleId="ff2">
    <w:name w:val="ff2"/>
    <w:basedOn w:val="a0"/>
    <w:rsid w:val="0001723B"/>
  </w:style>
  <w:style w:type="character" w:customStyle="1" w:styleId="ls78">
    <w:name w:val="ls78"/>
    <w:basedOn w:val="a0"/>
    <w:rsid w:val="0001723B"/>
  </w:style>
  <w:style w:type="character" w:customStyle="1" w:styleId="ws1ac">
    <w:name w:val="ws1ac"/>
    <w:basedOn w:val="a0"/>
    <w:rsid w:val="0001723B"/>
  </w:style>
  <w:style w:type="character" w:customStyle="1" w:styleId="ls6f">
    <w:name w:val="ls6f"/>
    <w:basedOn w:val="a0"/>
    <w:rsid w:val="0001723B"/>
  </w:style>
  <w:style w:type="character" w:customStyle="1" w:styleId="ws1ad">
    <w:name w:val="ws1ad"/>
    <w:basedOn w:val="a0"/>
    <w:rsid w:val="0001723B"/>
  </w:style>
  <w:style w:type="character" w:customStyle="1" w:styleId="ls75">
    <w:name w:val="ls75"/>
    <w:basedOn w:val="a0"/>
    <w:rsid w:val="0001723B"/>
  </w:style>
  <w:style w:type="character" w:customStyle="1" w:styleId="ws1af">
    <w:name w:val="ws1af"/>
    <w:basedOn w:val="a0"/>
    <w:rsid w:val="0001723B"/>
  </w:style>
  <w:style w:type="character" w:customStyle="1" w:styleId="ls6d">
    <w:name w:val="ls6d"/>
    <w:basedOn w:val="a0"/>
    <w:rsid w:val="0001723B"/>
  </w:style>
  <w:style w:type="character" w:customStyle="1" w:styleId="ls79">
    <w:name w:val="ls79"/>
    <w:basedOn w:val="a0"/>
    <w:rsid w:val="0001723B"/>
  </w:style>
  <w:style w:type="character" w:customStyle="1" w:styleId="ff3">
    <w:name w:val="ff3"/>
    <w:basedOn w:val="a0"/>
    <w:rsid w:val="0001723B"/>
  </w:style>
  <w:style w:type="character" w:customStyle="1" w:styleId="citationsource-journal">
    <w:name w:val="citation_source-journal"/>
    <w:basedOn w:val="a0"/>
    <w:rsid w:val="0001723B"/>
  </w:style>
  <w:style w:type="numbering" w:customStyle="1" w:styleId="4">
    <w:name w:val="Імпортований стиль 4"/>
    <w:rsid w:val="0001723B"/>
    <w:pPr>
      <w:numPr>
        <w:numId w:val="23"/>
      </w:numPr>
    </w:pPr>
  </w:style>
  <w:style w:type="paragraph" w:styleId="aff">
    <w:name w:val="Plain Text"/>
    <w:basedOn w:val="a"/>
    <w:link w:val="aff0"/>
    <w:uiPriority w:val="99"/>
    <w:unhideWhenUsed/>
    <w:rsid w:val="0001723B"/>
    <w:pPr>
      <w:spacing w:after="0" w:line="240" w:lineRule="auto"/>
    </w:pPr>
    <w:rPr>
      <w:rFonts w:ascii="Consolas" w:hAnsi="Consolas"/>
      <w:sz w:val="21"/>
      <w:szCs w:val="21"/>
    </w:rPr>
  </w:style>
  <w:style w:type="character" w:customStyle="1" w:styleId="aff0">
    <w:name w:val="Текст Знак"/>
    <w:basedOn w:val="a0"/>
    <w:link w:val="aff"/>
    <w:uiPriority w:val="99"/>
    <w:rsid w:val="0001723B"/>
    <w:rPr>
      <w:rFonts w:ascii="Consolas" w:hAnsi="Consolas"/>
      <w:sz w:val="21"/>
      <w:szCs w:val="21"/>
    </w:rPr>
  </w:style>
  <w:style w:type="character" w:customStyle="1" w:styleId="articletitle">
    <w:name w:val="articletitle"/>
    <w:basedOn w:val="a0"/>
    <w:rsid w:val="0001723B"/>
  </w:style>
  <w:style w:type="character" w:customStyle="1" w:styleId="vol">
    <w:name w:val="vol"/>
    <w:basedOn w:val="a0"/>
    <w:rsid w:val="0001723B"/>
  </w:style>
  <w:style w:type="character" w:customStyle="1" w:styleId="pubyear">
    <w:name w:val="pubyear"/>
    <w:basedOn w:val="a0"/>
    <w:rsid w:val="0001723B"/>
  </w:style>
  <w:style w:type="paragraph" w:customStyle="1" w:styleId="12">
    <w:name w:val="Стиль1"/>
    <w:basedOn w:val="1"/>
    <w:link w:val="13"/>
    <w:autoRedefine/>
    <w:qFormat/>
    <w:rsid w:val="0001723B"/>
    <w:pPr>
      <w:pageBreakBefore/>
      <w:spacing w:before="0" w:line="240" w:lineRule="auto"/>
      <w:ind w:firstLine="709"/>
      <w:contextualSpacing/>
      <w:jc w:val="center"/>
    </w:pPr>
    <w:rPr>
      <w:rFonts w:ascii="Times New Roman" w:hAnsi="Times New Roman"/>
      <w:b/>
      <w:color w:val="auto"/>
      <w:sz w:val="28"/>
      <w:szCs w:val="28"/>
      <w:lang w:val="en-US"/>
    </w:rPr>
  </w:style>
  <w:style w:type="character" w:styleId="aff1">
    <w:name w:val="line number"/>
    <w:basedOn w:val="a0"/>
    <w:uiPriority w:val="99"/>
    <w:semiHidden/>
    <w:unhideWhenUsed/>
    <w:rsid w:val="0001723B"/>
  </w:style>
  <w:style w:type="character" w:customStyle="1" w:styleId="pagefirst">
    <w:name w:val="pagefirst"/>
    <w:basedOn w:val="a0"/>
    <w:rsid w:val="0001723B"/>
  </w:style>
  <w:style w:type="character" w:customStyle="1" w:styleId="pagelast">
    <w:name w:val="pagelast"/>
    <w:basedOn w:val="a0"/>
    <w:rsid w:val="0001723B"/>
  </w:style>
  <w:style w:type="paragraph" w:styleId="aff2">
    <w:name w:val="Body Text"/>
    <w:basedOn w:val="a"/>
    <w:link w:val="aff3"/>
    <w:rsid w:val="0001723B"/>
    <w:pPr>
      <w:spacing w:after="0" w:line="240" w:lineRule="auto"/>
      <w:jc w:val="both"/>
    </w:pPr>
    <w:rPr>
      <w:rFonts w:ascii="Times New Roman" w:eastAsia="Times New Roman" w:hAnsi="Times New Roman" w:cs="Times New Roman"/>
      <w:sz w:val="24"/>
      <w:szCs w:val="24"/>
      <w:lang w:eastAsia="ru-RU"/>
    </w:rPr>
  </w:style>
  <w:style w:type="character" w:customStyle="1" w:styleId="aff3">
    <w:name w:val="Основной текст Знак"/>
    <w:basedOn w:val="a0"/>
    <w:link w:val="aff2"/>
    <w:rsid w:val="0001723B"/>
    <w:rPr>
      <w:rFonts w:ascii="Times New Roman" w:eastAsia="Times New Roman" w:hAnsi="Times New Roman" w:cs="Times New Roman"/>
      <w:sz w:val="24"/>
      <w:szCs w:val="24"/>
      <w:lang w:eastAsia="ru-RU"/>
    </w:rPr>
  </w:style>
  <w:style w:type="paragraph" w:customStyle="1" w:styleId="question">
    <w:name w:val="question"/>
    <w:basedOn w:val="a"/>
    <w:rsid w:val="0001723B"/>
    <w:pPr>
      <w:spacing w:after="0" w:line="240" w:lineRule="auto"/>
    </w:pPr>
    <w:rPr>
      <w:rFonts w:ascii="Times New Roman" w:eastAsia="Times New Roman" w:hAnsi="Times New Roman" w:cs="Times New Roman"/>
      <w:b/>
      <w:bCs/>
      <w:sz w:val="20"/>
      <w:szCs w:val="20"/>
      <w:lang w:val="en-GB"/>
    </w:rPr>
  </w:style>
  <w:style w:type="paragraph" w:customStyle="1" w:styleId="nova-legacy-e-listitem">
    <w:name w:val="nova-legacy-e-list__item"/>
    <w:basedOn w:val="a"/>
    <w:rsid w:val="0001723B"/>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017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01723B"/>
    <w:rPr>
      <w:rFonts w:ascii="Courier New" w:eastAsia="Times New Roman" w:hAnsi="Courier New" w:cs="Courier New"/>
      <w:sz w:val="20"/>
      <w:szCs w:val="20"/>
    </w:rPr>
  </w:style>
  <w:style w:type="character" w:customStyle="1" w:styleId="y2iqfc">
    <w:name w:val="y2iqfc"/>
    <w:basedOn w:val="a0"/>
    <w:rsid w:val="0001723B"/>
  </w:style>
  <w:style w:type="character" w:styleId="aff4">
    <w:name w:val="Placeholder Text"/>
    <w:basedOn w:val="a0"/>
    <w:uiPriority w:val="99"/>
    <w:semiHidden/>
    <w:rsid w:val="0001723B"/>
    <w:rPr>
      <w:color w:val="808080"/>
    </w:rPr>
  </w:style>
  <w:style w:type="paragraph" w:styleId="aff5">
    <w:name w:val="Revision"/>
    <w:hidden/>
    <w:uiPriority w:val="99"/>
    <w:semiHidden/>
    <w:rsid w:val="0001723B"/>
    <w:pPr>
      <w:spacing w:after="0" w:line="240" w:lineRule="auto"/>
    </w:pPr>
  </w:style>
  <w:style w:type="character" w:customStyle="1" w:styleId="13">
    <w:name w:val="Стиль1 Знак"/>
    <w:basedOn w:val="a0"/>
    <w:link w:val="12"/>
    <w:rsid w:val="0001723B"/>
    <w:rPr>
      <w:rFonts w:ascii="Times New Roman" w:eastAsiaTheme="majorEastAsia" w:hAnsi="Times New Roman" w:cstheme="majorBidi"/>
      <w:b/>
      <w:sz w:val="28"/>
      <w:szCs w:val="28"/>
      <w:lang w:val="en-US"/>
    </w:rPr>
  </w:style>
  <w:style w:type="character" w:styleId="HTML1">
    <w:name w:val="HTML Cite"/>
    <w:basedOn w:val="a0"/>
    <w:uiPriority w:val="99"/>
    <w:semiHidden/>
    <w:unhideWhenUsed/>
    <w:rsid w:val="0001723B"/>
    <w:rPr>
      <w:i/>
      <w:iCs/>
    </w:rPr>
  </w:style>
  <w:style w:type="paragraph" w:styleId="aff6">
    <w:name w:val="Title"/>
    <w:basedOn w:val="a"/>
    <w:next w:val="a"/>
    <w:link w:val="aff7"/>
    <w:uiPriority w:val="10"/>
    <w:qFormat/>
    <w:rsid w:val="0001723B"/>
    <w:pPr>
      <w:spacing w:after="80"/>
      <w:contextualSpacing/>
    </w:pPr>
    <w:rPr>
      <w:rFonts w:asciiTheme="majorHAnsi" w:eastAsiaTheme="majorEastAsia" w:hAnsiTheme="majorHAnsi" w:cstheme="majorBidi"/>
      <w:spacing w:val="-10"/>
      <w:kern w:val="28"/>
      <w:sz w:val="56"/>
      <w:szCs w:val="56"/>
    </w:rPr>
  </w:style>
  <w:style w:type="character" w:customStyle="1" w:styleId="aff7">
    <w:name w:val="Заголовок Знак"/>
    <w:basedOn w:val="a0"/>
    <w:link w:val="aff6"/>
    <w:uiPriority w:val="10"/>
    <w:rsid w:val="0001723B"/>
    <w:rPr>
      <w:rFonts w:asciiTheme="majorHAnsi" w:eastAsiaTheme="majorEastAsia" w:hAnsiTheme="majorHAnsi" w:cstheme="majorBidi"/>
      <w:spacing w:val="-10"/>
      <w:kern w:val="28"/>
      <w:sz w:val="56"/>
      <w:szCs w:val="56"/>
    </w:rPr>
  </w:style>
  <w:style w:type="paragraph" w:styleId="aff8">
    <w:name w:val="Subtitle"/>
    <w:basedOn w:val="a"/>
    <w:next w:val="a"/>
    <w:link w:val="aff9"/>
    <w:uiPriority w:val="11"/>
    <w:qFormat/>
    <w:rsid w:val="0001723B"/>
    <w:pPr>
      <w:numPr>
        <w:ilvl w:val="1"/>
      </w:numPr>
    </w:pPr>
    <w:rPr>
      <w:rFonts w:eastAsiaTheme="majorEastAsia" w:cstheme="majorBidi"/>
      <w:color w:val="595959" w:themeColor="text1" w:themeTint="A6"/>
      <w:spacing w:val="15"/>
      <w:szCs w:val="28"/>
    </w:rPr>
  </w:style>
  <w:style w:type="character" w:customStyle="1" w:styleId="aff9">
    <w:name w:val="Подзаголовок Знак"/>
    <w:basedOn w:val="a0"/>
    <w:link w:val="aff8"/>
    <w:uiPriority w:val="11"/>
    <w:rsid w:val="0001723B"/>
    <w:rPr>
      <w:rFonts w:eastAsiaTheme="majorEastAsia" w:cstheme="majorBidi"/>
      <w:color w:val="595959" w:themeColor="text1" w:themeTint="A6"/>
      <w:spacing w:val="15"/>
      <w:szCs w:val="28"/>
    </w:rPr>
  </w:style>
  <w:style w:type="paragraph" w:styleId="21">
    <w:name w:val="Quote"/>
    <w:basedOn w:val="a"/>
    <w:next w:val="a"/>
    <w:link w:val="22"/>
    <w:uiPriority w:val="29"/>
    <w:qFormat/>
    <w:rsid w:val="0001723B"/>
    <w:pPr>
      <w:spacing w:before="160"/>
      <w:jc w:val="center"/>
    </w:pPr>
    <w:rPr>
      <w:i/>
      <w:iCs/>
      <w:color w:val="404040" w:themeColor="text1" w:themeTint="BF"/>
    </w:rPr>
  </w:style>
  <w:style w:type="character" w:customStyle="1" w:styleId="22">
    <w:name w:val="Цитата 2 Знак"/>
    <w:basedOn w:val="a0"/>
    <w:link w:val="21"/>
    <w:uiPriority w:val="29"/>
    <w:rsid w:val="0001723B"/>
    <w:rPr>
      <w:i/>
      <w:iCs/>
      <w:color w:val="404040" w:themeColor="text1" w:themeTint="BF"/>
    </w:rPr>
  </w:style>
  <w:style w:type="character" w:styleId="affa">
    <w:name w:val="Intense Emphasis"/>
    <w:basedOn w:val="a0"/>
    <w:uiPriority w:val="21"/>
    <w:qFormat/>
    <w:rsid w:val="0001723B"/>
    <w:rPr>
      <w:i/>
      <w:iCs/>
      <w:color w:val="2F5496" w:themeColor="accent1" w:themeShade="BF"/>
    </w:rPr>
  </w:style>
  <w:style w:type="paragraph" w:styleId="affb">
    <w:name w:val="Intense Quote"/>
    <w:basedOn w:val="a"/>
    <w:next w:val="a"/>
    <w:link w:val="affc"/>
    <w:uiPriority w:val="30"/>
    <w:qFormat/>
    <w:rsid w:val="000172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fc">
    <w:name w:val="Выделенная цитата Знак"/>
    <w:basedOn w:val="a0"/>
    <w:link w:val="affb"/>
    <w:uiPriority w:val="30"/>
    <w:rsid w:val="0001723B"/>
    <w:rPr>
      <w:i/>
      <w:iCs/>
      <w:color w:val="2F5496" w:themeColor="accent1" w:themeShade="BF"/>
    </w:rPr>
  </w:style>
  <w:style w:type="character" w:styleId="affd">
    <w:name w:val="Intense Reference"/>
    <w:basedOn w:val="a0"/>
    <w:uiPriority w:val="32"/>
    <w:qFormat/>
    <w:rsid w:val="0001723B"/>
    <w:rPr>
      <w:b/>
      <w:bCs/>
      <w:smallCaps/>
      <w:color w:val="2F5496" w:themeColor="accent1" w:themeShade="BF"/>
      <w:spacing w:val="5"/>
    </w:rPr>
  </w:style>
  <w:style w:type="character" w:customStyle="1" w:styleId="anchor-text">
    <w:name w:val="anchor-text"/>
    <w:basedOn w:val="a0"/>
    <w:rsid w:val="00CE5495"/>
  </w:style>
  <w:style w:type="character" w:customStyle="1" w:styleId="relative">
    <w:name w:val="relative"/>
    <w:basedOn w:val="a0"/>
    <w:rsid w:val="00CE5495"/>
  </w:style>
  <w:style w:type="character" w:customStyle="1" w:styleId="max-w-full">
    <w:name w:val="max-w-full"/>
    <w:basedOn w:val="a0"/>
    <w:rsid w:val="00CE5495"/>
  </w:style>
  <w:style w:type="table" w:styleId="affe">
    <w:name w:val="Grid Table Light"/>
    <w:basedOn w:val="a1"/>
    <w:uiPriority w:val="40"/>
    <w:rsid w:val="0074076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700703">
      <w:bodyDiv w:val="1"/>
      <w:marLeft w:val="0"/>
      <w:marRight w:val="0"/>
      <w:marTop w:val="0"/>
      <w:marBottom w:val="0"/>
      <w:divBdr>
        <w:top w:val="none" w:sz="0" w:space="0" w:color="auto"/>
        <w:left w:val="none" w:sz="0" w:space="0" w:color="auto"/>
        <w:bottom w:val="none" w:sz="0" w:space="0" w:color="auto"/>
        <w:right w:val="none" w:sz="0" w:space="0" w:color="auto"/>
      </w:divBdr>
      <w:divsChild>
        <w:div w:id="71196269">
          <w:marLeft w:val="0"/>
          <w:marRight w:val="0"/>
          <w:marTop w:val="0"/>
          <w:marBottom w:val="0"/>
          <w:divBdr>
            <w:top w:val="none" w:sz="0" w:space="0" w:color="auto"/>
            <w:left w:val="none" w:sz="0" w:space="0" w:color="auto"/>
            <w:bottom w:val="none" w:sz="0" w:space="0" w:color="auto"/>
            <w:right w:val="none" w:sz="0" w:space="0" w:color="auto"/>
          </w:divBdr>
        </w:div>
      </w:divsChild>
    </w:div>
    <w:div w:id="384139236">
      <w:bodyDiv w:val="1"/>
      <w:marLeft w:val="0"/>
      <w:marRight w:val="0"/>
      <w:marTop w:val="0"/>
      <w:marBottom w:val="0"/>
      <w:divBdr>
        <w:top w:val="none" w:sz="0" w:space="0" w:color="auto"/>
        <w:left w:val="none" w:sz="0" w:space="0" w:color="auto"/>
        <w:bottom w:val="none" w:sz="0" w:space="0" w:color="auto"/>
        <w:right w:val="none" w:sz="0" w:space="0" w:color="auto"/>
      </w:divBdr>
    </w:div>
    <w:div w:id="407264962">
      <w:bodyDiv w:val="1"/>
      <w:marLeft w:val="0"/>
      <w:marRight w:val="0"/>
      <w:marTop w:val="0"/>
      <w:marBottom w:val="0"/>
      <w:divBdr>
        <w:top w:val="none" w:sz="0" w:space="0" w:color="auto"/>
        <w:left w:val="none" w:sz="0" w:space="0" w:color="auto"/>
        <w:bottom w:val="none" w:sz="0" w:space="0" w:color="auto"/>
        <w:right w:val="none" w:sz="0" w:space="0" w:color="auto"/>
      </w:divBdr>
    </w:div>
    <w:div w:id="420614239">
      <w:bodyDiv w:val="1"/>
      <w:marLeft w:val="0"/>
      <w:marRight w:val="0"/>
      <w:marTop w:val="0"/>
      <w:marBottom w:val="0"/>
      <w:divBdr>
        <w:top w:val="none" w:sz="0" w:space="0" w:color="auto"/>
        <w:left w:val="none" w:sz="0" w:space="0" w:color="auto"/>
        <w:bottom w:val="none" w:sz="0" w:space="0" w:color="auto"/>
        <w:right w:val="none" w:sz="0" w:space="0" w:color="auto"/>
      </w:divBdr>
    </w:div>
    <w:div w:id="430666696">
      <w:bodyDiv w:val="1"/>
      <w:marLeft w:val="0"/>
      <w:marRight w:val="0"/>
      <w:marTop w:val="0"/>
      <w:marBottom w:val="0"/>
      <w:divBdr>
        <w:top w:val="none" w:sz="0" w:space="0" w:color="auto"/>
        <w:left w:val="none" w:sz="0" w:space="0" w:color="auto"/>
        <w:bottom w:val="none" w:sz="0" w:space="0" w:color="auto"/>
        <w:right w:val="none" w:sz="0" w:space="0" w:color="auto"/>
      </w:divBdr>
      <w:divsChild>
        <w:div w:id="1557088008">
          <w:marLeft w:val="0"/>
          <w:marRight w:val="0"/>
          <w:marTop w:val="0"/>
          <w:marBottom w:val="0"/>
          <w:divBdr>
            <w:top w:val="none" w:sz="0" w:space="0" w:color="auto"/>
            <w:left w:val="none" w:sz="0" w:space="0" w:color="auto"/>
            <w:bottom w:val="none" w:sz="0" w:space="0" w:color="auto"/>
            <w:right w:val="none" w:sz="0" w:space="0" w:color="auto"/>
          </w:divBdr>
        </w:div>
      </w:divsChild>
    </w:div>
    <w:div w:id="430706654">
      <w:bodyDiv w:val="1"/>
      <w:marLeft w:val="0"/>
      <w:marRight w:val="0"/>
      <w:marTop w:val="0"/>
      <w:marBottom w:val="0"/>
      <w:divBdr>
        <w:top w:val="none" w:sz="0" w:space="0" w:color="auto"/>
        <w:left w:val="none" w:sz="0" w:space="0" w:color="auto"/>
        <w:bottom w:val="none" w:sz="0" w:space="0" w:color="auto"/>
        <w:right w:val="none" w:sz="0" w:space="0" w:color="auto"/>
      </w:divBdr>
    </w:div>
    <w:div w:id="570846570">
      <w:bodyDiv w:val="1"/>
      <w:marLeft w:val="0"/>
      <w:marRight w:val="0"/>
      <w:marTop w:val="0"/>
      <w:marBottom w:val="0"/>
      <w:divBdr>
        <w:top w:val="none" w:sz="0" w:space="0" w:color="auto"/>
        <w:left w:val="none" w:sz="0" w:space="0" w:color="auto"/>
        <w:bottom w:val="none" w:sz="0" w:space="0" w:color="auto"/>
        <w:right w:val="none" w:sz="0" w:space="0" w:color="auto"/>
      </w:divBdr>
    </w:div>
    <w:div w:id="611286374">
      <w:bodyDiv w:val="1"/>
      <w:marLeft w:val="0"/>
      <w:marRight w:val="0"/>
      <w:marTop w:val="0"/>
      <w:marBottom w:val="0"/>
      <w:divBdr>
        <w:top w:val="none" w:sz="0" w:space="0" w:color="auto"/>
        <w:left w:val="none" w:sz="0" w:space="0" w:color="auto"/>
        <w:bottom w:val="none" w:sz="0" w:space="0" w:color="auto"/>
        <w:right w:val="none" w:sz="0" w:space="0" w:color="auto"/>
      </w:divBdr>
      <w:divsChild>
        <w:div w:id="1407074226">
          <w:marLeft w:val="0"/>
          <w:marRight w:val="0"/>
          <w:marTop w:val="0"/>
          <w:marBottom w:val="0"/>
          <w:divBdr>
            <w:top w:val="none" w:sz="0" w:space="0" w:color="auto"/>
            <w:left w:val="none" w:sz="0" w:space="0" w:color="auto"/>
            <w:bottom w:val="none" w:sz="0" w:space="0" w:color="auto"/>
            <w:right w:val="none" w:sz="0" w:space="0" w:color="auto"/>
          </w:divBdr>
        </w:div>
      </w:divsChild>
    </w:div>
    <w:div w:id="1130173238">
      <w:bodyDiv w:val="1"/>
      <w:marLeft w:val="0"/>
      <w:marRight w:val="0"/>
      <w:marTop w:val="0"/>
      <w:marBottom w:val="0"/>
      <w:divBdr>
        <w:top w:val="none" w:sz="0" w:space="0" w:color="auto"/>
        <w:left w:val="none" w:sz="0" w:space="0" w:color="auto"/>
        <w:bottom w:val="none" w:sz="0" w:space="0" w:color="auto"/>
        <w:right w:val="none" w:sz="0" w:space="0" w:color="auto"/>
      </w:divBdr>
      <w:divsChild>
        <w:div w:id="1132484713">
          <w:marLeft w:val="0"/>
          <w:marRight w:val="0"/>
          <w:marTop w:val="0"/>
          <w:marBottom w:val="0"/>
          <w:divBdr>
            <w:top w:val="none" w:sz="0" w:space="0" w:color="auto"/>
            <w:left w:val="none" w:sz="0" w:space="0" w:color="auto"/>
            <w:bottom w:val="none" w:sz="0" w:space="0" w:color="auto"/>
            <w:right w:val="none" w:sz="0" w:space="0" w:color="auto"/>
          </w:divBdr>
        </w:div>
      </w:divsChild>
    </w:div>
    <w:div w:id="1244803680">
      <w:bodyDiv w:val="1"/>
      <w:marLeft w:val="0"/>
      <w:marRight w:val="0"/>
      <w:marTop w:val="0"/>
      <w:marBottom w:val="0"/>
      <w:divBdr>
        <w:top w:val="none" w:sz="0" w:space="0" w:color="auto"/>
        <w:left w:val="none" w:sz="0" w:space="0" w:color="auto"/>
        <w:bottom w:val="none" w:sz="0" w:space="0" w:color="auto"/>
        <w:right w:val="none" w:sz="0" w:space="0" w:color="auto"/>
      </w:divBdr>
    </w:div>
    <w:div w:id="1476609741">
      <w:bodyDiv w:val="1"/>
      <w:marLeft w:val="0"/>
      <w:marRight w:val="0"/>
      <w:marTop w:val="0"/>
      <w:marBottom w:val="0"/>
      <w:divBdr>
        <w:top w:val="none" w:sz="0" w:space="0" w:color="auto"/>
        <w:left w:val="none" w:sz="0" w:space="0" w:color="auto"/>
        <w:bottom w:val="none" w:sz="0" w:space="0" w:color="auto"/>
        <w:right w:val="none" w:sz="0" w:space="0" w:color="auto"/>
      </w:divBdr>
      <w:divsChild>
        <w:div w:id="572010335">
          <w:marLeft w:val="0"/>
          <w:marRight w:val="0"/>
          <w:marTop w:val="0"/>
          <w:marBottom w:val="0"/>
          <w:divBdr>
            <w:top w:val="none" w:sz="0" w:space="0" w:color="auto"/>
            <w:left w:val="none" w:sz="0" w:space="0" w:color="auto"/>
            <w:bottom w:val="none" w:sz="0" w:space="0" w:color="auto"/>
            <w:right w:val="none" w:sz="0" w:space="0" w:color="auto"/>
          </w:divBdr>
        </w:div>
      </w:divsChild>
    </w:div>
    <w:div w:id="1583636947">
      <w:bodyDiv w:val="1"/>
      <w:marLeft w:val="0"/>
      <w:marRight w:val="0"/>
      <w:marTop w:val="0"/>
      <w:marBottom w:val="0"/>
      <w:divBdr>
        <w:top w:val="none" w:sz="0" w:space="0" w:color="auto"/>
        <w:left w:val="none" w:sz="0" w:space="0" w:color="auto"/>
        <w:bottom w:val="none" w:sz="0" w:space="0" w:color="auto"/>
        <w:right w:val="none" w:sz="0" w:space="0" w:color="auto"/>
      </w:divBdr>
    </w:div>
    <w:div w:id="1711884082">
      <w:bodyDiv w:val="1"/>
      <w:marLeft w:val="0"/>
      <w:marRight w:val="0"/>
      <w:marTop w:val="0"/>
      <w:marBottom w:val="0"/>
      <w:divBdr>
        <w:top w:val="none" w:sz="0" w:space="0" w:color="auto"/>
        <w:left w:val="none" w:sz="0" w:space="0" w:color="auto"/>
        <w:bottom w:val="none" w:sz="0" w:space="0" w:color="auto"/>
        <w:right w:val="none" w:sz="0" w:space="0" w:color="auto"/>
      </w:divBdr>
      <w:divsChild>
        <w:div w:id="1945189763">
          <w:marLeft w:val="0"/>
          <w:marRight w:val="0"/>
          <w:marTop w:val="0"/>
          <w:marBottom w:val="0"/>
          <w:divBdr>
            <w:top w:val="none" w:sz="0" w:space="0" w:color="auto"/>
            <w:left w:val="none" w:sz="0" w:space="0" w:color="auto"/>
            <w:bottom w:val="none" w:sz="0" w:space="0" w:color="auto"/>
            <w:right w:val="none" w:sz="0" w:space="0" w:color="auto"/>
          </w:divBdr>
        </w:div>
      </w:divsChild>
    </w:div>
    <w:div w:id="1819607208">
      <w:bodyDiv w:val="1"/>
      <w:marLeft w:val="0"/>
      <w:marRight w:val="0"/>
      <w:marTop w:val="0"/>
      <w:marBottom w:val="0"/>
      <w:divBdr>
        <w:top w:val="none" w:sz="0" w:space="0" w:color="auto"/>
        <w:left w:val="none" w:sz="0" w:space="0" w:color="auto"/>
        <w:bottom w:val="none" w:sz="0" w:space="0" w:color="auto"/>
        <w:right w:val="none" w:sz="0" w:space="0" w:color="auto"/>
      </w:divBdr>
      <w:divsChild>
        <w:div w:id="450056140">
          <w:marLeft w:val="0"/>
          <w:marRight w:val="0"/>
          <w:marTop w:val="0"/>
          <w:marBottom w:val="0"/>
          <w:divBdr>
            <w:top w:val="none" w:sz="0" w:space="0" w:color="auto"/>
            <w:left w:val="none" w:sz="0" w:space="0" w:color="auto"/>
            <w:bottom w:val="none" w:sz="0" w:space="0" w:color="auto"/>
            <w:right w:val="none" w:sz="0" w:space="0" w:color="auto"/>
          </w:divBdr>
        </w:div>
      </w:divsChild>
    </w:div>
    <w:div w:id="1845507744">
      <w:bodyDiv w:val="1"/>
      <w:marLeft w:val="0"/>
      <w:marRight w:val="0"/>
      <w:marTop w:val="0"/>
      <w:marBottom w:val="0"/>
      <w:divBdr>
        <w:top w:val="none" w:sz="0" w:space="0" w:color="auto"/>
        <w:left w:val="none" w:sz="0" w:space="0" w:color="auto"/>
        <w:bottom w:val="none" w:sz="0" w:space="0" w:color="auto"/>
        <w:right w:val="none" w:sz="0" w:space="0" w:color="auto"/>
      </w:divBdr>
    </w:div>
    <w:div w:id="1948929815">
      <w:bodyDiv w:val="1"/>
      <w:marLeft w:val="0"/>
      <w:marRight w:val="0"/>
      <w:marTop w:val="0"/>
      <w:marBottom w:val="0"/>
      <w:divBdr>
        <w:top w:val="none" w:sz="0" w:space="0" w:color="auto"/>
        <w:left w:val="none" w:sz="0" w:space="0" w:color="auto"/>
        <w:bottom w:val="none" w:sz="0" w:space="0" w:color="auto"/>
        <w:right w:val="none" w:sz="0" w:space="0" w:color="auto"/>
      </w:divBdr>
    </w:div>
    <w:div w:id="2018340778">
      <w:bodyDiv w:val="1"/>
      <w:marLeft w:val="0"/>
      <w:marRight w:val="0"/>
      <w:marTop w:val="0"/>
      <w:marBottom w:val="0"/>
      <w:divBdr>
        <w:top w:val="none" w:sz="0" w:space="0" w:color="auto"/>
        <w:left w:val="none" w:sz="0" w:space="0" w:color="auto"/>
        <w:bottom w:val="none" w:sz="0" w:space="0" w:color="auto"/>
        <w:right w:val="none" w:sz="0" w:space="0" w:color="auto"/>
      </w:divBdr>
      <w:divsChild>
        <w:div w:id="1849173428">
          <w:marLeft w:val="0"/>
          <w:marRight w:val="0"/>
          <w:marTop w:val="0"/>
          <w:marBottom w:val="0"/>
          <w:divBdr>
            <w:top w:val="none" w:sz="0" w:space="0" w:color="auto"/>
            <w:left w:val="none" w:sz="0" w:space="0" w:color="auto"/>
            <w:bottom w:val="none" w:sz="0" w:space="0" w:color="auto"/>
            <w:right w:val="none" w:sz="0" w:space="0" w:color="auto"/>
          </w:divBdr>
        </w:div>
      </w:divsChild>
    </w:div>
    <w:div w:id="2077629714">
      <w:bodyDiv w:val="1"/>
      <w:marLeft w:val="0"/>
      <w:marRight w:val="0"/>
      <w:marTop w:val="0"/>
      <w:marBottom w:val="0"/>
      <w:divBdr>
        <w:top w:val="none" w:sz="0" w:space="0" w:color="auto"/>
        <w:left w:val="none" w:sz="0" w:space="0" w:color="auto"/>
        <w:bottom w:val="none" w:sz="0" w:space="0" w:color="auto"/>
        <w:right w:val="none" w:sz="0" w:space="0" w:color="auto"/>
      </w:divBdr>
    </w:div>
    <w:div w:id="214022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merald.com/insight/search?q=Josep%20Rialp" TargetMode="External"/><Relationship Id="rId21" Type="http://schemas.openxmlformats.org/officeDocument/2006/relationships/diagramColors" Target="diagrams/colors3.xml"/><Relationship Id="rId63" Type="http://schemas.openxmlformats.org/officeDocument/2006/relationships/image" Target="media/image27.png"/><Relationship Id="rId159" Type="http://schemas.openxmlformats.org/officeDocument/2006/relationships/hyperlink" Target="https://taxsummaries.pwc.com/peoples-republic-of-china/corporate/deductions" TargetMode="External"/><Relationship Id="rId170" Type="http://schemas.openxmlformats.org/officeDocument/2006/relationships/hyperlink" Target="https://www.wipo.int/publications/en/details.jsp?id=4434&amp;plang=EN" TargetMode="External"/><Relationship Id="rId226" Type="http://schemas.openxmlformats.org/officeDocument/2006/relationships/hyperlink" Target="https://www.microsoft.com/en-us/education/blog/2024/07/university-of-sydney-building-custom-ai-solutions-with-azure-openai/" TargetMode="External"/><Relationship Id="rId107" Type="http://schemas.openxmlformats.org/officeDocument/2006/relationships/hyperlink" Target="https://doi.org/10.1007/s10734-005-1168-2" TargetMode="External"/><Relationship Id="rId268" Type="http://schemas.openxmlformats.org/officeDocument/2006/relationships/theme" Target="theme/theme1.xml"/><Relationship Id="rId11" Type="http://schemas.openxmlformats.org/officeDocument/2006/relationships/diagramColors" Target="diagrams/colors1.xml"/><Relationship Id="rId32" Type="http://schemas.openxmlformats.org/officeDocument/2006/relationships/image" Target="media/image5.png"/><Relationship Id="rId53" Type="http://schemas.openxmlformats.org/officeDocument/2006/relationships/chart" Target="charts/chart4.xml"/><Relationship Id="rId74" Type="http://schemas.openxmlformats.org/officeDocument/2006/relationships/diagramLayout" Target="diagrams/layout6.xml"/><Relationship Id="rId128" Type="http://schemas.openxmlformats.org/officeDocument/2006/relationships/hyperlink" Target="https://www.emerald.com/insight/publication/issn/1467-6370" TargetMode="External"/><Relationship Id="rId149" Type="http://schemas.openxmlformats.org/officeDocument/2006/relationships/hyperlink" Target="https://www.unibo.it/en/research/nrrp-opportunities-expectations-and-results/nrrp-projects-2013-innovative-phd-programmes-in-cooperation-with-businesses" TargetMode="External"/><Relationship Id="rId5" Type="http://schemas.openxmlformats.org/officeDocument/2006/relationships/webSettings" Target="webSettings.xml"/><Relationship Id="rId95" Type="http://schemas.openxmlformats.org/officeDocument/2006/relationships/hyperlink" Target="https://doi.org/10.24018/ejbmr.2023.8.3.1935" TargetMode="External"/><Relationship Id="rId160" Type="http://schemas.openxmlformats.org/officeDocument/2006/relationships/hyperlink" Target="https://taxsummaries.pwc.com/italy/corporate/tax-credits-and-incentives" TargetMode="External"/><Relationship Id="rId181" Type="http://schemas.openxmlformats.org/officeDocument/2006/relationships/hyperlink" Target="https://www.emerald.com/insight/search?q=Tamer%20Elsheikh" TargetMode="External"/><Relationship Id="rId216" Type="http://schemas.openxmlformats.org/officeDocument/2006/relationships/hyperlink" Target="https://kbtu.edu.kz/en/students/career-and-employment" TargetMode="External"/><Relationship Id="rId237" Type="http://schemas.openxmlformats.org/officeDocument/2006/relationships/hyperlink" Target="https://www.emerald.com/insight/search?q=Wanderlei%20Lima%20Paulo" TargetMode="External"/><Relationship Id="rId258" Type="http://schemas.openxmlformats.org/officeDocument/2006/relationships/hyperlink" Target="https://10.1504/WRSTSD.2012.047688" TargetMode="External"/><Relationship Id="rId22" Type="http://schemas.microsoft.com/office/2007/relationships/diagramDrawing" Target="diagrams/drawing3.xml"/><Relationship Id="rId43" Type="http://schemas.openxmlformats.org/officeDocument/2006/relationships/image" Target="media/image15.png"/><Relationship Id="rId64" Type="http://schemas.openxmlformats.org/officeDocument/2006/relationships/diagramData" Target="diagrams/data5.xml"/><Relationship Id="rId118" Type="http://schemas.openxmlformats.org/officeDocument/2006/relationships/hyperlink" Target="https://www.emerald.com/insight/publication/issn/1355-2554" TargetMode="External"/><Relationship Id="rId139" Type="http://schemas.openxmlformats.org/officeDocument/2006/relationships/hyperlink" Target="https://www.universal-publishers.com/m/book.php?method=ISBN&amp;book=1581129378" TargetMode="External"/><Relationship Id="rId85" Type="http://schemas.openxmlformats.org/officeDocument/2006/relationships/hyperlink" Target="https://www.python.org/downloads/release/python-3121/" TargetMode="External"/><Relationship Id="rId150" Type="http://schemas.openxmlformats.org/officeDocument/2006/relationships/hyperlink" Target="https://www.univpm.it/Entra/Research_1/University_and_Business/" TargetMode="External"/><Relationship Id="rId171" Type="http://schemas.openxmlformats.org/officeDocument/2006/relationships/hyperlink" Target="https://www.wipo.int/publications/en/details.jsp?id=4514&amp;plang=EN" TargetMode="External"/><Relationship Id="rId192" Type="http://schemas.openxmlformats.org/officeDocument/2006/relationships/hyperlink" Target="https://www.emerald.com/insight/search?q=Christopher%20Moon" TargetMode="External"/><Relationship Id="rId206" Type="http://schemas.openxmlformats.org/officeDocument/2006/relationships/hyperlink" Target="https://www.emerald.com/insight/publication/issn/0040-0912" TargetMode="External"/><Relationship Id="rId227" Type="http://schemas.openxmlformats.org/officeDocument/2006/relationships/hyperlink" Target="https://doi.org/10.3389/feduc.2024.1511605" TargetMode="External"/><Relationship Id="rId248" Type="http://schemas.openxmlformats.org/officeDocument/2006/relationships/hyperlink" Target="https://journals.plos.org/plosone/article?id=10.1371%2Fjournal.pone.0283850&amp;utm_source=chatgpt.com" TargetMode="External"/><Relationship Id="rId12" Type="http://schemas.microsoft.com/office/2007/relationships/diagramDrawing" Target="diagrams/drawing1.xml"/><Relationship Id="rId33" Type="http://schemas.openxmlformats.org/officeDocument/2006/relationships/image" Target="media/image6.png"/><Relationship Id="rId108" Type="http://schemas.openxmlformats.org/officeDocument/2006/relationships/hyperlink" Target="https://doi.org/10.17512/pjms.2020.22.2.20" TargetMode="External"/><Relationship Id="rId129" Type="http://schemas.openxmlformats.org/officeDocument/2006/relationships/hyperlink" Target="https://doi.org/10.1108/IJSHE-12-2023-0595" TargetMode="External"/><Relationship Id="rId54" Type="http://schemas.openxmlformats.org/officeDocument/2006/relationships/chart" Target="charts/chart5.xml"/><Relationship Id="rId75" Type="http://schemas.openxmlformats.org/officeDocument/2006/relationships/diagramQuickStyle" Target="diagrams/quickStyle6.xml"/><Relationship Id="rId96" Type="http://schemas.openxmlformats.org/officeDocument/2006/relationships/hyperlink" Target="https://doi.org/10.57111/econ/2.2023.51" TargetMode="External"/><Relationship Id="rId140" Type="http://schemas.openxmlformats.org/officeDocument/2006/relationships/hyperlink" Target="https://egov.kz/cms/ru/articles/road_business_map" TargetMode="External"/><Relationship Id="rId161" Type="http://schemas.openxmlformats.org/officeDocument/2006/relationships/hyperlink" Target="https://stats.areppim.com/listes/list_innovation_2009_2010.htm" TargetMode="External"/><Relationship Id="rId182" Type="http://schemas.openxmlformats.org/officeDocument/2006/relationships/hyperlink" Target="https://www.emerald.com/insight/search?q=Mohammed%20A.%20Al-Bukhrani" TargetMode="External"/><Relationship Id="rId217" Type="http://schemas.openxmlformats.org/officeDocument/2006/relationships/hyperlink" Target="https://enu.kz/en/page/graduates/alumni-office" TargetMode="External"/><Relationship Id="rId6" Type="http://schemas.openxmlformats.org/officeDocument/2006/relationships/footnotes" Target="footnotes.xml"/><Relationship Id="rId238" Type="http://schemas.openxmlformats.org/officeDocument/2006/relationships/hyperlink" Target="https://www.emerald.com/insight/search?q=Mirian%20Siqueira%20Gon%C3%A7alves" TargetMode="External"/><Relationship Id="rId259" Type="http://schemas.openxmlformats.org/officeDocument/2006/relationships/hyperlink" Target="https://doi.org/10.1155/2021/2217588" TargetMode="External"/><Relationship Id="rId23" Type="http://schemas.openxmlformats.org/officeDocument/2006/relationships/diagramData" Target="diagrams/data4.xml"/><Relationship Id="rId119" Type="http://schemas.openxmlformats.org/officeDocument/2006/relationships/hyperlink" Target="https://doi.org/10.1108/IJEBR-02-2022-0200" TargetMode="External"/><Relationship Id="rId44" Type="http://schemas.openxmlformats.org/officeDocument/2006/relationships/image" Target="media/image16.png"/><Relationship Id="rId65" Type="http://schemas.openxmlformats.org/officeDocument/2006/relationships/diagramLayout" Target="diagrams/layout5.xml"/><Relationship Id="rId86" Type="http://schemas.openxmlformats.org/officeDocument/2006/relationships/hyperlink" Target="https://cran.r-project.org/" TargetMode="External"/><Relationship Id="rId130" Type="http://schemas.openxmlformats.org/officeDocument/2006/relationships/hyperlink" Target="https://doi.org/10.1177/014920639101700108" TargetMode="External"/><Relationship Id="rId151" Type="http://schemas.openxmlformats.org/officeDocument/2006/relationships/hyperlink" Target="https://www.interregeurope.eu/good-practices/2i3t-business-incubator-and-technology-transfer-university-of-turin" TargetMode="External"/><Relationship Id="rId172" Type="http://schemas.openxmlformats.org/officeDocument/2006/relationships/hyperlink" Target="https://www.wipo.int/publications/en/details.jsp?id=4560&amp;plang=EN" TargetMode="External"/><Relationship Id="rId193" Type="http://schemas.openxmlformats.org/officeDocument/2006/relationships/hyperlink" Target="https://www.emerald.com/insight/search?q=Andreas%20Walmsley" TargetMode="External"/><Relationship Id="rId207" Type="http://schemas.openxmlformats.org/officeDocument/2006/relationships/hyperlink" Target="https://doi.org/10.1108/ET-11-2014-0137" TargetMode="External"/><Relationship Id="rId228" Type="http://schemas.openxmlformats.org/officeDocument/2006/relationships/hyperlink" Target="https://doi.org/10.3102/0002831207312909" TargetMode="External"/><Relationship Id="rId249" Type="http://schemas.openxmlformats.org/officeDocument/2006/relationships/hyperlink" Target="https://doi.org/10.1016/j.technovation.2007.07.012" TargetMode="External"/><Relationship Id="rId13" Type="http://schemas.openxmlformats.org/officeDocument/2006/relationships/diagramData" Target="diagrams/data2.xml"/><Relationship Id="rId109" Type="http://schemas.openxmlformats.org/officeDocument/2006/relationships/hyperlink" Target="https://doi.org/10.1177/1059601115617086" TargetMode="External"/><Relationship Id="rId260" Type="http://schemas.openxmlformats.org/officeDocument/2006/relationships/hyperlink" Target="https://doi.org/10.1080/09537325.2015.1060310" TargetMode="External"/><Relationship Id="rId34" Type="http://schemas.openxmlformats.org/officeDocument/2006/relationships/image" Target="media/image7.png"/><Relationship Id="rId55" Type="http://schemas.openxmlformats.org/officeDocument/2006/relationships/chart" Target="charts/chart6.xml"/><Relationship Id="rId76" Type="http://schemas.openxmlformats.org/officeDocument/2006/relationships/diagramColors" Target="diagrams/colors6.xml"/><Relationship Id="rId97" Type="http://schemas.openxmlformats.org/officeDocument/2006/relationships/hyperlink" Target="https://doi.org/10.1002/pmj.20064" TargetMode="External"/><Relationship Id="rId120" Type="http://schemas.openxmlformats.org/officeDocument/2006/relationships/hyperlink" Target="https://doi.org/10.15838/esc.2020.1.67.13" TargetMode="External"/><Relationship Id="rId141" Type="http://schemas.openxmlformats.org/officeDocument/2006/relationships/hyperlink" Target="https://www.startupblink.com/startup-ecosystem/kazakhstan?page=1" TargetMode="External"/><Relationship Id="rId7" Type="http://schemas.openxmlformats.org/officeDocument/2006/relationships/endnotes" Target="endnotes.xml"/><Relationship Id="rId162" Type="http://schemas.openxmlformats.org/officeDocument/2006/relationships/hyperlink" Target="https://www.wipo.int/publications/en/details.jsp?id=274&amp;plang=EN" TargetMode="External"/><Relationship Id="rId183" Type="http://schemas.openxmlformats.org/officeDocument/2006/relationships/hyperlink" Target="https://www.emerald.com/insight/publication/issn/1086-7376" TargetMode="External"/><Relationship Id="rId218" Type="http://schemas.openxmlformats.org/officeDocument/2006/relationships/hyperlink" Target="https://satbayev.university/en/career-center" TargetMode="External"/><Relationship Id="rId239" Type="http://schemas.openxmlformats.org/officeDocument/2006/relationships/hyperlink" Target="https://www.emerald.com/insight/search?q=Marcia%20Carvalho%20de%20Azevedo" TargetMode="External"/><Relationship Id="rId250" Type="http://schemas.openxmlformats.org/officeDocument/2006/relationships/hyperlink" Target="https://doi.org/10.5465/amle.2015.0026" TargetMode="External"/><Relationship Id="rId24" Type="http://schemas.openxmlformats.org/officeDocument/2006/relationships/diagramLayout" Target="diagrams/layout4.xml"/><Relationship Id="rId45" Type="http://schemas.openxmlformats.org/officeDocument/2006/relationships/image" Target="media/image17.png"/><Relationship Id="rId66" Type="http://schemas.openxmlformats.org/officeDocument/2006/relationships/diagramQuickStyle" Target="diagrams/quickStyle5.xml"/><Relationship Id="rId87" Type="http://schemas.openxmlformats.org/officeDocument/2006/relationships/hyperlink" Target="https://www.wipo.int/publications/en/" TargetMode="External"/><Relationship Id="rId110" Type="http://schemas.openxmlformats.org/officeDocument/2006/relationships/hyperlink" Target="https://doi.org/10.3389/fpsyg.2022.954828" TargetMode="External"/><Relationship Id="rId131" Type="http://schemas.openxmlformats.org/officeDocument/2006/relationships/hyperlink" Target="https://doi.org/10.1504/IJTM.2018.093936" TargetMode="External"/><Relationship Id="rId152" Type="http://schemas.openxmlformats.org/officeDocument/2006/relationships/hyperlink" Target="https://nu.edu.kz/research" TargetMode="External"/><Relationship Id="rId173" Type="http://schemas.openxmlformats.org/officeDocument/2006/relationships/hyperlink" Target="https://www.wipo.int/publications/en/details.jsp?id=4622&amp;plang=EN" TargetMode="External"/><Relationship Id="rId194" Type="http://schemas.openxmlformats.org/officeDocument/2006/relationships/hyperlink" Target="https://adilet.zan.kz/eng/docs/Z1500000285" TargetMode="External"/><Relationship Id="rId208" Type="http://schemas.openxmlformats.org/officeDocument/2006/relationships/hyperlink" Target="https://doi.org/10.1177/1477878515598060" TargetMode="External"/><Relationship Id="rId229" Type="http://schemas.openxmlformats.org/officeDocument/2006/relationships/hyperlink" Target="https://doi.org/10.1080/23311975.2023.2294514" TargetMode="External"/><Relationship Id="rId240" Type="http://schemas.openxmlformats.org/officeDocument/2006/relationships/hyperlink" Target="https://www.emerald.com/insight/search?q=Roberto%20Coda" TargetMode="External"/><Relationship Id="rId261" Type="http://schemas.openxmlformats.org/officeDocument/2006/relationships/hyperlink" Target="https://doi.org/10.1080/10242694.2018.1461790" TargetMode="External"/><Relationship Id="rId14" Type="http://schemas.openxmlformats.org/officeDocument/2006/relationships/diagramLayout" Target="diagrams/layout2.xml"/><Relationship Id="rId35" Type="http://schemas.openxmlformats.org/officeDocument/2006/relationships/chart" Target="charts/chart1.xml"/><Relationship Id="rId56" Type="http://schemas.openxmlformats.org/officeDocument/2006/relationships/chart" Target="charts/chart7.xml"/><Relationship Id="rId77" Type="http://schemas.microsoft.com/office/2007/relationships/diagramDrawing" Target="diagrams/drawing6.xml"/><Relationship Id="rId100" Type="http://schemas.openxmlformats.org/officeDocument/2006/relationships/hyperlink" Target="https://doi.org/10.1016/j.technovation.2004.03.004" TargetMode="External"/><Relationship Id="rId8" Type="http://schemas.openxmlformats.org/officeDocument/2006/relationships/diagramData" Target="diagrams/data1.xml"/><Relationship Id="rId98" Type="http://schemas.openxmlformats.org/officeDocument/2006/relationships/hyperlink" Target="https://dm.ageditor.ar/index.php/dm/article/view/394" TargetMode="External"/><Relationship Id="rId121" Type="http://schemas.openxmlformats.org/officeDocument/2006/relationships/hyperlink" Target="https://doi.org/10.15507/1991-9468.108.026.202203.402-417" TargetMode="External"/><Relationship Id="rId142" Type="http://schemas.openxmlformats.org/officeDocument/2006/relationships/hyperlink" Target="https://www.oecd.org/en/publications/managing-national-innovation-systems_9789264189416-en.html" TargetMode="External"/><Relationship Id="rId163" Type="http://schemas.openxmlformats.org/officeDocument/2006/relationships/hyperlink" Target="https://www.wipo.int/publications/en/details.jsp?id=247&amp;plang=EN" TargetMode="External"/><Relationship Id="rId184" Type="http://schemas.openxmlformats.org/officeDocument/2006/relationships/hyperlink" Target="https://ideas.repec.org/s/jso/coejbm.html" TargetMode="External"/><Relationship Id="rId219" Type="http://schemas.openxmlformats.org/officeDocument/2006/relationships/hyperlink" Target="https://narxoz.edu.kz/alumni" TargetMode="External"/><Relationship Id="rId230" Type="http://schemas.openxmlformats.org/officeDocument/2006/relationships/hyperlink" Target="https://www.emerald.com/insight/search?q=Muhammad%20Murad" TargetMode="External"/><Relationship Id="rId251" Type="http://schemas.openxmlformats.org/officeDocument/2006/relationships/hyperlink" Target="https://doi.org/10.1111/1467-8551.12116" TargetMode="External"/><Relationship Id="rId25" Type="http://schemas.openxmlformats.org/officeDocument/2006/relationships/diagramQuickStyle" Target="diagrams/quickStyle4.xml"/><Relationship Id="rId46" Type="http://schemas.openxmlformats.org/officeDocument/2006/relationships/image" Target="media/image18.png"/><Relationship Id="rId67" Type="http://schemas.openxmlformats.org/officeDocument/2006/relationships/diagramColors" Target="diagrams/colors5.xml"/><Relationship Id="rId88" Type="http://schemas.openxmlformats.org/officeDocument/2006/relationships/hyperlink" Target="https://www.emerald.com/insight/search?q=Edwin%20Alexander%20Henao-Garc%C3%ADa" TargetMode="External"/><Relationship Id="rId111" Type="http://schemas.openxmlformats.org/officeDocument/2006/relationships/hyperlink" Target="https://doi.org/10.32329/uad.1464378" TargetMode="External"/><Relationship Id="rId132" Type="http://schemas.openxmlformats.org/officeDocument/2006/relationships/hyperlink" Target="https://pressbooks.lib.vt.edu/strategicmanagement/chapter/7-4-types-of-innovation/" TargetMode="External"/><Relationship Id="rId153" Type="http://schemas.openxmlformats.org/officeDocument/2006/relationships/hyperlink" Target="https://kazckt.kz/" TargetMode="External"/><Relationship Id="rId174" Type="http://schemas.openxmlformats.org/officeDocument/2006/relationships/hyperlink" Target="https://www.wipo.int/publications/en/details.jsp?id=4679&amp;plang=EN" TargetMode="External"/><Relationship Id="rId195" Type="http://schemas.openxmlformats.org/officeDocument/2006/relationships/hyperlink" Target="https://kazpravda.kz/n/60-vypusknikov-vuzov-rabotayut-v-kazahstane-ne-po-spetsialnosti/" TargetMode="External"/><Relationship Id="rId209" Type="http://schemas.openxmlformats.org/officeDocument/2006/relationships/hyperlink" Target="https://edu.gov.az/en/programmes/sabah-qruplari-layihesi" TargetMode="External"/><Relationship Id="rId220" Type="http://schemas.openxmlformats.org/officeDocument/2006/relationships/hyperlink" Target="https://dsa.auezov.edu.kz/en/" TargetMode="External"/><Relationship Id="rId241" Type="http://schemas.openxmlformats.org/officeDocument/2006/relationships/hyperlink" Target="https://www.emerald.com/insight/publication/issn/1355-2554" TargetMode="External"/><Relationship Id="rId15" Type="http://schemas.openxmlformats.org/officeDocument/2006/relationships/diagramQuickStyle" Target="diagrams/quickStyle2.xml"/><Relationship Id="rId36" Type="http://schemas.openxmlformats.org/officeDocument/2006/relationships/image" Target="media/image8.png"/><Relationship Id="rId57" Type="http://schemas.openxmlformats.org/officeDocument/2006/relationships/chart" Target="charts/chart8.xml"/><Relationship Id="rId262" Type="http://schemas.openxmlformats.org/officeDocument/2006/relationships/image" Target="media/image32.jpeg"/><Relationship Id="rId78" Type="http://schemas.openxmlformats.org/officeDocument/2006/relationships/image" Target="media/image30.png"/><Relationship Id="rId99" Type="http://schemas.openxmlformats.org/officeDocument/2006/relationships/hyperlink" Target="https://doi.org/10.5772/intechopen.73212" TargetMode="External"/><Relationship Id="rId101" Type="http://schemas.openxmlformats.org/officeDocument/2006/relationships/hyperlink" Target="https://doi.org/10.37930/1990-9780-2024-4-82-93-107" TargetMode="External"/><Relationship Id="rId122" Type="http://schemas.openxmlformats.org/officeDocument/2006/relationships/hyperlink" Target="https://doi.org/10.1007/s10755-010-9155-7" TargetMode="External"/><Relationship Id="rId143" Type="http://schemas.openxmlformats.org/officeDocument/2006/relationships/hyperlink" Target="https://ssrn.com/abstract=1496195" TargetMode="External"/><Relationship Id="rId164" Type="http://schemas.openxmlformats.org/officeDocument/2006/relationships/hyperlink" Target="https://www.wipo.int/publications/en/details.jsp?id=368&amp;plang=EN" TargetMode="External"/><Relationship Id="rId185" Type="http://schemas.openxmlformats.org/officeDocument/2006/relationships/hyperlink" Target="https://doi.org/10.26577/be.2020.v133.i3.01" TargetMode="External"/><Relationship Id="rId9" Type="http://schemas.openxmlformats.org/officeDocument/2006/relationships/diagramLayout" Target="diagrams/layout1.xml"/><Relationship Id="rId210" Type="http://schemas.openxmlformats.org/officeDocument/2006/relationships/hyperlink" Target="https://tengrinews.kz/news/20-let-sotrudnichestva-narhoz-natsbank-sovmestno-gotovyat-505199/" TargetMode="External"/><Relationship Id="rId26" Type="http://schemas.openxmlformats.org/officeDocument/2006/relationships/diagramColors" Target="diagrams/colors4.xml"/><Relationship Id="rId231" Type="http://schemas.openxmlformats.org/officeDocument/2006/relationships/hyperlink" Target="https://www.emerald.com/insight/search?q=Shahrina%20Binti%20Othman" TargetMode="External"/><Relationship Id="rId252" Type="http://schemas.openxmlformats.org/officeDocument/2006/relationships/hyperlink" Target="https://doi.org/10.1007/s10961-017-9558-z" TargetMode="External"/><Relationship Id="rId47" Type="http://schemas.openxmlformats.org/officeDocument/2006/relationships/image" Target="media/image19.png"/><Relationship Id="rId68" Type="http://schemas.microsoft.com/office/2007/relationships/diagramDrawing" Target="diagrams/drawing5.xml"/><Relationship Id="rId89" Type="http://schemas.openxmlformats.org/officeDocument/2006/relationships/hyperlink" Target="https://www.emerald.com/insight/search?q=Ra%C3%BAl%20Armando%20Cardona%20Montoya" TargetMode="External"/><Relationship Id="rId112" Type="http://schemas.openxmlformats.org/officeDocument/2006/relationships/hyperlink" Target="https://doi.org/10.3152/147154306781779154" TargetMode="External"/><Relationship Id="rId133" Type="http://schemas.openxmlformats.org/officeDocument/2006/relationships/hyperlink" Target="https://www.economist.com/news/2009/04/27/entrepreneurship" TargetMode="External"/><Relationship Id="rId154" Type="http://schemas.openxmlformats.org/officeDocument/2006/relationships/hyperlink" Target="https://almau.edu.kz/en/study/technology-commercialization-center-based-at-almau/" TargetMode="External"/><Relationship Id="rId175" Type="http://schemas.openxmlformats.org/officeDocument/2006/relationships/hyperlink" Target="https://ideas.repec.org/a/hur/ijarbs/v7y2017i6p379-391.html" TargetMode="External"/><Relationship Id="rId196" Type="http://schemas.openxmlformats.org/officeDocument/2006/relationships/hyperlink" Target="https://www.inalmaty.kz/news/3281997/kazahstancy-case-isut-rabotu-cerez-znakomyh-cem-v-centrah-zanatosti" TargetMode="External"/><Relationship Id="rId200" Type="http://schemas.openxmlformats.org/officeDocument/2006/relationships/hyperlink" Target="https://egov.kz/cms/en/articles/vipusknik" TargetMode="External"/><Relationship Id="rId16" Type="http://schemas.openxmlformats.org/officeDocument/2006/relationships/diagramColors" Target="diagrams/colors2.xml"/><Relationship Id="rId221" Type="http://schemas.openxmlformats.org/officeDocument/2006/relationships/hyperlink" Target="https://farabi.university/students/career" TargetMode="External"/><Relationship Id="rId242" Type="http://schemas.openxmlformats.org/officeDocument/2006/relationships/hyperlink" Target="https://library.iated.org/publications/INTED2017" TargetMode="External"/><Relationship Id="rId263" Type="http://schemas.openxmlformats.org/officeDocument/2006/relationships/image" Target="media/image33.png"/><Relationship Id="rId37" Type="http://schemas.openxmlformats.org/officeDocument/2006/relationships/image" Target="media/image9.png"/><Relationship Id="rId58" Type="http://schemas.openxmlformats.org/officeDocument/2006/relationships/chart" Target="charts/chart9.xml"/><Relationship Id="rId79" Type="http://schemas.openxmlformats.org/officeDocument/2006/relationships/image" Target="media/image31.png"/><Relationship Id="rId102" Type="http://schemas.openxmlformats.org/officeDocument/2006/relationships/hyperlink" Target="https://doi.org/10.56238/iieducationcongress-002" TargetMode="External"/><Relationship Id="rId123" Type="http://schemas.openxmlformats.org/officeDocument/2006/relationships/hyperlink" Target="https://doi.org/10.36941/jesr-2021-0137" TargetMode="External"/><Relationship Id="rId144" Type="http://schemas.openxmlformats.org/officeDocument/2006/relationships/hyperlink" Target="https://ssrn.com/abstract=2480085" TargetMode="External"/><Relationship Id="rId90" Type="http://schemas.openxmlformats.org/officeDocument/2006/relationships/hyperlink" Target="https://www.emerald.com/insight/publication/issn/1460-1060" TargetMode="External"/><Relationship Id="rId165" Type="http://schemas.openxmlformats.org/officeDocument/2006/relationships/hyperlink" Target="https://www.wipo.int/publications/en/details.jsp?id=3254&amp;plang=EN" TargetMode="External"/><Relationship Id="rId186" Type="http://schemas.openxmlformats.org/officeDocument/2006/relationships/hyperlink" Target="https://www.guesssurvey.org/" TargetMode="External"/><Relationship Id="rId211" Type="http://schemas.openxmlformats.org/officeDocument/2006/relationships/hyperlink" Target="https://www.emerald.com/insight/search?q=Alfred%20Presbitero" TargetMode="External"/><Relationship Id="rId232" Type="http://schemas.openxmlformats.org/officeDocument/2006/relationships/hyperlink" Target="https://www.emerald.com/insight/search?q=Muhamad%20Ali%20Imran%20Bin%20Kamarudin" TargetMode="External"/><Relationship Id="rId253" Type="http://schemas.openxmlformats.org/officeDocument/2006/relationships/hyperlink" Target="https://doi.org/10.1515/9781400879762-024" TargetMode="External"/><Relationship Id="rId27" Type="http://schemas.microsoft.com/office/2007/relationships/diagramDrawing" Target="diagrams/drawing4.xml"/><Relationship Id="rId48" Type="http://schemas.openxmlformats.org/officeDocument/2006/relationships/image" Target="media/image20.png"/><Relationship Id="rId69" Type="http://schemas.openxmlformats.org/officeDocument/2006/relationships/image" Target="media/image28.jpeg"/><Relationship Id="rId113" Type="http://schemas.openxmlformats.org/officeDocument/2006/relationships/hyperlink" Target="https://doi.org/10.4018/jsesd.2010010105" TargetMode="External"/><Relationship Id="rId134" Type="http://schemas.openxmlformats.org/officeDocument/2006/relationships/hyperlink" Target="https://doi.org/10.1787/9789264192263-en" TargetMode="External"/><Relationship Id="rId80" Type="http://schemas.openxmlformats.org/officeDocument/2006/relationships/hyperlink" Target="https://adilet.zan.kz/rus/docs/P2300000248%2020.11.2023" TargetMode="External"/><Relationship Id="rId155" Type="http://schemas.openxmlformats.org/officeDocument/2006/relationships/hyperlink" Target="https://turan.edu.kz/en/science-and-innovation/centre-commercialization-scientific-results-and-innovative-activities/" TargetMode="External"/><Relationship Id="rId176" Type="http://schemas.openxmlformats.org/officeDocument/2006/relationships/hyperlink" Target="https://ideas.repec.org/s/hur/ijarbs.html" TargetMode="External"/><Relationship Id="rId197" Type="http://schemas.openxmlformats.org/officeDocument/2006/relationships/hyperlink" Target="https://egov.kz/cms/en/articles/trudoustroystvo-v-kazahstane" TargetMode="External"/><Relationship Id="rId201" Type="http://schemas.openxmlformats.org/officeDocument/2006/relationships/hyperlink" Target="https://doi.org/10.1007/s11846-024-00789-3" TargetMode="External"/><Relationship Id="rId222" Type="http://schemas.openxmlformats.org/officeDocument/2006/relationships/hyperlink" Target="https://buketov.edu.kz/en/page/ckt" TargetMode="External"/><Relationship Id="rId243" Type="http://schemas.openxmlformats.org/officeDocument/2006/relationships/hyperlink" Target="https://www.uber.com/blog/applied-behavioral-science-at-scale/" TargetMode="External"/><Relationship Id="rId264" Type="http://schemas.openxmlformats.org/officeDocument/2006/relationships/image" Target="media/image34.png"/><Relationship Id="rId17" Type="http://schemas.microsoft.com/office/2007/relationships/diagramDrawing" Target="diagrams/drawing2.xml"/><Relationship Id="rId38" Type="http://schemas.openxmlformats.org/officeDocument/2006/relationships/image" Target="media/image10.png"/><Relationship Id="rId59" Type="http://schemas.openxmlformats.org/officeDocument/2006/relationships/image" Target="media/image23.png"/><Relationship Id="rId103" Type="http://schemas.openxmlformats.org/officeDocument/2006/relationships/hyperlink" Target="https://doi.org/10.1016/S0048-7333(99)00055-4" TargetMode="External"/><Relationship Id="rId124" Type="http://schemas.openxmlformats.org/officeDocument/2006/relationships/hyperlink" Target="https://www.emerald.com/insight/search?q=Hei-hang%20Hayes%20Tang" TargetMode="External"/><Relationship Id="rId70" Type="http://schemas.openxmlformats.org/officeDocument/2006/relationships/hyperlink" Target="https://www.webofscience.com/wos/author/record/3505348" TargetMode="External"/><Relationship Id="rId91" Type="http://schemas.openxmlformats.org/officeDocument/2006/relationships/hyperlink" Target="https://doi.org/10.1108/EJIM-10-2022-0564" TargetMode="External"/><Relationship Id="rId145" Type="http://schemas.openxmlformats.org/officeDocument/2006/relationships/hyperlink" Target="https://www.wipo.int/edocs/pubdocs/en/wipo_pub_gii_2020.pdf" TargetMode="External"/><Relationship Id="rId166" Type="http://schemas.openxmlformats.org/officeDocument/2006/relationships/hyperlink" Target="https://www.wipo.int/publications/en/details.jsp?id=3978&amp;plang=EN" TargetMode="External"/><Relationship Id="rId187" Type="http://schemas.openxmlformats.org/officeDocument/2006/relationships/hyperlink" Target="https://www.emerald.com/insight/search?q=Rindi%20Ardika%20Melsalasa%20Sahputri" TargetMode="External"/><Relationship Id="rId1" Type="http://schemas.openxmlformats.org/officeDocument/2006/relationships/customXml" Target="../customXml/item1.xml"/><Relationship Id="rId212" Type="http://schemas.openxmlformats.org/officeDocument/2006/relationships/hyperlink" Target="https://www.emerald.com/insight/search?q=Mendiola%20Teng-Calleja" TargetMode="External"/><Relationship Id="rId233" Type="http://schemas.openxmlformats.org/officeDocument/2006/relationships/hyperlink" Target="https://www.emerald.com/insight/publication/issn/2045-2101" TargetMode="External"/><Relationship Id="rId254" Type="http://schemas.openxmlformats.org/officeDocument/2006/relationships/hyperlink" Target="https://doi.org/10.1093/scipol/scu054" TargetMode="External"/><Relationship Id="rId28" Type="http://schemas.openxmlformats.org/officeDocument/2006/relationships/image" Target="media/image1.jpeg"/><Relationship Id="rId49" Type="http://schemas.openxmlformats.org/officeDocument/2006/relationships/image" Target="media/image21.png"/><Relationship Id="rId114" Type="http://schemas.openxmlformats.org/officeDocument/2006/relationships/hyperlink" Target="https://doi.org/10.2307/2393553" TargetMode="External"/><Relationship Id="rId60" Type="http://schemas.openxmlformats.org/officeDocument/2006/relationships/image" Target="media/image24.png"/><Relationship Id="rId81" Type="http://schemas.openxmlformats.org/officeDocument/2006/relationships/hyperlink" Target="https://www.maxqda.com/" TargetMode="External"/><Relationship Id="rId135" Type="http://schemas.openxmlformats.org/officeDocument/2006/relationships/hyperlink" Target="https://link.springer.com/article/10.1007/s10489-021-02584-z" TargetMode="External"/><Relationship Id="rId156" Type="http://schemas.openxmlformats.org/officeDocument/2006/relationships/hyperlink" Target="https://satbayev.university/en/research/innovations" TargetMode="External"/><Relationship Id="rId177" Type="http://schemas.openxmlformats.org/officeDocument/2006/relationships/hyperlink" Target="http://dx.doi.org/10.1561/0300000018" TargetMode="External"/><Relationship Id="rId198" Type="http://schemas.openxmlformats.org/officeDocument/2006/relationships/hyperlink" Target="https://ulysmedia.kz/news/27259-s-diplomom-v-selo-no-bez-zhilia-o-sokrashchenii-spetsialistov-v-regionakh-zaiavili-eksperty/" TargetMode="External"/><Relationship Id="rId202" Type="http://schemas.openxmlformats.org/officeDocument/2006/relationships/hyperlink" Target="https://doi.org/10.46661/ijeri.10651" TargetMode="External"/><Relationship Id="rId223" Type="http://schemas.openxmlformats.org/officeDocument/2006/relationships/hyperlink" Target="https://turan.edu.kz/en/career-and-leadership-center/" TargetMode="External"/><Relationship Id="rId244" Type="http://schemas.openxmlformats.org/officeDocument/2006/relationships/hyperlink" Target="https://infostride.com/coursera-business-model/" TargetMode="External"/><Relationship Id="rId18" Type="http://schemas.openxmlformats.org/officeDocument/2006/relationships/diagramData" Target="diagrams/data3.xml"/><Relationship Id="rId39" Type="http://schemas.openxmlformats.org/officeDocument/2006/relationships/image" Target="media/image11.png"/><Relationship Id="rId265" Type="http://schemas.openxmlformats.org/officeDocument/2006/relationships/image" Target="media/image35.jpeg"/><Relationship Id="rId50" Type="http://schemas.openxmlformats.org/officeDocument/2006/relationships/image" Target="media/image22.png"/><Relationship Id="rId104" Type="http://schemas.openxmlformats.org/officeDocument/2006/relationships/hyperlink" Target="https://doi.org/10.3390/su13126535" TargetMode="External"/><Relationship Id="rId125" Type="http://schemas.openxmlformats.org/officeDocument/2006/relationships/hyperlink" Target="https://www.emerald.com/insight/publication/issn/2046-3162" TargetMode="External"/><Relationship Id="rId146" Type="http://schemas.openxmlformats.org/officeDocument/2006/relationships/hyperlink" Target="https://strategy.asee.org/collections/2024-asee-annual-conference-exposition" TargetMode="External"/><Relationship Id="rId167" Type="http://schemas.openxmlformats.org/officeDocument/2006/relationships/hyperlink" Target="https://www.wipo.int/publications/en/details.jsp?id=4064&amp;plang=EN" TargetMode="External"/><Relationship Id="rId188" Type="http://schemas.openxmlformats.org/officeDocument/2006/relationships/hyperlink" Target="https://www.emerald.com/insight/publication/issn/2046-469X" TargetMode="External"/><Relationship Id="rId71" Type="http://schemas.openxmlformats.org/officeDocument/2006/relationships/hyperlink" Target="https://sso.satbayev.university/account/login?ReturnUrl=https%3A%2F%2Fsso.satbayev.university%2F" TargetMode="External"/><Relationship Id="rId92" Type="http://schemas.openxmlformats.org/officeDocument/2006/relationships/hyperlink" Target="https://doi.org/10.1111/1468-2370.00062" TargetMode="External"/><Relationship Id="rId213" Type="http://schemas.openxmlformats.org/officeDocument/2006/relationships/hyperlink" Target="https://www.emerald.com/insight/publication/issn/0048-3486" TargetMode="External"/><Relationship Id="rId234" Type="http://schemas.openxmlformats.org/officeDocument/2006/relationships/hyperlink" Target="https://commission.europa.eu/" TargetMode="External"/><Relationship Id="rId2" Type="http://schemas.openxmlformats.org/officeDocument/2006/relationships/numbering" Target="numbering.xml"/><Relationship Id="rId29" Type="http://schemas.openxmlformats.org/officeDocument/2006/relationships/image" Target="media/image2.png"/><Relationship Id="rId255" Type="http://schemas.openxmlformats.org/officeDocument/2006/relationships/hyperlink" Target="https://doi.org/10.2478/jeb-2023-0021" TargetMode="External"/><Relationship Id="rId40" Type="http://schemas.openxmlformats.org/officeDocument/2006/relationships/image" Target="media/image12.png"/><Relationship Id="rId115" Type="http://schemas.openxmlformats.org/officeDocument/2006/relationships/hyperlink" Target="https://www.emerald.com/insight/search?q=Juan%20David%20Reyes-G%C3%B3mez" TargetMode="External"/><Relationship Id="rId136" Type="http://schemas.openxmlformats.org/officeDocument/2006/relationships/hyperlink" Target="https://link.springer.com/article/10.1007/s10489-021-02584-z" TargetMode="External"/><Relationship Id="rId157" Type="http://schemas.openxmlformats.org/officeDocument/2006/relationships/hyperlink" Target="https://stat.gov.kz/" TargetMode="External"/><Relationship Id="rId178" Type="http://schemas.openxmlformats.org/officeDocument/2006/relationships/hyperlink" Target="https://ssrn.com/abstract=1391795" TargetMode="External"/><Relationship Id="rId61" Type="http://schemas.openxmlformats.org/officeDocument/2006/relationships/image" Target="media/image25.png"/><Relationship Id="rId82" Type="http://schemas.openxmlformats.org/officeDocument/2006/relationships/hyperlink" Target="https://www.ibm.com/products/spss-statistics" TargetMode="External"/><Relationship Id="rId199" Type="http://schemas.openxmlformats.org/officeDocument/2006/relationships/hyperlink" Target="https://ksu.edu.kz/en/educational-activity/centr-karery-i-trudoustrojstva-kru/gosudarstvennye-programmy/" TargetMode="External"/><Relationship Id="rId203" Type="http://schemas.openxmlformats.org/officeDocument/2006/relationships/hyperlink" Target="https://doi.org/10.1177/1038416217714475" TargetMode="External"/><Relationship Id="rId19" Type="http://schemas.openxmlformats.org/officeDocument/2006/relationships/diagramLayout" Target="diagrams/layout3.xml"/><Relationship Id="rId224" Type="http://schemas.openxmlformats.org/officeDocument/2006/relationships/hyperlink" Target="https://uwaterloo.ca/career-development/appointments-drop-ins" TargetMode="External"/><Relationship Id="rId245" Type="http://schemas.openxmlformats.org/officeDocument/2006/relationships/hyperlink" Target="https://ideas.repec.org/s/ucp/jpemic.html" TargetMode="External"/><Relationship Id="rId266" Type="http://schemas.openxmlformats.org/officeDocument/2006/relationships/footer" Target="footer1.xml"/><Relationship Id="rId30" Type="http://schemas.openxmlformats.org/officeDocument/2006/relationships/image" Target="media/image3.png"/><Relationship Id="rId105" Type="http://schemas.openxmlformats.org/officeDocument/2006/relationships/hyperlink" Target="https://doi.org/10.1080/01411926.2010.482200" TargetMode="External"/><Relationship Id="rId126" Type="http://schemas.openxmlformats.org/officeDocument/2006/relationships/hyperlink" Target="https://doi.org/10.1108/AEDS-10-2019-0163" TargetMode="External"/><Relationship Id="rId147" Type="http://schemas.openxmlformats.org/officeDocument/2006/relationships/hyperlink" Target="https://www.meti.go.jp/english/policy/economy/industry_academia/index.html" TargetMode="External"/><Relationship Id="rId168" Type="http://schemas.openxmlformats.org/officeDocument/2006/relationships/hyperlink" Target="https://www.wipo.int/publications/en/details.jsp?id=4193&amp;plang=EN" TargetMode="External"/><Relationship Id="rId51" Type="http://schemas.openxmlformats.org/officeDocument/2006/relationships/chart" Target="charts/chart2.xml"/><Relationship Id="rId72" Type="http://schemas.openxmlformats.org/officeDocument/2006/relationships/image" Target="media/image29.png"/><Relationship Id="rId93" Type="http://schemas.openxmlformats.org/officeDocument/2006/relationships/hyperlink" Target="https://doi.org/10.1108/ijem-05-2022-0174" TargetMode="External"/><Relationship Id="rId189" Type="http://schemas.openxmlformats.org/officeDocument/2006/relationships/hyperlink" Target="https://www.emerald.com/insight/search?q=Vivien%20Szczepanik" TargetMode="External"/><Relationship Id="rId3" Type="http://schemas.openxmlformats.org/officeDocument/2006/relationships/styles" Target="styles.xml"/><Relationship Id="rId214" Type="http://schemas.openxmlformats.org/officeDocument/2006/relationships/hyperlink" Target="https://cac.nu.edu.kz/aboutus" TargetMode="External"/><Relationship Id="rId235" Type="http://schemas.openxmlformats.org/officeDocument/2006/relationships/hyperlink" Target="https://peer.asee.org/collections/2014-asee-annual-conference-exposition" TargetMode="External"/><Relationship Id="rId256" Type="http://schemas.openxmlformats.org/officeDocument/2006/relationships/hyperlink" Target="https://doi.org/10.15179/ces.20.2.4" TargetMode="External"/><Relationship Id="rId116" Type="http://schemas.openxmlformats.org/officeDocument/2006/relationships/hyperlink" Target="https://www.emerald.com/insight/search?q=Pilar%20L%C3%B3pez" TargetMode="External"/><Relationship Id="rId137" Type="http://schemas.openxmlformats.org/officeDocument/2006/relationships/hyperlink" Target="https://link.springer.com/article/10.1007/s10489-021-02584-z" TargetMode="External"/><Relationship Id="rId158" Type="http://schemas.openxmlformats.org/officeDocument/2006/relationships/hyperlink" Target="https://taxsummaries.pwc.com/japan/corporate/tax-credits-and-incentives" TargetMode="External"/><Relationship Id="rId20" Type="http://schemas.openxmlformats.org/officeDocument/2006/relationships/diagramQuickStyle" Target="diagrams/quickStyle3.xml"/><Relationship Id="rId41" Type="http://schemas.openxmlformats.org/officeDocument/2006/relationships/image" Target="media/image13.png"/><Relationship Id="rId62" Type="http://schemas.openxmlformats.org/officeDocument/2006/relationships/image" Target="media/image26.png"/><Relationship Id="rId83" Type="http://schemas.openxmlformats.org/officeDocument/2006/relationships/hyperlink" Target="https://www.eviews.com/EViews12/ev12main.html" TargetMode="External"/><Relationship Id="rId179" Type="http://schemas.openxmlformats.org/officeDocument/2006/relationships/hyperlink" Target="https://doi.org/10.1057/9781137340733_4" TargetMode="External"/><Relationship Id="rId190" Type="http://schemas.openxmlformats.org/officeDocument/2006/relationships/hyperlink" Target="https://www.emerald.com/insight/search?q=Beatriz%20Casais" TargetMode="External"/><Relationship Id="rId204" Type="http://schemas.openxmlformats.org/officeDocument/2006/relationships/hyperlink" Target="https://www.emerald.com/insight/search?q=Esther%20Ishengoma" TargetMode="External"/><Relationship Id="rId225" Type="http://schemas.openxmlformats.org/officeDocument/2006/relationships/hyperlink" Target="https://news.microsoft.com/en-au/features/teaching-and-learning-in-the-ai-era-how-the-university-of-sydney-is-empowering-staff-and-students-with-ai-across-the-institution/" TargetMode="External"/><Relationship Id="rId246" Type="http://schemas.openxmlformats.org/officeDocument/2006/relationships/hyperlink" Target="https://doi.org/10.1093/icc/dtz033" TargetMode="External"/><Relationship Id="rId267" Type="http://schemas.openxmlformats.org/officeDocument/2006/relationships/fontTable" Target="fontTable.xml"/><Relationship Id="rId106" Type="http://schemas.openxmlformats.org/officeDocument/2006/relationships/hyperlink" Target="https://doi.org/10.1080/03075079.2019.1623770" TargetMode="External"/><Relationship Id="rId127" Type="http://schemas.openxmlformats.org/officeDocument/2006/relationships/hyperlink" Target="https://www.emerald.com/insight/search?q=Xu%20Wang" TargetMode="External"/><Relationship Id="rId10" Type="http://schemas.openxmlformats.org/officeDocument/2006/relationships/diagramQuickStyle" Target="diagrams/quickStyle1.xml"/><Relationship Id="rId31" Type="http://schemas.openxmlformats.org/officeDocument/2006/relationships/image" Target="media/image4.png"/><Relationship Id="rId52" Type="http://schemas.openxmlformats.org/officeDocument/2006/relationships/chart" Target="charts/chart3.xml"/><Relationship Id="rId73" Type="http://schemas.openxmlformats.org/officeDocument/2006/relationships/diagramData" Target="diagrams/data6.xml"/><Relationship Id="rId94" Type="http://schemas.openxmlformats.org/officeDocument/2006/relationships/hyperlink" Target="https://research.brighton.ac.uk/en/publications/managing-innovation-integrating-technological-market-and-organiza" TargetMode="External"/><Relationship Id="rId148" Type="http://schemas.openxmlformats.org/officeDocument/2006/relationships/hyperlink" Target="https://china.usembassy-china.org.cn/four-year-review-of-actions-taken-in-the-section-301-investigation/" TargetMode="External"/><Relationship Id="rId169" Type="http://schemas.openxmlformats.org/officeDocument/2006/relationships/hyperlink" Target="https://www.wipo.int/publications/en/details.jsp?id=4330&amp;plang=EN" TargetMode="External"/><Relationship Id="rId4" Type="http://schemas.openxmlformats.org/officeDocument/2006/relationships/settings" Target="settings.xml"/><Relationship Id="rId180" Type="http://schemas.openxmlformats.org/officeDocument/2006/relationships/hyperlink" Target="https://www.emerald.com/insight/search?q=Faozi%20A.%20Almaqtari" TargetMode="External"/><Relationship Id="rId215" Type="http://schemas.openxmlformats.org/officeDocument/2006/relationships/hyperlink" Target="https://www.kimep.kz/current-students/en/career-employment/" TargetMode="External"/><Relationship Id="rId236" Type="http://schemas.openxmlformats.org/officeDocument/2006/relationships/hyperlink" Target="https://www.emerald.com/insight/search?q=Jos%C3%A9%20Osvaldo%20De%20Sordi" TargetMode="External"/><Relationship Id="rId257" Type="http://schemas.openxmlformats.org/officeDocument/2006/relationships/hyperlink" Target="https://doi.org/10.1093/reseval/rvad023" TargetMode="External"/><Relationship Id="rId42" Type="http://schemas.openxmlformats.org/officeDocument/2006/relationships/image" Target="media/image14.png"/><Relationship Id="rId84" Type="http://schemas.openxmlformats.org/officeDocument/2006/relationships/hyperlink" Target="https://www.jamovi.org/" TargetMode="External"/><Relationship Id="rId138" Type="http://schemas.openxmlformats.org/officeDocument/2006/relationships/hyperlink" Target="https://link.springer.com/article/10.1007/s10489-021-02584-z" TargetMode="External"/><Relationship Id="rId191" Type="http://schemas.openxmlformats.org/officeDocument/2006/relationships/hyperlink" Target="https://www.emerald.com/insight/search?q=Paul%20Jones" TargetMode="External"/><Relationship Id="rId205" Type="http://schemas.openxmlformats.org/officeDocument/2006/relationships/hyperlink" Target="https://www.emerald.com/insight/search?q=Terje%20I.%20Vaaland" TargetMode="External"/><Relationship Id="rId247" Type="http://schemas.openxmlformats.org/officeDocument/2006/relationships/hyperlink" Target="https://doi.org/10.1371/journal.pone.028385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igerim\Desktop\New%20DIssertation\GII%20ranks%20Italy%20Kz%20China%20Jp.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igerim\Desktop\New%20DIssertation\GII%20ranks%20Italy%20Kz%20China%20Jp.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igerim\Desktop\New%20DIssertation\GII%20ranks%20Italy%20Kz%20China%20Jp.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igerim\Desktop\New%20DIssertation\GII%20ranks%20Italy%20Kz%20China%20Jp.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igerim\Desktop\New%20DIssertation\GII%20ranks%20Italy%20Kz%20China%20Jp.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igerim\Desktop\New%20DIssertation\GII%20ranks%20Italy%20Kz%20China%20Jp.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igerim\Desktop\New%20DIssertation\GII%20ranks%20Italy%20Kz%20China%20Jp.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igerim\Desktop\New%20DIssertation\GII%20ranks%20Italy%20Kz%20China%20Jp.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Лист1!$B$1</c:f>
              <c:strCache>
                <c:ptCount val="1"/>
                <c:pt idx="0">
                  <c:v>Число записей</c:v>
                </c:pt>
              </c:strCache>
            </c:strRef>
          </c:tx>
          <c:spPr>
            <a:ln w="28575" cap="rnd">
              <a:noFill/>
              <a:round/>
            </a:ln>
            <a:effectLst/>
          </c:spPr>
          <c:marker>
            <c:symbol val="circle"/>
            <c:size val="5"/>
            <c:spPr>
              <a:solidFill>
                <a:schemeClr val="accent1"/>
              </a:solidFill>
              <a:ln w="9525">
                <a:solidFill>
                  <a:schemeClr val="accent1"/>
                </a:solidFill>
              </a:ln>
              <a:effectLst/>
            </c:spPr>
          </c:marker>
          <c:xVal>
            <c:numRef>
              <c:f>Лист1!$A$2:$A$22</c:f>
              <c:numCache>
                <c:formatCode>General</c:formatCode>
                <c:ptCount val="21"/>
                <c:pt idx="0">
                  <c:v>1995</c:v>
                </c:pt>
                <c:pt idx="1">
                  <c:v>2000</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xVal>
          <c:yVal>
            <c:numRef>
              <c:f>Лист1!$B$2:$B$22</c:f>
              <c:numCache>
                <c:formatCode>General</c:formatCode>
                <c:ptCount val="21"/>
                <c:pt idx="0">
                  <c:v>1</c:v>
                </c:pt>
                <c:pt idx="1">
                  <c:v>1</c:v>
                </c:pt>
                <c:pt idx="2">
                  <c:v>1</c:v>
                </c:pt>
                <c:pt idx="3">
                  <c:v>3</c:v>
                </c:pt>
                <c:pt idx="4">
                  <c:v>2</c:v>
                </c:pt>
                <c:pt idx="5">
                  <c:v>4</c:v>
                </c:pt>
                <c:pt idx="6">
                  <c:v>7</c:v>
                </c:pt>
                <c:pt idx="7">
                  <c:v>6</c:v>
                </c:pt>
                <c:pt idx="8">
                  <c:v>12</c:v>
                </c:pt>
                <c:pt idx="9">
                  <c:v>16</c:v>
                </c:pt>
                <c:pt idx="10">
                  <c:v>22</c:v>
                </c:pt>
                <c:pt idx="11">
                  <c:v>21</c:v>
                </c:pt>
                <c:pt idx="12">
                  <c:v>30</c:v>
                </c:pt>
                <c:pt idx="13">
                  <c:v>33</c:v>
                </c:pt>
                <c:pt idx="14">
                  <c:v>30</c:v>
                </c:pt>
                <c:pt idx="15">
                  <c:v>43</c:v>
                </c:pt>
                <c:pt idx="16">
                  <c:v>56</c:v>
                </c:pt>
                <c:pt idx="17">
                  <c:v>72</c:v>
                </c:pt>
                <c:pt idx="18">
                  <c:v>52</c:v>
                </c:pt>
                <c:pt idx="19">
                  <c:v>60</c:v>
                </c:pt>
                <c:pt idx="20">
                  <c:v>53</c:v>
                </c:pt>
              </c:numCache>
            </c:numRef>
          </c:yVal>
          <c:smooth val="0"/>
          <c:extLst>
            <c:ext xmlns:c16="http://schemas.microsoft.com/office/drawing/2014/chart" uri="{C3380CC4-5D6E-409C-BE32-E72D297353CC}">
              <c16:uniqueId val="{00000000-0A94-4CF1-9E83-0E19989636B3}"/>
            </c:ext>
          </c:extLst>
        </c:ser>
        <c:dLbls>
          <c:showLegendKey val="0"/>
          <c:showVal val="0"/>
          <c:showCatName val="0"/>
          <c:showSerName val="0"/>
          <c:showPercent val="0"/>
          <c:showBubbleSize val="0"/>
        </c:dLbls>
        <c:axId val="-479238064"/>
        <c:axId val="-479225552"/>
      </c:scatterChart>
      <c:valAx>
        <c:axId val="-479238064"/>
        <c:scaling>
          <c:orientation val="minMax"/>
          <c:max val="2022"/>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479225552"/>
        <c:crosses val="autoZero"/>
        <c:crossBetween val="midCat"/>
        <c:majorUnit val="1"/>
      </c:valAx>
      <c:valAx>
        <c:axId val="-47922555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47923806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Stability index China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5"/>
            <c:dispRSqr val="0"/>
            <c:dispEq val="0"/>
          </c:trendline>
          <c:cat>
            <c:numRef>
              <c:f>structured!$A$4:$A$17</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structured!$I$4:$I$17</c:f>
              <c:numCache>
                <c:formatCode>General</c:formatCode>
                <c:ptCount val="14"/>
                <c:pt idx="0">
                  <c:v>8</c:v>
                </c:pt>
                <c:pt idx="1">
                  <c:v>9</c:v>
                </c:pt>
                <c:pt idx="2">
                  <c:v>2</c:v>
                </c:pt>
                <c:pt idx="3">
                  <c:v>1</c:v>
                </c:pt>
                <c:pt idx="4">
                  <c:v>3.5</c:v>
                </c:pt>
                <c:pt idx="5">
                  <c:v>3.5</c:v>
                </c:pt>
                <c:pt idx="6">
                  <c:v>7</c:v>
                </c:pt>
                <c:pt idx="7">
                  <c:v>6</c:v>
                </c:pt>
                <c:pt idx="8">
                  <c:v>5</c:v>
                </c:pt>
                <c:pt idx="9">
                  <c:v>14</c:v>
                </c:pt>
                <c:pt idx="10">
                  <c:v>13</c:v>
                </c:pt>
                <c:pt idx="11">
                  <c:v>11</c:v>
                </c:pt>
                <c:pt idx="12">
                  <c:v>12</c:v>
                </c:pt>
                <c:pt idx="13">
                  <c:v>10</c:v>
                </c:pt>
              </c:numCache>
            </c:numRef>
          </c:val>
          <c:smooth val="0"/>
          <c:extLst>
            <c:ext xmlns:c16="http://schemas.microsoft.com/office/drawing/2014/chart" uri="{C3380CC4-5D6E-409C-BE32-E72D297353CC}">
              <c16:uniqueId val="{00000001-B061-4551-B147-B4E043AD7DD2}"/>
            </c:ext>
          </c:extLst>
        </c:ser>
        <c:dLbls>
          <c:showLegendKey val="0"/>
          <c:showVal val="0"/>
          <c:showCatName val="0"/>
          <c:showSerName val="0"/>
          <c:showPercent val="0"/>
          <c:showBubbleSize val="0"/>
        </c:dLbls>
        <c:marker val="1"/>
        <c:smooth val="0"/>
        <c:axId val="-479211952"/>
        <c:axId val="-479229360"/>
      </c:lineChart>
      <c:catAx>
        <c:axId val="-47921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79229360"/>
        <c:crosses val="autoZero"/>
        <c:auto val="1"/>
        <c:lblAlgn val="ctr"/>
        <c:lblOffset val="100"/>
        <c:noMultiLvlLbl val="0"/>
      </c:catAx>
      <c:valAx>
        <c:axId val="-47922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7921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Stability</a:t>
            </a:r>
            <a:r>
              <a:rPr lang="en-US" baseline="0"/>
              <a:t> index </a:t>
            </a:r>
            <a:r>
              <a:rPr lang="en-US"/>
              <a:t>Italy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structured!$A$34:$A$49</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structured!$G$18:$G$33</c:f>
              <c:numCache>
                <c:formatCode>General</c:formatCode>
                <c:ptCount val="16"/>
                <c:pt idx="0">
                  <c:v>36</c:v>
                </c:pt>
                <c:pt idx="1">
                  <c:v>36</c:v>
                </c:pt>
                <c:pt idx="2">
                  <c:v>49</c:v>
                </c:pt>
                <c:pt idx="3">
                  <c:v>40</c:v>
                </c:pt>
                <c:pt idx="4">
                  <c:v>45</c:v>
                </c:pt>
                <c:pt idx="5">
                  <c:v>40</c:v>
                </c:pt>
                <c:pt idx="6">
                  <c:v>46</c:v>
                </c:pt>
                <c:pt idx="7">
                  <c:v>43</c:v>
                </c:pt>
                <c:pt idx="8">
                  <c:v>42</c:v>
                </c:pt>
                <c:pt idx="9">
                  <c:v>46</c:v>
                </c:pt>
                <c:pt idx="10">
                  <c:v>46</c:v>
                </c:pt>
                <c:pt idx="11">
                  <c:v>50</c:v>
                </c:pt>
                <c:pt idx="12">
                  <c:v>59</c:v>
                </c:pt>
                <c:pt idx="13">
                  <c:v>60</c:v>
                </c:pt>
                <c:pt idx="14">
                  <c:v>63</c:v>
                </c:pt>
                <c:pt idx="15">
                  <c:v>56</c:v>
                </c:pt>
              </c:numCache>
            </c:numRef>
          </c:val>
          <c:smooth val="0"/>
          <c:extLst>
            <c:ext xmlns:c16="http://schemas.microsoft.com/office/drawing/2014/chart" uri="{C3380CC4-5D6E-409C-BE32-E72D297353CC}">
              <c16:uniqueId val="{00000000-2FA6-49E5-AC01-4E321462AD1A}"/>
            </c:ext>
          </c:extLst>
        </c:ser>
        <c:dLbls>
          <c:showLegendKey val="0"/>
          <c:showVal val="0"/>
          <c:showCatName val="0"/>
          <c:showSerName val="0"/>
          <c:showPercent val="0"/>
          <c:showBubbleSize val="0"/>
        </c:dLbls>
        <c:marker val="1"/>
        <c:smooth val="0"/>
        <c:axId val="-479215760"/>
        <c:axId val="-479216848"/>
      </c:lineChart>
      <c:catAx>
        <c:axId val="-47921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79216848"/>
        <c:crosses val="autoZero"/>
        <c:auto val="1"/>
        <c:lblAlgn val="ctr"/>
        <c:lblOffset val="100"/>
        <c:noMultiLvlLbl val="0"/>
      </c:catAx>
      <c:valAx>
        <c:axId val="-47921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79215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structured!$A$34:$A$49</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structured!$G$34:$G$49</c:f>
              <c:numCache>
                <c:formatCode>General</c:formatCode>
                <c:ptCount val="16"/>
                <c:pt idx="0">
                  <c:v>12</c:v>
                </c:pt>
                <c:pt idx="1">
                  <c:v>12</c:v>
                </c:pt>
                <c:pt idx="2">
                  <c:v>26</c:v>
                </c:pt>
                <c:pt idx="3">
                  <c:v>15</c:v>
                </c:pt>
                <c:pt idx="4">
                  <c:v>23</c:v>
                </c:pt>
                <c:pt idx="5">
                  <c:v>21</c:v>
                </c:pt>
                <c:pt idx="6">
                  <c:v>23</c:v>
                </c:pt>
                <c:pt idx="7">
                  <c:v>19</c:v>
                </c:pt>
                <c:pt idx="8">
                  <c:v>18</c:v>
                </c:pt>
                <c:pt idx="9">
                  <c:v>15</c:v>
                </c:pt>
                <c:pt idx="10">
                  <c:v>14</c:v>
                </c:pt>
                <c:pt idx="11">
                  <c:v>7</c:v>
                </c:pt>
                <c:pt idx="12">
                  <c:v>5</c:v>
                </c:pt>
                <c:pt idx="13">
                  <c:v>6</c:v>
                </c:pt>
                <c:pt idx="14">
                  <c:v>7</c:v>
                </c:pt>
                <c:pt idx="15">
                  <c:v>7</c:v>
                </c:pt>
              </c:numCache>
            </c:numRef>
          </c:val>
          <c:smooth val="0"/>
          <c:extLst>
            <c:ext xmlns:c16="http://schemas.microsoft.com/office/drawing/2014/chart" uri="{C3380CC4-5D6E-409C-BE32-E72D297353CC}">
              <c16:uniqueId val="{00000000-4001-416B-BD12-C1D89D04FD26}"/>
            </c:ext>
          </c:extLst>
        </c:ser>
        <c:dLbls>
          <c:showLegendKey val="0"/>
          <c:showVal val="0"/>
          <c:showCatName val="0"/>
          <c:showSerName val="0"/>
          <c:showPercent val="0"/>
          <c:showBubbleSize val="0"/>
        </c:dLbls>
        <c:marker val="1"/>
        <c:smooth val="0"/>
        <c:axId val="-479219024"/>
        <c:axId val="-479227184"/>
      </c:lineChart>
      <c:catAx>
        <c:axId val="-47921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79227184"/>
        <c:crosses val="autoZero"/>
        <c:auto val="1"/>
        <c:lblAlgn val="ctr"/>
        <c:lblOffset val="100"/>
        <c:noMultiLvlLbl val="0"/>
      </c:catAx>
      <c:valAx>
        <c:axId val="-47922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7921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Kazakhstan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structured!$A$50:$A$65</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structured!$G$50:$G$65</c:f>
              <c:numCache>
                <c:formatCode>General</c:formatCode>
                <c:ptCount val="16"/>
                <c:pt idx="0">
                  <c:v>40</c:v>
                </c:pt>
                <c:pt idx="1">
                  <c:v>40</c:v>
                </c:pt>
                <c:pt idx="2">
                  <c:v>46</c:v>
                </c:pt>
                <c:pt idx="3">
                  <c:v>33</c:v>
                </c:pt>
                <c:pt idx="4">
                  <c:v>46</c:v>
                </c:pt>
                <c:pt idx="5">
                  <c:v>80</c:v>
                </c:pt>
                <c:pt idx="6">
                  <c:v>86</c:v>
                </c:pt>
                <c:pt idx="7">
                  <c:v>88</c:v>
                </c:pt>
                <c:pt idx="8">
                  <c:v>63</c:v>
                </c:pt>
                <c:pt idx="9">
                  <c:v>69</c:v>
                </c:pt>
                <c:pt idx="10">
                  <c:v>64</c:v>
                </c:pt>
                <c:pt idx="11">
                  <c:v>61</c:v>
                </c:pt>
                <c:pt idx="12">
                  <c:v>70</c:v>
                </c:pt>
                <c:pt idx="13">
                  <c:v>60</c:v>
                </c:pt>
                <c:pt idx="14">
                  <c:v>63</c:v>
                </c:pt>
                <c:pt idx="15">
                  <c:v>71</c:v>
                </c:pt>
              </c:numCache>
            </c:numRef>
          </c:val>
          <c:smooth val="0"/>
          <c:extLst>
            <c:ext xmlns:c16="http://schemas.microsoft.com/office/drawing/2014/chart" uri="{C3380CC4-5D6E-409C-BE32-E72D297353CC}">
              <c16:uniqueId val="{00000000-6149-4050-ACA2-A4D505F64853}"/>
            </c:ext>
          </c:extLst>
        </c:ser>
        <c:dLbls>
          <c:showLegendKey val="0"/>
          <c:showVal val="0"/>
          <c:showCatName val="0"/>
          <c:showSerName val="0"/>
          <c:showPercent val="0"/>
          <c:showBubbleSize val="0"/>
        </c:dLbls>
        <c:marker val="1"/>
        <c:smooth val="0"/>
        <c:axId val="-479216304"/>
        <c:axId val="-479213584"/>
      </c:lineChart>
      <c:catAx>
        <c:axId val="-47921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79213584"/>
        <c:crosses val="autoZero"/>
        <c:auto val="1"/>
        <c:lblAlgn val="ctr"/>
        <c:lblOffset val="100"/>
        <c:noMultiLvlLbl val="0"/>
      </c:catAx>
      <c:valAx>
        <c:axId val="-47921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79216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UIC</a:t>
            </a:r>
            <a:r>
              <a:rPr lang="en-US" baseline="0"/>
              <a:t> </a:t>
            </a:r>
            <a:r>
              <a:rPr lang="en-US"/>
              <a:t>- Clusters Development  in  China</a:t>
            </a:r>
          </a:p>
        </c:rich>
      </c:tx>
      <c:layout>
        <c:manualLayout>
          <c:xMode val="edge"/>
          <c:yMode val="edge"/>
          <c:x val="0.37463636531838351"/>
          <c:y val="5.29100529100529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lineChart>
        <c:grouping val="standard"/>
        <c:varyColors val="0"/>
        <c:ser>
          <c:idx val="0"/>
          <c:order val="0"/>
          <c:tx>
            <c:v>UIC</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structured!$A$4:$A$17</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structured!$E$4:$E$17</c:f>
              <c:numCache>
                <c:formatCode>General</c:formatCode>
                <c:ptCount val="14"/>
                <c:pt idx="0">
                  <c:v>23</c:v>
                </c:pt>
                <c:pt idx="1">
                  <c:v>24</c:v>
                </c:pt>
                <c:pt idx="2">
                  <c:v>28</c:v>
                </c:pt>
                <c:pt idx="3">
                  <c:v>33</c:v>
                </c:pt>
                <c:pt idx="4">
                  <c:v>32</c:v>
                </c:pt>
                <c:pt idx="5">
                  <c:v>31</c:v>
                </c:pt>
                <c:pt idx="6">
                  <c:v>31</c:v>
                </c:pt>
                <c:pt idx="7">
                  <c:v>29</c:v>
                </c:pt>
                <c:pt idx="8">
                  <c:v>27</c:v>
                </c:pt>
                <c:pt idx="9">
                  <c:v>27</c:v>
                </c:pt>
                <c:pt idx="10">
                  <c:v>29</c:v>
                </c:pt>
                <c:pt idx="11">
                  <c:v>6</c:v>
                </c:pt>
                <c:pt idx="12">
                  <c:v>5</c:v>
                </c:pt>
                <c:pt idx="13">
                  <c:v>6</c:v>
                </c:pt>
              </c:numCache>
            </c:numRef>
          </c:val>
          <c:smooth val="0"/>
          <c:extLst>
            <c:ext xmlns:c16="http://schemas.microsoft.com/office/drawing/2014/chart" uri="{C3380CC4-5D6E-409C-BE32-E72D297353CC}">
              <c16:uniqueId val="{00000000-DF03-4403-9326-46F1767D462E}"/>
            </c:ext>
          </c:extLst>
        </c:ser>
        <c:ser>
          <c:idx val="1"/>
          <c:order val="1"/>
          <c:tx>
            <c:v>Cluster Development</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structured!$A$4:$A$17</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structured!$F$4:$F$17</c:f>
              <c:numCache>
                <c:formatCode>General</c:formatCode>
                <c:ptCount val="14"/>
                <c:pt idx="0">
                  <c:v>16</c:v>
                </c:pt>
                <c:pt idx="1">
                  <c:v>7</c:v>
                </c:pt>
                <c:pt idx="2">
                  <c:v>6</c:v>
                </c:pt>
                <c:pt idx="3">
                  <c:v>22</c:v>
                </c:pt>
                <c:pt idx="4">
                  <c:v>23</c:v>
                </c:pt>
                <c:pt idx="5">
                  <c:v>23</c:v>
                </c:pt>
                <c:pt idx="6">
                  <c:v>23</c:v>
                </c:pt>
                <c:pt idx="7">
                  <c:v>20</c:v>
                </c:pt>
                <c:pt idx="8">
                  <c:v>26</c:v>
                </c:pt>
                <c:pt idx="9">
                  <c:v>28</c:v>
                </c:pt>
                <c:pt idx="10">
                  <c:v>25</c:v>
                </c:pt>
                <c:pt idx="11">
                  <c:v>3</c:v>
                </c:pt>
                <c:pt idx="12">
                  <c:v>2</c:v>
                </c:pt>
                <c:pt idx="13">
                  <c:v>2</c:v>
                </c:pt>
              </c:numCache>
            </c:numRef>
          </c:val>
          <c:smooth val="0"/>
          <c:extLst>
            <c:ext xmlns:c16="http://schemas.microsoft.com/office/drawing/2014/chart" uri="{C3380CC4-5D6E-409C-BE32-E72D297353CC}">
              <c16:uniqueId val="{00000001-DF03-4403-9326-46F1767D462E}"/>
            </c:ext>
          </c:extLst>
        </c:ser>
        <c:dLbls>
          <c:showLegendKey val="0"/>
          <c:showVal val="0"/>
          <c:showCatName val="0"/>
          <c:showSerName val="0"/>
          <c:showPercent val="0"/>
          <c:showBubbleSize val="0"/>
        </c:dLbls>
        <c:marker val="1"/>
        <c:smooth val="0"/>
        <c:axId val="-479226640"/>
        <c:axId val="-479240240"/>
      </c:lineChart>
      <c:catAx>
        <c:axId val="-47922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79240240"/>
        <c:crosses val="autoZero"/>
        <c:auto val="1"/>
        <c:lblAlgn val="ctr"/>
        <c:lblOffset val="100"/>
        <c:noMultiLvlLbl val="0"/>
      </c:catAx>
      <c:valAx>
        <c:axId val="-479240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7922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UIC - Clusters Development  in  Italy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lineChart>
        <c:grouping val="standard"/>
        <c:varyColors val="0"/>
        <c:ser>
          <c:idx val="0"/>
          <c:order val="0"/>
          <c:tx>
            <c:v>UIC</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structured!$A$18:$A$33</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structured!$E$18:$E$33</c:f>
              <c:numCache>
                <c:formatCode>General</c:formatCode>
                <c:ptCount val="16"/>
                <c:pt idx="0">
                  <c:v>61</c:v>
                </c:pt>
                <c:pt idx="1">
                  <c:v>61</c:v>
                </c:pt>
                <c:pt idx="2">
                  <c:v>68</c:v>
                </c:pt>
                <c:pt idx="3">
                  <c:v>63</c:v>
                </c:pt>
                <c:pt idx="4">
                  <c:v>76</c:v>
                </c:pt>
                <c:pt idx="5">
                  <c:v>64</c:v>
                </c:pt>
                <c:pt idx="6">
                  <c:v>57</c:v>
                </c:pt>
                <c:pt idx="7">
                  <c:v>57</c:v>
                </c:pt>
                <c:pt idx="8">
                  <c:v>57</c:v>
                </c:pt>
                <c:pt idx="9">
                  <c:v>43</c:v>
                </c:pt>
                <c:pt idx="10">
                  <c:v>42</c:v>
                </c:pt>
                <c:pt idx="11">
                  <c:v>41</c:v>
                </c:pt>
                <c:pt idx="12">
                  <c:v>40</c:v>
                </c:pt>
                <c:pt idx="13">
                  <c:v>38</c:v>
                </c:pt>
                <c:pt idx="14">
                  <c:v>24</c:v>
                </c:pt>
                <c:pt idx="15">
                  <c:v>19</c:v>
                </c:pt>
              </c:numCache>
            </c:numRef>
          </c:val>
          <c:smooth val="0"/>
          <c:extLst>
            <c:ext xmlns:c16="http://schemas.microsoft.com/office/drawing/2014/chart" uri="{C3380CC4-5D6E-409C-BE32-E72D297353CC}">
              <c16:uniqueId val="{00000000-D606-493F-9C9F-6C798594F35F}"/>
            </c:ext>
          </c:extLst>
        </c:ser>
        <c:ser>
          <c:idx val="1"/>
          <c:order val="1"/>
          <c:tx>
            <c:v>Cluster development</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structured!$A$18:$A$33</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structured!$F$18:$F$33</c:f>
              <c:numCache>
                <c:formatCode>General</c:formatCode>
                <c:ptCount val="16"/>
                <c:pt idx="0">
                  <c:v>3</c:v>
                </c:pt>
                <c:pt idx="1">
                  <c:v>3</c:v>
                </c:pt>
                <c:pt idx="2">
                  <c:v>3</c:v>
                </c:pt>
                <c:pt idx="3">
                  <c:v>6</c:v>
                </c:pt>
                <c:pt idx="4">
                  <c:v>10</c:v>
                </c:pt>
                <c:pt idx="5">
                  <c:v>17</c:v>
                </c:pt>
                <c:pt idx="6">
                  <c:v>1</c:v>
                </c:pt>
                <c:pt idx="7">
                  <c:v>1</c:v>
                </c:pt>
                <c:pt idx="8">
                  <c:v>4</c:v>
                </c:pt>
                <c:pt idx="9">
                  <c:v>4</c:v>
                </c:pt>
                <c:pt idx="10">
                  <c:v>7</c:v>
                </c:pt>
                <c:pt idx="11">
                  <c:v>4</c:v>
                </c:pt>
                <c:pt idx="12">
                  <c:v>1</c:v>
                </c:pt>
                <c:pt idx="13">
                  <c:v>3</c:v>
                </c:pt>
                <c:pt idx="14">
                  <c:v>4</c:v>
                </c:pt>
                <c:pt idx="15">
                  <c:v>12</c:v>
                </c:pt>
              </c:numCache>
            </c:numRef>
          </c:val>
          <c:smooth val="0"/>
          <c:extLst>
            <c:ext xmlns:c16="http://schemas.microsoft.com/office/drawing/2014/chart" uri="{C3380CC4-5D6E-409C-BE32-E72D297353CC}">
              <c16:uniqueId val="{00000001-D606-493F-9C9F-6C798594F35F}"/>
            </c:ext>
          </c:extLst>
        </c:ser>
        <c:dLbls>
          <c:showLegendKey val="0"/>
          <c:showVal val="0"/>
          <c:showCatName val="0"/>
          <c:showSerName val="0"/>
          <c:showPercent val="0"/>
          <c:showBubbleSize val="0"/>
        </c:dLbls>
        <c:marker val="1"/>
        <c:smooth val="0"/>
        <c:axId val="-479225008"/>
        <c:axId val="-479222832"/>
      </c:lineChart>
      <c:catAx>
        <c:axId val="-47922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79222832"/>
        <c:crosses val="autoZero"/>
        <c:auto val="1"/>
        <c:lblAlgn val="ctr"/>
        <c:lblOffset val="100"/>
        <c:noMultiLvlLbl val="0"/>
      </c:catAx>
      <c:valAx>
        <c:axId val="-47922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7922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UIC - Clusters Development  in   Japan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lineChart>
        <c:grouping val="standard"/>
        <c:varyColors val="0"/>
        <c:ser>
          <c:idx val="0"/>
          <c:order val="0"/>
          <c:tx>
            <c:v>UIC</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structured!$A$34:$A$49</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structured!$E$34:$E$49</c:f>
              <c:numCache>
                <c:formatCode>General</c:formatCode>
                <c:ptCount val="16"/>
                <c:pt idx="0">
                  <c:v>19</c:v>
                </c:pt>
                <c:pt idx="1">
                  <c:v>19</c:v>
                </c:pt>
                <c:pt idx="2">
                  <c:v>20</c:v>
                </c:pt>
                <c:pt idx="3">
                  <c:v>18</c:v>
                </c:pt>
                <c:pt idx="4">
                  <c:v>15</c:v>
                </c:pt>
                <c:pt idx="5">
                  <c:v>15</c:v>
                </c:pt>
                <c:pt idx="6">
                  <c:v>16</c:v>
                </c:pt>
                <c:pt idx="7">
                  <c:v>15</c:v>
                </c:pt>
                <c:pt idx="8">
                  <c:v>15</c:v>
                </c:pt>
                <c:pt idx="9">
                  <c:v>17</c:v>
                </c:pt>
                <c:pt idx="10">
                  <c:v>22</c:v>
                </c:pt>
                <c:pt idx="11">
                  <c:v>18</c:v>
                </c:pt>
                <c:pt idx="12">
                  <c:v>20</c:v>
                </c:pt>
                <c:pt idx="13">
                  <c:v>22</c:v>
                </c:pt>
                <c:pt idx="14">
                  <c:v>25</c:v>
                </c:pt>
                <c:pt idx="15">
                  <c:v>28</c:v>
                </c:pt>
              </c:numCache>
            </c:numRef>
          </c:val>
          <c:smooth val="0"/>
          <c:extLst>
            <c:ext xmlns:c16="http://schemas.microsoft.com/office/drawing/2014/chart" uri="{C3380CC4-5D6E-409C-BE32-E72D297353CC}">
              <c16:uniqueId val="{00000000-6E44-4A67-AAF1-F9A19A9F545E}"/>
            </c:ext>
          </c:extLst>
        </c:ser>
        <c:ser>
          <c:idx val="1"/>
          <c:order val="1"/>
          <c:tx>
            <c:v>Cluster Development</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structured!$A$34:$A$49</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structured!$F$34:$F$49</c:f>
              <c:numCache>
                <c:formatCode>General</c:formatCode>
                <c:ptCount val="16"/>
                <c:pt idx="0">
                  <c:v>8</c:v>
                </c:pt>
                <c:pt idx="1">
                  <c:v>8</c:v>
                </c:pt>
                <c:pt idx="2">
                  <c:v>1</c:v>
                </c:pt>
                <c:pt idx="3">
                  <c:v>3</c:v>
                </c:pt>
                <c:pt idx="4">
                  <c:v>3</c:v>
                </c:pt>
                <c:pt idx="5">
                  <c:v>3</c:v>
                </c:pt>
                <c:pt idx="6">
                  <c:v>6</c:v>
                </c:pt>
                <c:pt idx="7">
                  <c:v>7</c:v>
                </c:pt>
                <c:pt idx="8">
                  <c:v>9</c:v>
                </c:pt>
                <c:pt idx="9">
                  <c:v>7</c:v>
                </c:pt>
                <c:pt idx="10">
                  <c:v>10</c:v>
                </c:pt>
                <c:pt idx="11">
                  <c:v>7</c:v>
                </c:pt>
                <c:pt idx="12">
                  <c:v>11</c:v>
                </c:pt>
                <c:pt idx="13">
                  <c:v>18</c:v>
                </c:pt>
                <c:pt idx="14">
                  <c:v>17</c:v>
                </c:pt>
                <c:pt idx="15">
                  <c:v>20</c:v>
                </c:pt>
              </c:numCache>
            </c:numRef>
          </c:val>
          <c:smooth val="0"/>
          <c:extLst>
            <c:ext xmlns:c16="http://schemas.microsoft.com/office/drawing/2014/chart" uri="{C3380CC4-5D6E-409C-BE32-E72D297353CC}">
              <c16:uniqueId val="{00000001-6E44-4A67-AAF1-F9A19A9F545E}"/>
            </c:ext>
          </c:extLst>
        </c:ser>
        <c:dLbls>
          <c:showLegendKey val="0"/>
          <c:showVal val="0"/>
          <c:showCatName val="0"/>
          <c:showSerName val="0"/>
          <c:showPercent val="0"/>
          <c:showBubbleSize val="0"/>
        </c:dLbls>
        <c:marker val="1"/>
        <c:smooth val="0"/>
        <c:axId val="-479221744"/>
        <c:axId val="-479221200"/>
      </c:lineChart>
      <c:catAx>
        <c:axId val="-47922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79221200"/>
        <c:crosses val="autoZero"/>
        <c:auto val="1"/>
        <c:lblAlgn val="ctr"/>
        <c:lblOffset val="100"/>
        <c:noMultiLvlLbl val="0"/>
      </c:catAx>
      <c:valAx>
        <c:axId val="-47922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7922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UIC - Clusters Development  in   Kazakhstan</a:t>
            </a:r>
            <a:endParaRPr lang="en-US"/>
          </a:p>
        </c:rich>
      </c:tx>
      <c:layout>
        <c:manualLayout>
          <c:xMode val="edge"/>
          <c:yMode val="edge"/>
          <c:x val="0.21333786231884053"/>
          <c:y val="6.481481481481481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lineChart>
        <c:grouping val="standard"/>
        <c:varyColors val="0"/>
        <c:ser>
          <c:idx val="0"/>
          <c:order val="0"/>
          <c:tx>
            <c:v>UIC</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structured!$A$50:$A$65</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structured!$E$50:$E$65</c:f>
              <c:numCache>
                <c:formatCode>General</c:formatCode>
                <c:ptCount val="16"/>
                <c:pt idx="0">
                  <c:v>61</c:v>
                </c:pt>
                <c:pt idx="1">
                  <c:v>61</c:v>
                </c:pt>
                <c:pt idx="2">
                  <c:v>76</c:v>
                </c:pt>
                <c:pt idx="3">
                  <c:v>101</c:v>
                </c:pt>
                <c:pt idx="4">
                  <c:v>113</c:v>
                </c:pt>
                <c:pt idx="5">
                  <c:v>88</c:v>
                </c:pt>
                <c:pt idx="6">
                  <c:v>76</c:v>
                </c:pt>
                <c:pt idx="7">
                  <c:v>85</c:v>
                </c:pt>
                <c:pt idx="8">
                  <c:v>82</c:v>
                </c:pt>
                <c:pt idx="9">
                  <c:v>63</c:v>
                </c:pt>
                <c:pt idx="10">
                  <c:v>72</c:v>
                </c:pt>
                <c:pt idx="11">
                  <c:v>67</c:v>
                </c:pt>
                <c:pt idx="12">
                  <c:v>68</c:v>
                </c:pt>
                <c:pt idx="13">
                  <c:v>95</c:v>
                </c:pt>
                <c:pt idx="14">
                  <c:v>117</c:v>
                </c:pt>
                <c:pt idx="15">
                  <c:v>117</c:v>
                </c:pt>
              </c:numCache>
            </c:numRef>
          </c:val>
          <c:smooth val="0"/>
          <c:extLst>
            <c:ext xmlns:c16="http://schemas.microsoft.com/office/drawing/2014/chart" uri="{C3380CC4-5D6E-409C-BE32-E72D297353CC}">
              <c16:uniqueId val="{00000000-4B96-4926-8DA5-A3AA2CE0AD5D}"/>
            </c:ext>
          </c:extLst>
        </c:ser>
        <c:ser>
          <c:idx val="1"/>
          <c:order val="1"/>
          <c:tx>
            <c:v>Cluster Development</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structured!$A$50:$A$65</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structured!$F$50:$F$65</c:f>
              <c:numCache>
                <c:formatCode>General</c:formatCode>
                <c:ptCount val="16"/>
                <c:pt idx="0">
                  <c:v>68</c:v>
                </c:pt>
                <c:pt idx="1">
                  <c:v>68</c:v>
                </c:pt>
                <c:pt idx="2">
                  <c:v>75</c:v>
                </c:pt>
                <c:pt idx="3">
                  <c:v>67</c:v>
                </c:pt>
                <c:pt idx="4">
                  <c:v>67</c:v>
                </c:pt>
                <c:pt idx="5">
                  <c:v>83</c:v>
                </c:pt>
                <c:pt idx="6">
                  <c:v>119</c:v>
                </c:pt>
                <c:pt idx="7">
                  <c:v>112</c:v>
                </c:pt>
                <c:pt idx="8">
                  <c:v>105</c:v>
                </c:pt>
                <c:pt idx="9">
                  <c:v>109</c:v>
                </c:pt>
                <c:pt idx="10">
                  <c:v>111</c:v>
                </c:pt>
                <c:pt idx="11">
                  <c:v>110</c:v>
                </c:pt>
                <c:pt idx="12">
                  <c:v>114</c:v>
                </c:pt>
                <c:pt idx="13">
                  <c:v>117</c:v>
                </c:pt>
                <c:pt idx="14">
                  <c:v>120</c:v>
                </c:pt>
                <c:pt idx="15">
                  <c:v>118</c:v>
                </c:pt>
              </c:numCache>
            </c:numRef>
          </c:val>
          <c:smooth val="0"/>
          <c:extLst>
            <c:ext xmlns:c16="http://schemas.microsoft.com/office/drawing/2014/chart" uri="{C3380CC4-5D6E-409C-BE32-E72D297353CC}">
              <c16:uniqueId val="{00000001-4B96-4926-8DA5-A3AA2CE0AD5D}"/>
            </c:ext>
          </c:extLst>
        </c:ser>
        <c:dLbls>
          <c:showLegendKey val="0"/>
          <c:showVal val="0"/>
          <c:showCatName val="0"/>
          <c:showSerName val="0"/>
          <c:showPercent val="0"/>
          <c:showBubbleSize val="0"/>
        </c:dLbls>
        <c:marker val="1"/>
        <c:smooth val="0"/>
        <c:axId val="-479220112"/>
        <c:axId val="-479215216"/>
      </c:lineChart>
      <c:catAx>
        <c:axId val="-47922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79215216"/>
        <c:crosses val="autoZero"/>
        <c:auto val="1"/>
        <c:lblAlgn val="ctr"/>
        <c:lblOffset val="100"/>
        <c:noMultiLvlLbl val="0"/>
      </c:catAx>
      <c:valAx>
        <c:axId val="-47921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7922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5C2A8D-5CDC-477E-8DFB-46D6275555D6}"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ru-RU"/>
        </a:p>
      </dgm:t>
    </dgm:pt>
    <dgm:pt modelId="{2BAD1623-E394-4A1B-8B2B-0F4F518BC2D0}">
      <dgm:prSet phldrT="[Текст]" custT="1"/>
      <dgm:spPr/>
      <dgm:t>
        <a:bodyPr/>
        <a:lstStyle/>
        <a:p>
          <a:pPr algn="ctr"/>
          <a:r>
            <a:rPr lang="en-US" sz="1400">
              <a:latin typeface="Times New Roman" pitchFamily="18" charset="0"/>
              <a:cs typeface="Times New Roman" pitchFamily="18" charset="0"/>
            </a:rPr>
            <a:t>Gene splicing </a:t>
          </a:r>
          <a:endParaRPr lang="ru-RU" sz="1400">
            <a:latin typeface="Times New Roman" pitchFamily="18" charset="0"/>
            <a:cs typeface="Times New Roman" pitchFamily="18" charset="0"/>
          </a:endParaRPr>
        </a:p>
      </dgm:t>
    </dgm:pt>
    <dgm:pt modelId="{65B2BBFB-C5C5-4FD8-A6A9-D6008CAFED19}" type="parTrans" cxnId="{582C1DBB-7C1E-4FB2-94C7-57EADF35CBA4}">
      <dgm:prSet/>
      <dgm:spPr/>
      <dgm:t>
        <a:bodyPr/>
        <a:lstStyle/>
        <a:p>
          <a:endParaRPr lang="ru-RU"/>
        </a:p>
      </dgm:t>
    </dgm:pt>
    <dgm:pt modelId="{E398E1E6-F564-4762-B3B7-C623BDD8156A}" type="sibTrans" cxnId="{582C1DBB-7C1E-4FB2-94C7-57EADF35CBA4}">
      <dgm:prSet/>
      <dgm:spPr/>
      <dgm:t>
        <a:bodyPr/>
        <a:lstStyle/>
        <a:p>
          <a:endParaRPr lang="ru-RU"/>
        </a:p>
      </dgm:t>
    </dgm:pt>
    <dgm:pt modelId="{C6D25B16-87FE-4969-8F88-3D16E8E472CB}">
      <dgm:prSet phldrT="[Текст]" custT="1"/>
      <dgm:spPr/>
      <dgm:t>
        <a:bodyPr/>
        <a:lstStyle/>
        <a:p>
          <a:pPr algn="ctr"/>
          <a:r>
            <a:rPr lang="en-US" sz="1800"/>
            <a:t> </a:t>
          </a:r>
          <a:r>
            <a:rPr lang="en-US" sz="1400">
              <a:latin typeface="Times New Roman" pitchFamily="18" charset="0"/>
              <a:cs typeface="Times New Roman" pitchFamily="18" charset="0"/>
            </a:rPr>
            <a:t>Commercial value of fabricated genes</a:t>
          </a:r>
          <a:endParaRPr lang="ru-RU" sz="1400">
            <a:latin typeface="Times New Roman" pitchFamily="18" charset="0"/>
            <a:cs typeface="Times New Roman" pitchFamily="18" charset="0"/>
          </a:endParaRPr>
        </a:p>
      </dgm:t>
    </dgm:pt>
    <dgm:pt modelId="{37AE194A-EE57-450B-8442-CFBB8AFC4916}" type="parTrans" cxnId="{325F6E5C-5F16-4D49-B9C4-9C975A8BFB1C}">
      <dgm:prSet/>
      <dgm:spPr/>
      <dgm:t>
        <a:bodyPr/>
        <a:lstStyle/>
        <a:p>
          <a:endParaRPr lang="ru-RU"/>
        </a:p>
      </dgm:t>
    </dgm:pt>
    <dgm:pt modelId="{9BDF3732-3C70-461C-895A-0D5E490976D2}" type="sibTrans" cxnId="{325F6E5C-5F16-4D49-B9C4-9C975A8BFB1C}">
      <dgm:prSet/>
      <dgm:spPr/>
      <dgm:t>
        <a:bodyPr/>
        <a:lstStyle/>
        <a:p>
          <a:endParaRPr lang="ru-RU"/>
        </a:p>
      </dgm:t>
    </dgm:pt>
    <dgm:pt modelId="{AE6ED089-E7CE-400B-A46D-BE251D75FF0D}">
      <dgm:prSet phldrT="[Текст]" custT="1"/>
      <dgm:spPr/>
      <dgm:t>
        <a:bodyPr/>
        <a:lstStyle/>
        <a:p>
          <a:pPr algn="ctr"/>
          <a:r>
            <a:rPr lang="en-US" sz="1400">
              <a:latin typeface="Times New Roman" pitchFamily="18" charset="0"/>
              <a:cs typeface="Times New Roman" pitchFamily="18" charset="0"/>
            </a:rPr>
            <a:t>Developing the ownership of patents by Federal support</a:t>
          </a:r>
          <a:endParaRPr lang="ru-RU" sz="1400">
            <a:latin typeface="Times New Roman" pitchFamily="18" charset="0"/>
            <a:cs typeface="Times New Roman" pitchFamily="18" charset="0"/>
          </a:endParaRPr>
        </a:p>
      </dgm:t>
    </dgm:pt>
    <dgm:pt modelId="{320B27D6-C575-4A09-B7B2-B9AB29790D50}" type="parTrans" cxnId="{D9764255-A3FA-4F32-BF12-B94C1D84524B}">
      <dgm:prSet/>
      <dgm:spPr/>
      <dgm:t>
        <a:bodyPr/>
        <a:lstStyle/>
        <a:p>
          <a:endParaRPr lang="ru-RU"/>
        </a:p>
      </dgm:t>
    </dgm:pt>
    <dgm:pt modelId="{7B461295-4AC4-4727-81B9-B0DCBD049BCE}" type="sibTrans" cxnId="{D9764255-A3FA-4F32-BF12-B94C1D84524B}">
      <dgm:prSet/>
      <dgm:spPr/>
      <dgm:t>
        <a:bodyPr/>
        <a:lstStyle/>
        <a:p>
          <a:endParaRPr lang="ru-RU"/>
        </a:p>
      </dgm:t>
    </dgm:pt>
    <dgm:pt modelId="{EA4CD0E0-2F1C-40B9-8D2A-F98D953FD20D}" type="pres">
      <dgm:prSet presAssocID="{2B5C2A8D-5CDC-477E-8DFB-46D6275555D6}" presName="Name0" presStyleCnt="0">
        <dgm:presLayoutVars>
          <dgm:dir/>
          <dgm:animLvl val="lvl"/>
          <dgm:resizeHandles val="exact"/>
        </dgm:presLayoutVars>
      </dgm:prSet>
      <dgm:spPr/>
    </dgm:pt>
    <dgm:pt modelId="{D9E6D9D9-B8CC-4B1E-9A0B-A3BE2E3B881D}" type="pres">
      <dgm:prSet presAssocID="{AE6ED089-E7CE-400B-A46D-BE251D75FF0D}" presName="boxAndChildren" presStyleCnt="0"/>
      <dgm:spPr/>
    </dgm:pt>
    <dgm:pt modelId="{4535BE92-D656-4DC4-8724-D1A6525DA709}" type="pres">
      <dgm:prSet presAssocID="{AE6ED089-E7CE-400B-A46D-BE251D75FF0D}" presName="parentTextBox" presStyleLbl="node1" presStyleIdx="0" presStyleCnt="3" custScaleX="90909" custScaleY="90909"/>
      <dgm:spPr/>
    </dgm:pt>
    <dgm:pt modelId="{EF861D66-73A4-43D7-9EAA-18B3472DD9FD}" type="pres">
      <dgm:prSet presAssocID="{9BDF3732-3C70-461C-895A-0D5E490976D2}" presName="sp" presStyleCnt="0"/>
      <dgm:spPr/>
    </dgm:pt>
    <dgm:pt modelId="{B115AEEC-9469-4BF6-9758-2FAEC6303DA4}" type="pres">
      <dgm:prSet presAssocID="{C6D25B16-87FE-4969-8F88-3D16E8E472CB}" presName="arrowAndChildren" presStyleCnt="0"/>
      <dgm:spPr/>
    </dgm:pt>
    <dgm:pt modelId="{1B22BC03-DB77-44B8-BEBA-F7EB672CC83F}" type="pres">
      <dgm:prSet presAssocID="{C6D25B16-87FE-4969-8F88-3D16E8E472CB}" presName="parentTextArrow" presStyleLbl="node1" presStyleIdx="1" presStyleCnt="3" custScaleX="90909" custScaleY="90909"/>
      <dgm:spPr/>
    </dgm:pt>
    <dgm:pt modelId="{B26AD6D0-F537-441E-815B-FC0D312D90D1}" type="pres">
      <dgm:prSet presAssocID="{E398E1E6-F564-4762-B3B7-C623BDD8156A}" presName="sp" presStyleCnt="0"/>
      <dgm:spPr/>
    </dgm:pt>
    <dgm:pt modelId="{782515E4-DB08-4C38-BF12-0772DFA367C4}" type="pres">
      <dgm:prSet presAssocID="{2BAD1623-E394-4A1B-8B2B-0F4F518BC2D0}" presName="arrowAndChildren" presStyleCnt="0"/>
      <dgm:spPr/>
    </dgm:pt>
    <dgm:pt modelId="{37E1ECF4-3956-4FFE-83B8-34A0357B786E}" type="pres">
      <dgm:prSet presAssocID="{2BAD1623-E394-4A1B-8B2B-0F4F518BC2D0}" presName="parentTextArrow" presStyleLbl="node1" presStyleIdx="2" presStyleCnt="3" custScaleX="90909" custScaleY="90909"/>
      <dgm:spPr/>
    </dgm:pt>
  </dgm:ptLst>
  <dgm:cxnLst>
    <dgm:cxn modelId="{0ACFDE16-3E8D-4A68-8608-529F1B8C0C90}" type="presOf" srcId="{AE6ED089-E7CE-400B-A46D-BE251D75FF0D}" destId="{4535BE92-D656-4DC4-8724-D1A6525DA709}" srcOrd="0" destOrd="0" presId="urn:microsoft.com/office/officeart/2005/8/layout/process4"/>
    <dgm:cxn modelId="{325F6E5C-5F16-4D49-B9C4-9C975A8BFB1C}" srcId="{2B5C2A8D-5CDC-477E-8DFB-46D6275555D6}" destId="{C6D25B16-87FE-4969-8F88-3D16E8E472CB}" srcOrd="1" destOrd="0" parTransId="{37AE194A-EE57-450B-8442-CFBB8AFC4916}" sibTransId="{9BDF3732-3C70-461C-895A-0D5E490976D2}"/>
    <dgm:cxn modelId="{D9764255-A3FA-4F32-BF12-B94C1D84524B}" srcId="{2B5C2A8D-5CDC-477E-8DFB-46D6275555D6}" destId="{AE6ED089-E7CE-400B-A46D-BE251D75FF0D}" srcOrd="2" destOrd="0" parTransId="{320B27D6-C575-4A09-B7B2-B9AB29790D50}" sibTransId="{7B461295-4AC4-4727-81B9-B0DCBD049BCE}"/>
    <dgm:cxn modelId="{0FBB9582-1671-4CD9-9E7D-3AC997E08AB7}" type="presOf" srcId="{C6D25B16-87FE-4969-8F88-3D16E8E472CB}" destId="{1B22BC03-DB77-44B8-BEBA-F7EB672CC83F}" srcOrd="0" destOrd="0" presId="urn:microsoft.com/office/officeart/2005/8/layout/process4"/>
    <dgm:cxn modelId="{582C1DBB-7C1E-4FB2-94C7-57EADF35CBA4}" srcId="{2B5C2A8D-5CDC-477E-8DFB-46D6275555D6}" destId="{2BAD1623-E394-4A1B-8B2B-0F4F518BC2D0}" srcOrd="0" destOrd="0" parTransId="{65B2BBFB-C5C5-4FD8-A6A9-D6008CAFED19}" sibTransId="{E398E1E6-F564-4762-B3B7-C623BDD8156A}"/>
    <dgm:cxn modelId="{CB9891E4-4B56-4F36-890F-DCA4F8FAB9C0}" type="presOf" srcId="{2BAD1623-E394-4A1B-8B2B-0F4F518BC2D0}" destId="{37E1ECF4-3956-4FFE-83B8-34A0357B786E}" srcOrd="0" destOrd="0" presId="urn:microsoft.com/office/officeart/2005/8/layout/process4"/>
    <dgm:cxn modelId="{EEA4D4FC-048C-4A06-B70F-A5A6042F148F}" type="presOf" srcId="{2B5C2A8D-5CDC-477E-8DFB-46D6275555D6}" destId="{EA4CD0E0-2F1C-40B9-8D2A-F98D953FD20D}" srcOrd="0" destOrd="0" presId="urn:microsoft.com/office/officeart/2005/8/layout/process4"/>
    <dgm:cxn modelId="{DC455333-0243-482F-9B47-BEDD52FDECC4}" type="presParOf" srcId="{EA4CD0E0-2F1C-40B9-8D2A-F98D953FD20D}" destId="{D9E6D9D9-B8CC-4B1E-9A0B-A3BE2E3B881D}" srcOrd="0" destOrd="0" presId="urn:microsoft.com/office/officeart/2005/8/layout/process4"/>
    <dgm:cxn modelId="{E758A7D2-7584-45E5-BA5B-5E50D018F91B}" type="presParOf" srcId="{D9E6D9D9-B8CC-4B1E-9A0B-A3BE2E3B881D}" destId="{4535BE92-D656-4DC4-8724-D1A6525DA709}" srcOrd="0" destOrd="0" presId="urn:microsoft.com/office/officeart/2005/8/layout/process4"/>
    <dgm:cxn modelId="{4A888279-F039-4C57-95AD-7578E6D78D11}" type="presParOf" srcId="{EA4CD0E0-2F1C-40B9-8D2A-F98D953FD20D}" destId="{EF861D66-73A4-43D7-9EAA-18B3472DD9FD}" srcOrd="1" destOrd="0" presId="urn:microsoft.com/office/officeart/2005/8/layout/process4"/>
    <dgm:cxn modelId="{2FE7A5A0-5ED0-4A9B-B2B0-7C9CF37D4B4E}" type="presParOf" srcId="{EA4CD0E0-2F1C-40B9-8D2A-F98D953FD20D}" destId="{B115AEEC-9469-4BF6-9758-2FAEC6303DA4}" srcOrd="2" destOrd="0" presId="urn:microsoft.com/office/officeart/2005/8/layout/process4"/>
    <dgm:cxn modelId="{61AB914F-E4B4-4EE8-840C-099A42C81C4D}" type="presParOf" srcId="{B115AEEC-9469-4BF6-9758-2FAEC6303DA4}" destId="{1B22BC03-DB77-44B8-BEBA-F7EB672CC83F}" srcOrd="0" destOrd="0" presId="urn:microsoft.com/office/officeart/2005/8/layout/process4"/>
    <dgm:cxn modelId="{ADF40F18-698F-4B9B-8A8A-7DC5A5B8E87F}" type="presParOf" srcId="{EA4CD0E0-2F1C-40B9-8D2A-F98D953FD20D}" destId="{B26AD6D0-F537-441E-815B-FC0D312D90D1}" srcOrd="3" destOrd="0" presId="urn:microsoft.com/office/officeart/2005/8/layout/process4"/>
    <dgm:cxn modelId="{428E910B-4FF4-4B6B-870A-40B0EB7BE705}" type="presParOf" srcId="{EA4CD0E0-2F1C-40B9-8D2A-F98D953FD20D}" destId="{782515E4-DB08-4C38-BF12-0772DFA367C4}" srcOrd="4" destOrd="0" presId="urn:microsoft.com/office/officeart/2005/8/layout/process4"/>
    <dgm:cxn modelId="{1AD53450-68B4-4ADC-B47A-D5538336C302}" type="presParOf" srcId="{782515E4-DB08-4C38-BF12-0772DFA367C4}" destId="{37E1ECF4-3956-4FFE-83B8-34A0357B786E}" srcOrd="0" destOrd="0" presId="urn:microsoft.com/office/officeart/2005/8/layout/process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372C99-EBE2-4F71-B567-38968B487FFA}" type="doc">
      <dgm:prSet loTypeId="urn:microsoft.com/office/officeart/2005/8/layout/venn1" loCatId="relationship" qsTypeId="urn:microsoft.com/office/officeart/2005/8/quickstyle/simple1" qsCatId="simple" csTypeId="urn:microsoft.com/office/officeart/2005/8/colors/accent0_1" csCatId="mainScheme" phldr="1"/>
      <dgm:spPr/>
    </dgm:pt>
    <dgm:pt modelId="{5B7DEB1F-17B2-425C-9115-77A9464C231B}">
      <dgm:prSet phldrT="[Текст]" custT="1"/>
      <dgm:spPr/>
      <dgm:t>
        <a:bodyPr/>
        <a:lstStyle/>
        <a:p>
          <a:r>
            <a:rPr lang="en-US" sz="1200">
              <a:latin typeface="Times New Roman" pitchFamily="18" charset="0"/>
              <a:cs typeface="Times New Roman" pitchFamily="18" charset="0"/>
            </a:rPr>
            <a:t>University</a:t>
          </a:r>
          <a:endParaRPr lang="ru-RU" sz="1200">
            <a:latin typeface="Times New Roman" pitchFamily="18" charset="0"/>
            <a:cs typeface="Times New Roman" pitchFamily="18" charset="0"/>
          </a:endParaRPr>
        </a:p>
      </dgm:t>
    </dgm:pt>
    <dgm:pt modelId="{B0BE17EB-1B66-40D1-BA10-DCA63029E902}" type="parTrans" cxnId="{64F781A3-F678-4CAD-A1A9-8C34D6C5AA4C}">
      <dgm:prSet/>
      <dgm:spPr/>
      <dgm:t>
        <a:bodyPr/>
        <a:lstStyle/>
        <a:p>
          <a:endParaRPr lang="ru-RU"/>
        </a:p>
      </dgm:t>
    </dgm:pt>
    <dgm:pt modelId="{91601F0A-D9F2-4865-A1E7-D0DCF071ADFC}" type="sibTrans" cxnId="{64F781A3-F678-4CAD-A1A9-8C34D6C5AA4C}">
      <dgm:prSet/>
      <dgm:spPr/>
      <dgm:t>
        <a:bodyPr/>
        <a:lstStyle/>
        <a:p>
          <a:endParaRPr lang="ru-RU"/>
        </a:p>
      </dgm:t>
    </dgm:pt>
    <dgm:pt modelId="{A9A0646A-63C1-49EC-8A67-A99AECB83B6F}">
      <dgm:prSet phldrT="[Текст]" custT="1"/>
      <dgm:spPr/>
      <dgm:t>
        <a:bodyPr/>
        <a:lstStyle/>
        <a:p>
          <a:r>
            <a:rPr lang="en-US" sz="1200">
              <a:latin typeface="Times New Roman" pitchFamily="18" charset="0"/>
              <a:cs typeface="Times New Roman" pitchFamily="18" charset="0"/>
            </a:rPr>
            <a:t>Industry</a:t>
          </a:r>
        </a:p>
      </dgm:t>
    </dgm:pt>
    <dgm:pt modelId="{34FBE37C-2B1C-4624-9605-671DBE714C5E}" type="parTrans" cxnId="{8B779017-78E5-45A3-9965-29CEB9A5B591}">
      <dgm:prSet/>
      <dgm:spPr/>
      <dgm:t>
        <a:bodyPr/>
        <a:lstStyle/>
        <a:p>
          <a:endParaRPr lang="ru-RU"/>
        </a:p>
      </dgm:t>
    </dgm:pt>
    <dgm:pt modelId="{93650E16-BBD5-4647-82A6-04821079C6CA}" type="sibTrans" cxnId="{8B779017-78E5-45A3-9965-29CEB9A5B591}">
      <dgm:prSet/>
      <dgm:spPr/>
      <dgm:t>
        <a:bodyPr/>
        <a:lstStyle/>
        <a:p>
          <a:endParaRPr lang="ru-RU"/>
        </a:p>
      </dgm:t>
    </dgm:pt>
    <dgm:pt modelId="{04780D0B-767A-4EDE-A2C9-3BD3E381459A}">
      <dgm:prSet phldrT="[Текст]" custT="1"/>
      <dgm:spPr/>
      <dgm:t>
        <a:bodyPr/>
        <a:lstStyle/>
        <a:p>
          <a:r>
            <a:rPr lang="en-US" sz="1200">
              <a:latin typeface="Times New Roman" pitchFamily="18" charset="0"/>
              <a:cs typeface="Times New Roman" pitchFamily="18" charset="0"/>
            </a:rPr>
            <a:t>Government</a:t>
          </a:r>
          <a:endParaRPr lang="ru-RU" sz="1200">
            <a:latin typeface="Times New Roman" pitchFamily="18" charset="0"/>
            <a:cs typeface="Times New Roman" pitchFamily="18" charset="0"/>
          </a:endParaRPr>
        </a:p>
      </dgm:t>
    </dgm:pt>
    <dgm:pt modelId="{F9E6A5CE-49F8-4E70-A11D-B002C5549ED1}" type="parTrans" cxnId="{F6BFF6AB-1E97-46DF-9190-7FB1D093BA53}">
      <dgm:prSet/>
      <dgm:spPr/>
      <dgm:t>
        <a:bodyPr/>
        <a:lstStyle/>
        <a:p>
          <a:endParaRPr lang="ru-RU"/>
        </a:p>
      </dgm:t>
    </dgm:pt>
    <dgm:pt modelId="{12455A33-DF2F-4FF9-81A3-A4DB2BD623B4}" type="sibTrans" cxnId="{F6BFF6AB-1E97-46DF-9190-7FB1D093BA53}">
      <dgm:prSet/>
      <dgm:spPr/>
      <dgm:t>
        <a:bodyPr/>
        <a:lstStyle/>
        <a:p>
          <a:endParaRPr lang="ru-RU"/>
        </a:p>
      </dgm:t>
    </dgm:pt>
    <dgm:pt modelId="{376121A9-4D9A-4CB8-ABA0-5F0FAB4B6530}" type="pres">
      <dgm:prSet presAssocID="{BF372C99-EBE2-4F71-B567-38968B487FFA}" presName="compositeShape" presStyleCnt="0">
        <dgm:presLayoutVars>
          <dgm:chMax val="7"/>
          <dgm:dir/>
          <dgm:resizeHandles val="exact"/>
        </dgm:presLayoutVars>
      </dgm:prSet>
      <dgm:spPr/>
    </dgm:pt>
    <dgm:pt modelId="{0AF0CB0E-C1A6-46D3-89BC-C8B991ED81DE}" type="pres">
      <dgm:prSet presAssocID="{5B7DEB1F-17B2-425C-9115-77A9464C231B}" presName="circ1" presStyleLbl="vennNode1" presStyleIdx="0" presStyleCnt="3"/>
      <dgm:spPr/>
    </dgm:pt>
    <dgm:pt modelId="{F4B6E0FA-ECE7-46A7-8970-5C6879AC006A}" type="pres">
      <dgm:prSet presAssocID="{5B7DEB1F-17B2-425C-9115-77A9464C231B}" presName="circ1Tx" presStyleLbl="revTx" presStyleIdx="0" presStyleCnt="0">
        <dgm:presLayoutVars>
          <dgm:chMax val="0"/>
          <dgm:chPref val="0"/>
          <dgm:bulletEnabled val="1"/>
        </dgm:presLayoutVars>
      </dgm:prSet>
      <dgm:spPr/>
    </dgm:pt>
    <dgm:pt modelId="{442E4D1C-42FD-4185-A384-C11D36108F0B}" type="pres">
      <dgm:prSet presAssocID="{A9A0646A-63C1-49EC-8A67-A99AECB83B6F}" presName="circ2" presStyleLbl="vennNode1" presStyleIdx="1" presStyleCnt="3"/>
      <dgm:spPr/>
    </dgm:pt>
    <dgm:pt modelId="{D315D1DF-C012-4C85-973C-8D1371D3B750}" type="pres">
      <dgm:prSet presAssocID="{A9A0646A-63C1-49EC-8A67-A99AECB83B6F}" presName="circ2Tx" presStyleLbl="revTx" presStyleIdx="0" presStyleCnt="0">
        <dgm:presLayoutVars>
          <dgm:chMax val="0"/>
          <dgm:chPref val="0"/>
          <dgm:bulletEnabled val="1"/>
        </dgm:presLayoutVars>
      </dgm:prSet>
      <dgm:spPr/>
    </dgm:pt>
    <dgm:pt modelId="{4E4CCBA9-867F-4C4E-8A0D-8916BFE3A2E9}" type="pres">
      <dgm:prSet presAssocID="{04780D0B-767A-4EDE-A2C9-3BD3E381459A}" presName="circ3" presStyleLbl="vennNode1" presStyleIdx="2" presStyleCnt="3"/>
      <dgm:spPr/>
    </dgm:pt>
    <dgm:pt modelId="{2B2D6FBE-7DC5-48F2-A949-4F3A38BC4E4A}" type="pres">
      <dgm:prSet presAssocID="{04780D0B-767A-4EDE-A2C9-3BD3E381459A}" presName="circ3Tx" presStyleLbl="revTx" presStyleIdx="0" presStyleCnt="0">
        <dgm:presLayoutVars>
          <dgm:chMax val="0"/>
          <dgm:chPref val="0"/>
          <dgm:bulletEnabled val="1"/>
        </dgm:presLayoutVars>
      </dgm:prSet>
      <dgm:spPr/>
    </dgm:pt>
  </dgm:ptLst>
  <dgm:cxnLst>
    <dgm:cxn modelId="{8B779017-78E5-45A3-9965-29CEB9A5B591}" srcId="{BF372C99-EBE2-4F71-B567-38968B487FFA}" destId="{A9A0646A-63C1-49EC-8A67-A99AECB83B6F}" srcOrd="1" destOrd="0" parTransId="{34FBE37C-2B1C-4624-9605-671DBE714C5E}" sibTransId="{93650E16-BBD5-4647-82A6-04821079C6CA}"/>
    <dgm:cxn modelId="{F671AD17-95AF-4A8F-9878-5517983F3409}" type="presOf" srcId="{04780D0B-767A-4EDE-A2C9-3BD3E381459A}" destId="{4E4CCBA9-867F-4C4E-8A0D-8916BFE3A2E9}" srcOrd="0" destOrd="0" presId="urn:microsoft.com/office/officeart/2005/8/layout/venn1"/>
    <dgm:cxn modelId="{F400565B-EBB6-409B-9132-CA7B1C4532C6}" type="presOf" srcId="{BF372C99-EBE2-4F71-B567-38968B487FFA}" destId="{376121A9-4D9A-4CB8-ABA0-5F0FAB4B6530}" srcOrd="0" destOrd="0" presId="urn:microsoft.com/office/officeart/2005/8/layout/venn1"/>
    <dgm:cxn modelId="{3281B26F-3AB6-4F62-8D9D-061B8519BE3C}" type="presOf" srcId="{A9A0646A-63C1-49EC-8A67-A99AECB83B6F}" destId="{D315D1DF-C012-4C85-973C-8D1371D3B750}" srcOrd="1" destOrd="0" presId="urn:microsoft.com/office/officeart/2005/8/layout/venn1"/>
    <dgm:cxn modelId="{64F781A3-F678-4CAD-A1A9-8C34D6C5AA4C}" srcId="{BF372C99-EBE2-4F71-B567-38968B487FFA}" destId="{5B7DEB1F-17B2-425C-9115-77A9464C231B}" srcOrd="0" destOrd="0" parTransId="{B0BE17EB-1B66-40D1-BA10-DCA63029E902}" sibTransId="{91601F0A-D9F2-4865-A1E7-D0DCF071ADFC}"/>
    <dgm:cxn modelId="{F6BFF6AB-1E97-46DF-9190-7FB1D093BA53}" srcId="{BF372C99-EBE2-4F71-B567-38968B487FFA}" destId="{04780D0B-767A-4EDE-A2C9-3BD3E381459A}" srcOrd="2" destOrd="0" parTransId="{F9E6A5CE-49F8-4E70-A11D-B002C5549ED1}" sibTransId="{12455A33-DF2F-4FF9-81A3-A4DB2BD623B4}"/>
    <dgm:cxn modelId="{DD9752D3-2C68-4054-9E6E-813CE3FEE0E2}" type="presOf" srcId="{04780D0B-767A-4EDE-A2C9-3BD3E381459A}" destId="{2B2D6FBE-7DC5-48F2-A949-4F3A38BC4E4A}" srcOrd="1" destOrd="0" presId="urn:microsoft.com/office/officeart/2005/8/layout/venn1"/>
    <dgm:cxn modelId="{117EA6D6-6FBD-44C9-AF1B-85AE43653171}" type="presOf" srcId="{5B7DEB1F-17B2-425C-9115-77A9464C231B}" destId="{F4B6E0FA-ECE7-46A7-8970-5C6879AC006A}" srcOrd="1" destOrd="0" presId="urn:microsoft.com/office/officeart/2005/8/layout/venn1"/>
    <dgm:cxn modelId="{B988AAD9-C7C2-4BF1-AE5C-67EFC31C0111}" type="presOf" srcId="{5B7DEB1F-17B2-425C-9115-77A9464C231B}" destId="{0AF0CB0E-C1A6-46D3-89BC-C8B991ED81DE}" srcOrd="0" destOrd="0" presId="urn:microsoft.com/office/officeart/2005/8/layout/venn1"/>
    <dgm:cxn modelId="{40D3A9F5-3757-4AB7-9F15-CE18CC091796}" type="presOf" srcId="{A9A0646A-63C1-49EC-8A67-A99AECB83B6F}" destId="{442E4D1C-42FD-4185-A384-C11D36108F0B}" srcOrd="0" destOrd="0" presId="urn:microsoft.com/office/officeart/2005/8/layout/venn1"/>
    <dgm:cxn modelId="{7D42ADE1-EBD5-479A-ABB0-EBE7DB443115}" type="presParOf" srcId="{376121A9-4D9A-4CB8-ABA0-5F0FAB4B6530}" destId="{0AF0CB0E-C1A6-46D3-89BC-C8B991ED81DE}" srcOrd="0" destOrd="0" presId="urn:microsoft.com/office/officeart/2005/8/layout/venn1"/>
    <dgm:cxn modelId="{56D9931D-4BF5-46E9-A13D-A777CD804204}" type="presParOf" srcId="{376121A9-4D9A-4CB8-ABA0-5F0FAB4B6530}" destId="{F4B6E0FA-ECE7-46A7-8970-5C6879AC006A}" srcOrd="1" destOrd="0" presId="urn:microsoft.com/office/officeart/2005/8/layout/venn1"/>
    <dgm:cxn modelId="{E314D19A-7D72-4DF3-981C-2EDB9F5F7608}" type="presParOf" srcId="{376121A9-4D9A-4CB8-ABA0-5F0FAB4B6530}" destId="{442E4D1C-42FD-4185-A384-C11D36108F0B}" srcOrd="2" destOrd="0" presId="urn:microsoft.com/office/officeart/2005/8/layout/venn1"/>
    <dgm:cxn modelId="{215179A3-9980-4DC6-B7B7-2108C5213857}" type="presParOf" srcId="{376121A9-4D9A-4CB8-ABA0-5F0FAB4B6530}" destId="{D315D1DF-C012-4C85-973C-8D1371D3B750}" srcOrd="3" destOrd="0" presId="urn:microsoft.com/office/officeart/2005/8/layout/venn1"/>
    <dgm:cxn modelId="{31EE206E-C64D-44A3-8A95-3F03CF2ED720}" type="presParOf" srcId="{376121A9-4D9A-4CB8-ABA0-5F0FAB4B6530}" destId="{4E4CCBA9-867F-4C4E-8A0D-8916BFE3A2E9}" srcOrd="4" destOrd="0" presId="urn:microsoft.com/office/officeart/2005/8/layout/venn1"/>
    <dgm:cxn modelId="{206DEA91-DE95-44B0-A54A-6054DBE12C60}" type="presParOf" srcId="{376121A9-4D9A-4CB8-ABA0-5F0FAB4B6530}" destId="{2B2D6FBE-7DC5-48F2-A949-4F3A38BC4E4A}" srcOrd="5" destOrd="0" presId="urn:microsoft.com/office/officeart/2005/8/layout/ven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E9A1D82-C2DA-4BAE-98A7-9EE5C81E0337}" type="doc">
      <dgm:prSet loTypeId="urn:microsoft.com/office/officeart/2005/8/layout/radial6" loCatId="cycle" qsTypeId="urn:microsoft.com/office/officeart/2005/8/quickstyle/simple1" qsCatId="simple" csTypeId="urn:microsoft.com/office/officeart/2005/8/colors/accent0_2" csCatId="mainScheme" phldr="1"/>
      <dgm:spPr/>
      <dgm:t>
        <a:bodyPr/>
        <a:lstStyle/>
        <a:p>
          <a:endParaRPr lang="ru-RU"/>
        </a:p>
      </dgm:t>
    </dgm:pt>
    <dgm:pt modelId="{77E0B5AC-3915-4C18-B722-31A415C6D6E9}">
      <dgm:prSet phldrT="[Текст]"/>
      <dgm:spPr/>
      <dgm:t>
        <a:bodyPr/>
        <a:lstStyle/>
        <a:p>
          <a:r>
            <a:rPr lang="en-US">
              <a:latin typeface="Times New Roman" pitchFamily="18" charset="0"/>
              <a:cs typeface="Times New Roman" pitchFamily="18" charset="0"/>
            </a:rPr>
            <a:t>Organisation</a:t>
          </a:r>
          <a:endParaRPr lang="ru-RU">
            <a:latin typeface="Times New Roman" pitchFamily="18" charset="0"/>
            <a:cs typeface="Times New Roman" pitchFamily="18" charset="0"/>
          </a:endParaRPr>
        </a:p>
      </dgm:t>
    </dgm:pt>
    <dgm:pt modelId="{4E18A26E-13FB-4D9B-9802-C5E900AC7D78}" type="parTrans" cxnId="{C0830BD0-7F03-4FDB-BF00-FFDEED67E2B4}">
      <dgm:prSet/>
      <dgm:spPr/>
      <dgm:t>
        <a:bodyPr/>
        <a:lstStyle/>
        <a:p>
          <a:endParaRPr lang="ru-RU"/>
        </a:p>
      </dgm:t>
    </dgm:pt>
    <dgm:pt modelId="{81F0D3EB-CE85-4396-8C59-84E4FADAF1AB}" type="sibTrans" cxnId="{C0830BD0-7F03-4FDB-BF00-FFDEED67E2B4}">
      <dgm:prSet/>
      <dgm:spPr/>
      <dgm:t>
        <a:bodyPr/>
        <a:lstStyle/>
        <a:p>
          <a:endParaRPr lang="ru-RU"/>
        </a:p>
      </dgm:t>
    </dgm:pt>
    <dgm:pt modelId="{D9619BE2-2A48-4721-9A05-F03DC0F6CAD9}">
      <dgm:prSet phldrT="[Текст]"/>
      <dgm:spPr/>
      <dgm:t>
        <a:bodyPr/>
        <a:lstStyle/>
        <a:p>
          <a:r>
            <a:rPr lang="en-US">
              <a:latin typeface="Times New Roman" pitchFamily="18" charset="0"/>
              <a:cs typeface="Times New Roman" pitchFamily="18" charset="0"/>
            </a:rPr>
            <a:t>Gathering</a:t>
          </a:r>
          <a:endParaRPr lang="ru-RU">
            <a:latin typeface="Times New Roman" pitchFamily="18" charset="0"/>
            <a:cs typeface="Times New Roman" pitchFamily="18" charset="0"/>
          </a:endParaRPr>
        </a:p>
      </dgm:t>
    </dgm:pt>
    <dgm:pt modelId="{A49EDFC8-6EA5-4C1C-9087-ED62609CC292}" type="parTrans" cxnId="{8A2F31DB-0F84-4B5D-A0E1-877AFE14E9F1}">
      <dgm:prSet/>
      <dgm:spPr/>
      <dgm:t>
        <a:bodyPr/>
        <a:lstStyle/>
        <a:p>
          <a:endParaRPr lang="ru-RU"/>
        </a:p>
      </dgm:t>
    </dgm:pt>
    <dgm:pt modelId="{21830704-05CB-4B7A-9228-334155A21B18}" type="sibTrans" cxnId="{8A2F31DB-0F84-4B5D-A0E1-877AFE14E9F1}">
      <dgm:prSet/>
      <dgm:spPr/>
      <dgm:t>
        <a:bodyPr/>
        <a:lstStyle/>
        <a:p>
          <a:endParaRPr lang="ru-RU"/>
        </a:p>
      </dgm:t>
    </dgm:pt>
    <dgm:pt modelId="{C7E4788F-43F6-4C50-AEEE-9CDD19826A12}">
      <dgm:prSet phldrT="[Текст]" custT="1"/>
      <dgm:spPr/>
      <dgm:t>
        <a:bodyPr/>
        <a:lstStyle/>
        <a:p>
          <a:r>
            <a:rPr lang="en-US" sz="1200" baseline="0">
              <a:latin typeface="Times New Roman" pitchFamily="18" charset="0"/>
              <a:cs typeface="Times New Roman" pitchFamily="18" charset="0"/>
            </a:rPr>
            <a:t>Management</a:t>
          </a:r>
          <a:endParaRPr lang="ru-RU" sz="1200" baseline="0">
            <a:latin typeface="Times New Roman" pitchFamily="18" charset="0"/>
            <a:cs typeface="Times New Roman" pitchFamily="18" charset="0"/>
          </a:endParaRPr>
        </a:p>
      </dgm:t>
    </dgm:pt>
    <dgm:pt modelId="{9D289F8F-66F1-436F-85D1-5609E3F8531D}" type="parTrans" cxnId="{36DF0AA0-0364-4331-BC4A-15A41671E0BF}">
      <dgm:prSet/>
      <dgm:spPr/>
      <dgm:t>
        <a:bodyPr/>
        <a:lstStyle/>
        <a:p>
          <a:endParaRPr lang="ru-RU"/>
        </a:p>
      </dgm:t>
    </dgm:pt>
    <dgm:pt modelId="{7C8BF64F-0A7B-4873-9620-A46004E433B3}" type="sibTrans" cxnId="{36DF0AA0-0364-4331-BC4A-15A41671E0BF}">
      <dgm:prSet/>
      <dgm:spPr/>
      <dgm:t>
        <a:bodyPr/>
        <a:lstStyle/>
        <a:p>
          <a:endParaRPr lang="ru-RU"/>
        </a:p>
      </dgm:t>
    </dgm:pt>
    <dgm:pt modelId="{AC40BE77-E2A0-47DF-A4BB-A1C9A3AC5E56}">
      <dgm:prSet phldrT="[Текст]" custT="1"/>
      <dgm:spPr/>
      <dgm:t>
        <a:bodyPr/>
        <a:lstStyle/>
        <a:p>
          <a:r>
            <a:rPr lang="en-US" sz="1200" baseline="0">
              <a:latin typeface="Times New Roman" pitchFamily="18" charset="0"/>
              <a:cs typeface="Times New Roman" pitchFamily="18" charset="0"/>
            </a:rPr>
            <a:t>Implementation of decision based on such use of informatuon</a:t>
          </a:r>
          <a:endParaRPr lang="ru-RU" sz="1200" baseline="0">
            <a:latin typeface="Times New Roman" pitchFamily="18" charset="0"/>
            <a:cs typeface="Times New Roman" pitchFamily="18" charset="0"/>
          </a:endParaRPr>
        </a:p>
      </dgm:t>
    </dgm:pt>
    <dgm:pt modelId="{A222B315-28E9-418F-96A6-4F55865C9122}" type="parTrans" cxnId="{FEC4521D-95A9-4D9B-A366-EF9918067764}">
      <dgm:prSet/>
      <dgm:spPr/>
      <dgm:t>
        <a:bodyPr/>
        <a:lstStyle/>
        <a:p>
          <a:endParaRPr lang="ru-RU"/>
        </a:p>
      </dgm:t>
    </dgm:pt>
    <dgm:pt modelId="{9FBEF40F-22FA-4923-916D-2C136F91D56D}" type="sibTrans" cxnId="{FEC4521D-95A9-4D9B-A366-EF9918067764}">
      <dgm:prSet/>
      <dgm:spPr/>
      <dgm:t>
        <a:bodyPr/>
        <a:lstStyle/>
        <a:p>
          <a:endParaRPr lang="ru-RU"/>
        </a:p>
      </dgm:t>
    </dgm:pt>
    <dgm:pt modelId="{37AA4CBC-B781-4BE4-B743-CB1D328B51EF}">
      <dgm:prSet phldrT="[Текст]" custT="1"/>
      <dgm:spPr/>
      <dgm:t>
        <a:bodyPr/>
        <a:lstStyle/>
        <a:p>
          <a:r>
            <a:rPr lang="en-US" sz="1200" baseline="0">
              <a:latin typeface="Times New Roman" pitchFamily="18" charset="0"/>
              <a:cs typeface="Times New Roman" pitchFamily="18" charset="0"/>
            </a:rPr>
            <a:t>Use of information</a:t>
          </a:r>
          <a:endParaRPr lang="ru-RU" sz="1200" baseline="0">
            <a:latin typeface="Times New Roman" pitchFamily="18" charset="0"/>
            <a:cs typeface="Times New Roman" pitchFamily="18" charset="0"/>
          </a:endParaRPr>
        </a:p>
      </dgm:t>
    </dgm:pt>
    <dgm:pt modelId="{39C3C0EA-8FC5-48AC-94FF-534296C5CBA9}" type="parTrans" cxnId="{5815E596-6269-4197-B086-392E11ED8497}">
      <dgm:prSet/>
      <dgm:spPr/>
      <dgm:t>
        <a:bodyPr/>
        <a:lstStyle/>
        <a:p>
          <a:endParaRPr lang="ru-RU"/>
        </a:p>
      </dgm:t>
    </dgm:pt>
    <dgm:pt modelId="{7C982A65-457C-4673-B2F1-46AC4285CE67}" type="sibTrans" cxnId="{5815E596-6269-4197-B086-392E11ED8497}">
      <dgm:prSet/>
      <dgm:spPr/>
      <dgm:t>
        <a:bodyPr/>
        <a:lstStyle/>
        <a:p>
          <a:endParaRPr lang="ru-RU"/>
        </a:p>
      </dgm:t>
    </dgm:pt>
    <dgm:pt modelId="{587F958F-70B9-492B-BF58-A92B5F1B38CC}" type="pres">
      <dgm:prSet presAssocID="{DE9A1D82-C2DA-4BAE-98A7-9EE5C81E0337}" presName="Name0" presStyleCnt="0">
        <dgm:presLayoutVars>
          <dgm:chMax val="1"/>
          <dgm:dir/>
          <dgm:animLvl val="ctr"/>
          <dgm:resizeHandles val="exact"/>
        </dgm:presLayoutVars>
      </dgm:prSet>
      <dgm:spPr/>
    </dgm:pt>
    <dgm:pt modelId="{7FA39070-7E44-4946-8845-E003F90BDD41}" type="pres">
      <dgm:prSet presAssocID="{77E0B5AC-3915-4C18-B722-31A415C6D6E9}" presName="centerShape" presStyleLbl="node0" presStyleIdx="0" presStyleCnt="1"/>
      <dgm:spPr/>
    </dgm:pt>
    <dgm:pt modelId="{367A618F-4442-4431-A3B2-050EF8E5EF1A}" type="pres">
      <dgm:prSet presAssocID="{D9619BE2-2A48-4721-9A05-F03DC0F6CAD9}" presName="node" presStyleLbl="node1" presStyleIdx="0" presStyleCnt="4" custRadScaleRad="95567" custRadScaleInc="1266">
        <dgm:presLayoutVars>
          <dgm:bulletEnabled val="1"/>
        </dgm:presLayoutVars>
      </dgm:prSet>
      <dgm:spPr/>
    </dgm:pt>
    <dgm:pt modelId="{7A6BF52E-EEB8-4344-B8BC-99E0B80C7804}" type="pres">
      <dgm:prSet presAssocID="{D9619BE2-2A48-4721-9A05-F03DC0F6CAD9}" presName="dummy" presStyleCnt="0"/>
      <dgm:spPr/>
    </dgm:pt>
    <dgm:pt modelId="{A2A62637-6ED8-4F94-961A-4CC99B77EC39}" type="pres">
      <dgm:prSet presAssocID="{21830704-05CB-4B7A-9228-334155A21B18}" presName="sibTrans" presStyleLbl="sibTrans2D1" presStyleIdx="0" presStyleCnt="4"/>
      <dgm:spPr/>
    </dgm:pt>
    <dgm:pt modelId="{6EE44D9D-FC7B-492F-9F15-04E4ACDC1DF5}" type="pres">
      <dgm:prSet presAssocID="{C7E4788F-43F6-4C50-AEEE-9CDD19826A12}" presName="node" presStyleLbl="node1" presStyleIdx="1" presStyleCnt="4" custScaleX="124239" custScaleY="90227">
        <dgm:presLayoutVars>
          <dgm:bulletEnabled val="1"/>
        </dgm:presLayoutVars>
      </dgm:prSet>
      <dgm:spPr/>
    </dgm:pt>
    <dgm:pt modelId="{1BD8077E-3042-4723-843B-7D4128340998}" type="pres">
      <dgm:prSet presAssocID="{C7E4788F-43F6-4C50-AEEE-9CDD19826A12}" presName="dummy" presStyleCnt="0"/>
      <dgm:spPr/>
    </dgm:pt>
    <dgm:pt modelId="{513B65E1-6507-4AEB-A8AE-A7E879EBE65B}" type="pres">
      <dgm:prSet presAssocID="{7C8BF64F-0A7B-4873-9620-A46004E433B3}" presName="sibTrans" presStyleLbl="sibTrans2D1" presStyleIdx="1" presStyleCnt="4"/>
      <dgm:spPr/>
    </dgm:pt>
    <dgm:pt modelId="{A0E290F6-B678-41E0-8C86-328180250432}" type="pres">
      <dgm:prSet presAssocID="{AC40BE77-E2A0-47DF-A4BB-A1C9A3AC5E56}" presName="node" presStyleLbl="node1" presStyleIdx="2" presStyleCnt="4" custScaleX="201734" custScaleY="112343">
        <dgm:presLayoutVars>
          <dgm:bulletEnabled val="1"/>
        </dgm:presLayoutVars>
      </dgm:prSet>
      <dgm:spPr/>
    </dgm:pt>
    <dgm:pt modelId="{13B659AB-A73D-4918-B47F-934A46E7396C}" type="pres">
      <dgm:prSet presAssocID="{AC40BE77-E2A0-47DF-A4BB-A1C9A3AC5E56}" presName="dummy" presStyleCnt="0"/>
      <dgm:spPr/>
    </dgm:pt>
    <dgm:pt modelId="{EE1A0F19-82ED-4B46-BA44-11DE34A3A678}" type="pres">
      <dgm:prSet presAssocID="{9FBEF40F-22FA-4923-916D-2C136F91D56D}" presName="sibTrans" presStyleLbl="sibTrans2D1" presStyleIdx="2" presStyleCnt="4"/>
      <dgm:spPr/>
    </dgm:pt>
    <dgm:pt modelId="{65CA8FDB-0129-4C48-A0D1-EF71F965067A}" type="pres">
      <dgm:prSet presAssocID="{37AA4CBC-B781-4BE4-B743-CB1D328B51EF}" presName="node" presStyleLbl="node1" presStyleIdx="3" presStyleCnt="4" custScaleX="138537">
        <dgm:presLayoutVars>
          <dgm:bulletEnabled val="1"/>
        </dgm:presLayoutVars>
      </dgm:prSet>
      <dgm:spPr/>
    </dgm:pt>
    <dgm:pt modelId="{F698E73C-5F0F-4A34-A496-CF08E2D53D9D}" type="pres">
      <dgm:prSet presAssocID="{37AA4CBC-B781-4BE4-B743-CB1D328B51EF}" presName="dummy" presStyleCnt="0"/>
      <dgm:spPr/>
    </dgm:pt>
    <dgm:pt modelId="{E24D91F1-E975-4596-ADFF-855093633DE7}" type="pres">
      <dgm:prSet presAssocID="{7C982A65-457C-4673-B2F1-46AC4285CE67}" presName="sibTrans" presStyleLbl="sibTrans2D1" presStyleIdx="3" presStyleCnt="4"/>
      <dgm:spPr/>
    </dgm:pt>
  </dgm:ptLst>
  <dgm:cxnLst>
    <dgm:cxn modelId="{FEC4521D-95A9-4D9B-A366-EF9918067764}" srcId="{77E0B5AC-3915-4C18-B722-31A415C6D6E9}" destId="{AC40BE77-E2A0-47DF-A4BB-A1C9A3AC5E56}" srcOrd="2" destOrd="0" parTransId="{A222B315-28E9-418F-96A6-4F55865C9122}" sibTransId="{9FBEF40F-22FA-4923-916D-2C136F91D56D}"/>
    <dgm:cxn modelId="{629E671E-A167-4E00-848C-2BDCCEB3B0AE}" type="presOf" srcId="{9FBEF40F-22FA-4923-916D-2C136F91D56D}" destId="{EE1A0F19-82ED-4B46-BA44-11DE34A3A678}" srcOrd="0" destOrd="0" presId="urn:microsoft.com/office/officeart/2005/8/layout/radial6"/>
    <dgm:cxn modelId="{38246C6D-628D-478F-981D-CD7266E31D5D}" type="presOf" srcId="{C7E4788F-43F6-4C50-AEEE-9CDD19826A12}" destId="{6EE44D9D-FC7B-492F-9F15-04E4ACDC1DF5}" srcOrd="0" destOrd="0" presId="urn:microsoft.com/office/officeart/2005/8/layout/radial6"/>
    <dgm:cxn modelId="{772F1F75-5C02-4F77-A22B-07810B8B4AB2}" type="presOf" srcId="{D9619BE2-2A48-4721-9A05-F03DC0F6CAD9}" destId="{367A618F-4442-4431-A3B2-050EF8E5EF1A}" srcOrd="0" destOrd="0" presId="urn:microsoft.com/office/officeart/2005/8/layout/radial6"/>
    <dgm:cxn modelId="{FF6D2481-52D1-402B-95F6-8B874930428A}" type="presOf" srcId="{7C982A65-457C-4673-B2F1-46AC4285CE67}" destId="{E24D91F1-E975-4596-ADFF-855093633DE7}" srcOrd="0" destOrd="0" presId="urn:microsoft.com/office/officeart/2005/8/layout/radial6"/>
    <dgm:cxn modelId="{5815E596-6269-4197-B086-392E11ED8497}" srcId="{77E0B5AC-3915-4C18-B722-31A415C6D6E9}" destId="{37AA4CBC-B781-4BE4-B743-CB1D328B51EF}" srcOrd="3" destOrd="0" parTransId="{39C3C0EA-8FC5-48AC-94FF-534296C5CBA9}" sibTransId="{7C982A65-457C-4673-B2F1-46AC4285CE67}"/>
    <dgm:cxn modelId="{36DF0AA0-0364-4331-BC4A-15A41671E0BF}" srcId="{77E0B5AC-3915-4C18-B722-31A415C6D6E9}" destId="{C7E4788F-43F6-4C50-AEEE-9CDD19826A12}" srcOrd="1" destOrd="0" parTransId="{9D289F8F-66F1-436F-85D1-5609E3F8531D}" sibTransId="{7C8BF64F-0A7B-4873-9620-A46004E433B3}"/>
    <dgm:cxn modelId="{8EA697A5-532E-46E5-ADB4-1BF733BA51DC}" type="presOf" srcId="{DE9A1D82-C2DA-4BAE-98A7-9EE5C81E0337}" destId="{587F958F-70B9-492B-BF58-A92B5F1B38CC}" srcOrd="0" destOrd="0" presId="urn:microsoft.com/office/officeart/2005/8/layout/radial6"/>
    <dgm:cxn modelId="{39C8A5B4-9B05-4F4E-9D50-A7110A4A7CA3}" type="presOf" srcId="{AC40BE77-E2A0-47DF-A4BB-A1C9A3AC5E56}" destId="{A0E290F6-B678-41E0-8C86-328180250432}" srcOrd="0" destOrd="0" presId="urn:microsoft.com/office/officeart/2005/8/layout/radial6"/>
    <dgm:cxn modelId="{DC4FD6C2-0357-4A1E-8C73-83E5499DD2DE}" type="presOf" srcId="{21830704-05CB-4B7A-9228-334155A21B18}" destId="{A2A62637-6ED8-4F94-961A-4CC99B77EC39}" srcOrd="0" destOrd="0" presId="urn:microsoft.com/office/officeart/2005/8/layout/radial6"/>
    <dgm:cxn modelId="{7C6494C6-6DC8-4A58-A47C-9E2C7C9519A8}" type="presOf" srcId="{37AA4CBC-B781-4BE4-B743-CB1D328B51EF}" destId="{65CA8FDB-0129-4C48-A0D1-EF71F965067A}" srcOrd="0" destOrd="0" presId="urn:microsoft.com/office/officeart/2005/8/layout/radial6"/>
    <dgm:cxn modelId="{C0830BD0-7F03-4FDB-BF00-FFDEED67E2B4}" srcId="{DE9A1D82-C2DA-4BAE-98A7-9EE5C81E0337}" destId="{77E0B5AC-3915-4C18-B722-31A415C6D6E9}" srcOrd="0" destOrd="0" parTransId="{4E18A26E-13FB-4D9B-9802-C5E900AC7D78}" sibTransId="{81F0D3EB-CE85-4396-8C59-84E4FADAF1AB}"/>
    <dgm:cxn modelId="{8A2F31DB-0F84-4B5D-A0E1-877AFE14E9F1}" srcId="{77E0B5AC-3915-4C18-B722-31A415C6D6E9}" destId="{D9619BE2-2A48-4721-9A05-F03DC0F6CAD9}" srcOrd="0" destOrd="0" parTransId="{A49EDFC8-6EA5-4C1C-9087-ED62609CC292}" sibTransId="{21830704-05CB-4B7A-9228-334155A21B18}"/>
    <dgm:cxn modelId="{A78D8AFA-4F46-4047-BFC4-2E8CAC99A26A}" type="presOf" srcId="{77E0B5AC-3915-4C18-B722-31A415C6D6E9}" destId="{7FA39070-7E44-4946-8845-E003F90BDD41}" srcOrd="0" destOrd="0" presId="urn:microsoft.com/office/officeart/2005/8/layout/radial6"/>
    <dgm:cxn modelId="{CFC41FFF-7896-4C5F-BE00-6D9F4348A16F}" type="presOf" srcId="{7C8BF64F-0A7B-4873-9620-A46004E433B3}" destId="{513B65E1-6507-4AEB-A8AE-A7E879EBE65B}" srcOrd="0" destOrd="0" presId="urn:microsoft.com/office/officeart/2005/8/layout/radial6"/>
    <dgm:cxn modelId="{80649499-1B0A-4FDD-AC64-0D310A825D8A}" type="presParOf" srcId="{587F958F-70B9-492B-BF58-A92B5F1B38CC}" destId="{7FA39070-7E44-4946-8845-E003F90BDD41}" srcOrd="0" destOrd="0" presId="urn:microsoft.com/office/officeart/2005/8/layout/radial6"/>
    <dgm:cxn modelId="{5D8A69D8-76AB-41D5-AAFA-1C2FF0C111CE}" type="presParOf" srcId="{587F958F-70B9-492B-BF58-A92B5F1B38CC}" destId="{367A618F-4442-4431-A3B2-050EF8E5EF1A}" srcOrd="1" destOrd="0" presId="urn:microsoft.com/office/officeart/2005/8/layout/radial6"/>
    <dgm:cxn modelId="{ED07B949-EE68-439A-A5AD-E671CFF3B715}" type="presParOf" srcId="{587F958F-70B9-492B-BF58-A92B5F1B38CC}" destId="{7A6BF52E-EEB8-4344-B8BC-99E0B80C7804}" srcOrd="2" destOrd="0" presId="urn:microsoft.com/office/officeart/2005/8/layout/radial6"/>
    <dgm:cxn modelId="{7A76C777-348F-4103-8DEC-0347F15CA718}" type="presParOf" srcId="{587F958F-70B9-492B-BF58-A92B5F1B38CC}" destId="{A2A62637-6ED8-4F94-961A-4CC99B77EC39}" srcOrd="3" destOrd="0" presId="urn:microsoft.com/office/officeart/2005/8/layout/radial6"/>
    <dgm:cxn modelId="{45FB8AF3-0A75-47B5-A3C1-B81FBE08679B}" type="presParOf" srcId="{587F958F-70B9-492B-BF58-A92B5F1B38CC}" destId="{6EE44D9D-FC7B-492F-9F15-04E4ACDC1DF5}" srcOrd="4" destOrd="0" presId="urn:microsoft.com/office/officeart/2005/8/layout/radial6"/>
    <dgm:cxn modelId="{0DC85C9E-86BB-40A7-A885-B4E04D25512E}" type="presParOf" srcId="{587F958F-70B9-492B-BF58-A92B5F1B38CC}" destId="{1BD8077E-3042-4723-843B-7D4128340998}" srcOrd="5" destOrd="0" presId="urn:microsoft.com/office/officeart/2005/8/layout/radial6"/>
    <dgm:cxn modelId="{06E3C125-85B4-4DCE-8012-099F37436C94}" type="presParOf" srcId="{587F958F-70B9-492B-BF58-A92B5F1B38CC}" destId="{513B65E1-6507-4AEB-A8AE-A7E879EBE65B}" srcOrd="6" destOrd="0" presId="urn:microsoft.com/office/officeart/2005/8/layout/radial6"/>
    <dgm:cxn modelId="{B91364C3-A89F-4729-B953-1F0E36ED3026}" type="presParOf" srcId="{587F958F-70B9-492B-BF58-A92B5F1B38CC}" destId="{A0E290F6-B678-41E0-8C86-328180250432}" srcOrd="7" destOrd="0" presId="urn:microsoft.com/office/officeart/2005/8/layout/radial6"/>
    <dgm:cxn modelId="{20830645-31D2-4DA6-B746-E8249633E982}" type="presParOf" srcId="{587F958F-70B9-492B-BF58-A92B5F1B38CC}" destId="{13B659AB-A73D-4918-B47F-934A46E7396C}" srcOrd="8" destOrd="0" presId="urn:microsoft.com/office/officeart/2005/8/layout/radial6"/>
    <dgm:cxn modelId="{2C899C55-A33C-4EC6-A117-4F54785364FF}" type="presParOf" srcId="{587F958F-70B9-492B-BF58-A92B5F1B38CC}" destId="{EE1A0F19-82ED-4B46-BA44-11DE34A3A678}" srcOrd="9" destOrd="0" presId="urn:microsoft.com/office/officeart/2005/8/layout/radial6"/>
    <dgm:cxn modelId="{9F5D77F3-74DA-489C-B030-734D46819EBF}" type="presParOf" srcId="{587F958F-70B9-492B-BF58-A92B5F1B38CC}" destId="{65CA8FDB-0129-4C48-A0D1-EF71F965067A}" srcOrd="10" destOrd="0" presId="urn:microsoft.com/office/officeart/2005/8/layout/radial6"/>
    <dgm:cxn modelId="{E2F95252-6578-48F7-877F-3416159BD539}" type="presParOf" srcId="{587F958F-70B9-492B-BF58-A92B5F1B38CC}" destId="{F698E73C-5F0F-4A34-A496-CF08E2D53D9D}" srcOrd="11" destOrd="0" presId="urn:microsoft.com/office/officeart/2005/8/layout/radial6"/>
    <dgm:cxn modelId="{C7EDEDAB-0B5A-4C62-8129-5488AC15EAD9}" type="presParOf" srcId="{587F958F-70B9-492B-BF58-A92B5F1B38CC}" destId="{E24D91F1-E975-4596-ADFF-855093633DE7}" srcOrd="12" destOrd="0" presId="urn:microsoft.com/office/officeart/2005/8/layout/radial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D623D6B-3B70-49FE-9825-7AE2B771BF04}" type="doc">
      <dgm:prSet loTypeId="urn:microsoft.com/office/officeart/2005/8/layout/cycle5" loCatId="cycle" qsTypeId="urn:microsoft.com/office/officeart/2005/8/quickstyle/simple1" qsCatId="simple" csTypeId="urn:microsoft.com/office/officeart/2005/8/colors/accent1_1" csCatId="accent1" phldr="1"/>
      <dgm:spPr/>
      <dgm:t>
        <a:bodyPr/>
        <a:lstStyle/>
        <a:p>
          <a:endParaRPr lang="ru-RU"/>
        </a:p>
      </dgm:t>
    </dgm:pt>
    <dgm:pt modelId="{2EE2D7AF-5005-4489-B650-E9163534D5EF}">
      <dgm:prSet phldrT="[Текст]" custT="1"/>
      <dgm:spPr/>
      <dgm:t>
        <a:bodyPr/>
        <a:lstStyle/>
        <a:p>
          <a:r>
            <a:rPr lang="en-US" sz="1400" baseline="0">
              <a:latin typeface="Times New Roman" pitchFamily="18" charset="0"/>
              <a:cs typeface="Times New Roman" pitchFamily="18" charset="0"/>
            </a:rPr>
            <a:t>learning capacity of the firm</a:t>
          </a:r>
          <a:endParaRPr lang="ru-RU" sz="1400" baseline="0">
            <a:latin typeface="Times New Roman" pitchFamily="18" charset="0"/>
            <a:cs typeface="Times New Roman" pitchFamily="18" charset="0"/>
          </a:endParaRPr>
        </a:p>
      </dgm:t>
    </dgm:pt>
    <dgm:pt modelId="{F02C7426-4086-4676-A136-37C921741C0E}" type="sibTrans" cxnId="{DD15A41B-557F-4039-AA2D-0BB1551D7EED}">
      <dgm:prSet/>
      <dgm:spPr/>
      <dgm:t>
        <a:bodyPr/>
        <a:lstStyle/>
        <a:p>
          <a:endParaRPr lang="ru-RU"/>
        </a:p>
      </dgm:t>
    </dgm:pt>
    <dgm:pt modelId="{C9324C43-9C10-49A3-AE1D-0F836683CAE2}" type="parTrans" cxnId="{DD15A41B-557F-4039-AA2D-0BB1551D7EED}">
      <dgm:prSet/>
      <dgm:spPr/>
      <dgm:t>
        <a:bodyPr/>
        <a:lstStyle/>
        <a:p>
          <a:endParaRPr lang="ru-RU"/>
        </a:p>
      </dgm:t>
    </dgm:pt>
    <dgm:pt modelId="{D7D113E2-7683-4055-B290-3A68B9EB3927}">
      <dgm:prSet phldrT="[Текст]" custT="1"/>
      <dgm:spPr/>
      <dgm:t>
        <a:bodyPr/>
        <a:lstStyle/>
        <a:p>
          <a:r>
            <a:rPr lang="en-US" sz="1400" baseline="0">
              <a:latin typeface="Times New Roman" pitchFamily="18" charset="0"/>
              <a:cs typeface="Times New Roman" pitchFamily="18" charset="0"/>
            </a:rPr>
            <a:t>innovation capacity</a:t>
          </a:r>
          <a:endParaRPr lang="ru-RU" sz="1400" baseline="0">
            <a:latin typeface="Times New Roman" pitchFamily="18" charset="0"/>
            <a:cs typeface="Times New Roman" pitchFamily="18" charset="0"/>
          </a:endParaRPr>
        </a:p>
      </dgm:t>
    </dgm:pt>
    <dgm:pt modelId="{2806CACB-B5CE-4B87-90C8-708A79642528}" type="sibTrans" cxnId="{18F9C20A-FBBD-4C4A-A1E0-70B2696D3088}">
      <dgm:prSet/>
      <dgm:spPr/>
      <dgm:t>
        <a:bodyPr/>
        <a:lstStyle/>
        <a:p>
          <a:endParaRPr lang="ru-RU"/>
        </a:p>
      </dgm:t>
    </dgm:pt>
    <dgm:pt modelId="{7A537FDD-8A3B-4315-9D4D-EECC6800E504}" type="parTrans" cxnId="{18F9C20A-FBBD-4C4A-A1E0-70B2696D3088}">
      <dgm:prSet/>
      <dgm:spPr/>
      <dgm:t>
        <a:bodyPr/>
        <a:lstStyle/>
        <a:p>
          <a:endParaRPr lang="ru-RU"/>
        </a:p>
      </dgm:t>
    </dgm:pt>
    <dgm:pt modelId="{6F0A25BD-AD1D-4609-9833-006A6842C705}">
      <dgm:prSet phldrT="[Текст]" custT="1"/>
      <dgm:spPr/>
      <dgm:t>
        <a:bodyPr/>
        <a:lstStyle/>
        <a:p>
          <a:r>
            <a:rPr lang="en-US" sz="1400" baseline="0">
              <a:latin typeface="Times New Roman" pitchFamily="18" charset="0"/>
              <a:cs typeface="Times New Roman" pitchFamily="18" charset="0"/>
            </a:rPr>
            <a:t>Intangible assets </a:t>
          </a:r>
          <a:endParaRPr lang="ru-RU" sz="1400" baseline="0">
            <a:latin typeface="Times New Roman" pitchFamily="18" charset="0"/>
            <a:cs typeface="Times New Roman" pitchFamily="18" charset="0"/>
          </a:endParaRPr>
        </a:p>
      </dgm:t>
    </dgm:pt>
    <dgm:pt modelId="{E373A635-E66D-4BF5-922E-2DC42C7D7700}" type="sibTrans" cxnId="{B490A979-62D6-4428-84FD-EF18B247FA6C}">
      <dgm:prSet/>
      <dgm:spPr/>
      <dgm:t>
        <a:bodyPr/>
        <a:lstStyle/>
        <a:p>
          <a:endParaRPr lang="ru-RU"/>
        </a:p>
      </dgm:t>
    </dgm:pt>
    <dgm:pt modelId="{EFE13189-06F8-4B0F-B49C-9754A7785DDA}" type="parTrans" cxnId="{B490A979-62D6-4428-84FD-EF18B247FA6C}">
      <dgm:prSet/>
      <dgm:spPr/>
      <dgm:t>
        <a:bodyPr/>
        <a:lstStyle/>
        <a:p>
          <a:endParaRPr lang="ru-RU"/>
        </a:p>
      </dgm:t>
    </dgm:pt>
    <dgm:pt modelId="{682A98B8-617C-40E9-8BD2-D2333B117CB2}" type="pres">
      <dgm:prSet presAssocID="{AD623D6B-3B70-49FE-9825-7AE2B771BF04}" presName="cycle" presStyleCnt="0">
        <dgm:presLayoutVars>
          <dgm:dir/>
          <dgm:resizeHandles val="exact"/>
        </dgm:presLayoutVars>
      </dgm:prSet>
      <dgm:spPr/>
    </dgm:pt>
    <dgm:pt modelId="{D079C812-FCED-4C08-82AF-759170387FE0}" type="pres">
      <dgm:prSet presAssocID="{6F0A25BD-AD1D-4609-9833-006A6842C705}" presName="node" presStyleLbl="node1" presStyleIdx="0" presStyleCnt="3">
        <dgm:presLayoutVars>
          <dgm:bulletEnabled val="1"/>
        </dgm:presLayoutVars>
      </dgm:prSet>
      <dgm:spPr/>
    </dgm:pt>
    <dgm:pt modelId="{B4CE2E02-C3CA-446D-AAE5-C82D5CCEA2EA}" type="pres">
      <dgm:prSet presAssocID="{6F0A25BD-AD1D-4609-9833-006A6842C705}" presName="spNode" presStyleCnt="0"/>
      <dgm:spPr/>
    </dgm:pt>
    <dgm:pt modelId="{E520C576-01EF-425B-83E9-C58EB72D513E}" type="pres">
      <dgm:prSet presAssocID="{E373A635-E66D-4BF5-922E-2DC42C7D7700}" presName="sibTrans" presStyleLbl="sibTrans1D1" presStyleIdx="0" presStyleCnt="3"/>
      <dgm:spPr/>
    </dgm:pt>
    <dgm:pt modelId="{7D8CA36D-7D20-4E6C-B4F1-A119CD7785A4}" type="pres">
      <dgm:prSet presAssocID="{D7D113E2-7683-4055-B290-3A68B9EB3927}" presName="node" presStyleLbl="node1" presStyleIdx="1" presStyleCnt="3">
        <dgm:presLayoutVars>
          <dgm:bulletEnabled val="1"/>
        </dgm:presLayoutVars>
      </dgm:prSet>
      <dgm:spPr/>
    </dgm:pt>
    <dgm:pt modelId="{8163A117-B22F-4E1C-AA48-9F8CEE3B40A5}" type="pres">
      <dgm:prSet presAssocID="{D7D113E2-7683-4055-B290-3A68B9EB3927}" presName="spNode" presStyleCnt="0"/>
      <dgm:spPr/>
    </dgm:pt>
    <dgm:pt modelId="{8D81483B-7CAE-4AA8-80F8-2EF78B3DF30C}" type="pres">
      <dgm:prSet presAssocID="{2806CACB-B5CE-4B87-90C8-708A79642528}" presName="sibTrans" presStyleLbl="sibTrans1D1" presStyleIdx="1" presStyleCnt="3"/>
      <dgm:spPr/>
    </dgm:pt>
    <dgm:pt modelId="{D112BE4F-E81A-450D-90E0-06A46728E85C}" type="pres">
      <dgm:prSet presAssocID="{2EE2D7AF-5005-4489-B650-E9163534D5EF}" presName="node" presStyleLbl="node1" presStyleIdx="2" presStyleCnt="3">
        <dgm:presLayoutVars>
          <dgm:bulletEnabled val="1"/>
        </dgm:presLayoutVars>
      </dgm:prSet>
      <dgm:spPr/>
    </dgm:pt>
    <dgm:pt modelId="{24C97652-66A0-4368-903D-9F1F6AEBFB60}" type="pres">
      <dgm:prSet presAssocID="{2EE2D7AF-5005-4489-B650-E9163534D5EF}" presName="spNode" presStyleCnt="0"/>
      <dgm:spPr/>
    </dgm:pt>
    <dgm:pt modelId="{39633838-DED5-48E2-B88B-023D39CCFE45}" type="pres">
      <dgm:prSet presAssocID="{F02C7426-4086-4676-A136-37C921741C0E}" presName="sibTrans" presStyleLbl="sibTrans1D1" presStyleIdx="2" presStyleCnt="3"/>
      <dgm:spPr/>
    </dgm:pt>
  </dgm:ptLst>
  <dgm:cxnLst>
    <dgm:cxn modelId="{E8F4A902-D391-464F-B3DC-A556909F562E}" type="presOf" srcId="{E373A635-E66D-4BF5-922E-2DC42C7D7700}" destId="{E520C576-01EF-425B-83E9-C58EB72D513E}" srcOrd="0" destOrd="0" presId="urn:microsoft.com/office/officeart/2005/8/layout/cycle5"/>
    <dgm:cxn modelId="{18F9C20A-FBBD-4C4A-A1E0-70B2696D3088}" srcId="{AD623D6B-3B70-49FE-9825-7AE2B771BF04}" destId="{D7D113E2-7683-4055-B290-3A68B9EB3927}" srcOrd="1" destOrd="0" parTransId="{7A537FDD-8A3B-4315-9D4D-EECC6800E504}" sibTransId="{2806CACB-B5CE-4B87-90C8-708A79642528}"/>
    <dgm:cxn modelId="{58D4091A-679E-4869-B997-5DE1CB13441D}" type="presOf" srcId="{AD623D6B-3B70-49FE-9825-7AE2B771BF04}" destId="{682A98B8-617C-40E9-8BD2-D2333B117CB2}" srcOrd="0" destOrd="0" presId="urn:microsoft.com/office/officeart/2005/8/layout/cycle5"/>
    <dgm:cxn modelId="{DD15A41B-557F-4039-AA2D-0BB1551D7EED}" srcId="{AD623D6B-3B70-49FE-9825-7AE2B771BF04}" destId="{2EE2D7AF-5005-4489-B650-E9163534D5EF}" srcOrd="2" destOrd="0" parTransId="{C9324C43-9C10-49A3-AE1D-0F836683CAE2}" sibTransId="{F02C7426-4086-4676-A136-37C921741C0E}"/>
    <dgm:cxn modelId="{DC11FF5D-F211-4D65-8140-49530E409B59}" type="presOf" srcId="{2EE2D7AF-5005-4489-B650-E9163534D5EF}" destId="{D112BE4F-E81A-450D-90E0-06A46728E85C}" srcOrd="0" destOrd="0" presId="urn:microsoft.com/office/officeart/2005/8/layout/cycle5"/>
    <dgm:cxn modelId="{B490A979-62D6-4428-84FD-EF18B247FA6C}" srcId="{AD623D6B-3B70-49FE-9825-7AE2B771BF04}" destId="{6F0A25BD-AD1D-4609-9833-006A6842C705}" srcOrd="0" destOrd="0" parTransId="{EFE13189-06F8-4B0F-B49C-9754A7785DDA}" sibTransId="{E373A635-E66D-4BF5-922E-2DC42C7D7700}"/>
    <dgm:cxn modelId="{43DE68BB-7849-41D8-BF45-3EFB752A92A2}" type="presOf" srcId="{2806CACB-B5CE-4B87-90C8-708A79642528}" destId="{8D81483B-7CAE-4AA8-80F8-2EF78B3DF30C}" srcOrd="0" destOrd="0" presId="urn:microsoft.com/office/officeart/2005/8/layout/cycle5"/>
    <dgm:cxn modelId="{FC0131D6-26E3-47FB-8D74-2B48BE8F7DA9}" type="presOf" srcId="{D7D113E2-7683-4055-B290-3A68B9EB3927}" destId="{7D8CA36D-7D20-4E6C-B4F1-A119CD7785A4}" srcOrd="0" destOrd="0" presId="urn:microsoft.com/office/officeart/2005/8/layout/cycle5"/>
    <dgm:cxn modelId="{620A10F4-EC7D-4731-A155-10F83D1E391B}" type="presOf" srcId="{6F0A25BD-AD1D-4609-9833-006A6842C705}" destId="{D079C812-FCED-4C08-82AF-759170387FE0}" srcOrd="0" destOrd="0" presId="urn:microsoft.com/office/officeart/2005/8/layout/cycle5"/>
    <dgm:cxn modelId="{06D91EF9-9DA2-4CD5-9E7C-F5034B51BEA0}" type="presOf" srcId="{F02C7426-4086-4676-A136-37C921741C0E}" destId="{39633838-DED5-48E2-B88B-023D39CCFE45}" srcOrd="0" destOrd="0" presId="urn:microsoft.com/office/officeart/2005/8/layout/cycle5"/>
    <dgm:cxn modelId="{ED72ABFF-3B4A-4051-9698-E77E1F9DE0F4}" type="presParOf" srcId="{682A98B8-617C-40E9-8BD2-D2333B117CB2}" destId="{D079C812-FCED-4C08-82AF-759170387FE0}" srcOrd="0" destOrd="0" presId="urn:microsoft.com/office/officeart/2005/8/layout/cycle5"/>
    <dgm:cxn modelId="{7A9E3F65-5ED5-4E95-9014-BFFF64968AD2}" type="presParOf" srcId="{682A98B8-617C-40E9-8BD2-D2333B117CB2}" destId="{B4CE2E02-C3CA-446D-AAE5-C82D5CCEA2EA}" srcOrd="1" destOrd="0" presId="urn:microsoft.com/office/officeart/2005/8/layout/cycle5"/>
    <dgm:cxn modelId="{A332CA99-6D72-44D1-A840-17FEB2E68108}" type="presParOf" srcId="{682A98B8-617C-40E9-8BD2-D2333B117CB2}" destId="{E520C576-01EF-425B-83E9-C58EB72D513E}" srcOrd="2" destOrd="0" presId="urn:microsoft.com/office/officeart/2005/8/layout/cycle5"/>
    <dgm:cxn modelId="{4ED897B4-631D-4BF8-9292-56B36F8FE5E5}" type="presParOf" srcId="{682A98B8-617C-40E9-8BD2-D2333B117CB2}" destId="{7D8CA36D-7D20-4E6C-B4F1-A119CD7785A4}" srcOrd="3" destOrd="0" presId="urn:microsoft.com/office/officeart/2005/8/layout/cycle5"/>
    <dgm:cxn modelId="{AE9C8C52-9A3B-456A-90C1-8C03D2430CD0}" type="presParOf" srcId="{682A98B8-617C-40E9-8BD2-D2333B117CB2}" destId="{8163A117-B22F-4E1C-AA48-9F8CEE3B40A5}" srcOrd="4" destOrd="0" presId="urn:microsoft.com/office/officeart/2005/8/layout/cycle5"/>
    <dgm:cxn modelId="{B6D4710A-9210-4E39-B01E-AB9709BCB667}" type="presParOf" srcId="{682A98B8-617C-40E9-8BD2-D2333B117CB2}" destId="{8D81483B-7CAE-4AA8-80F8-2EF78B3DF30C}" srcOrd="5" destOrd="0" presId="urn:microsoft.com/office/officeart/2005/8/layout/cycle5"/>
    <dgm:cxn modelId="{BABB563D-FA02-4A25-8E45-9DBD4161AB0D}" type="presParOf" srcId="{682A98B8-617C-40E9-8BD2-D2333B117CB2}" destId="{D112BE4F-E81A-450D-90E0-06A46728E85C}" srcOrd="6" destOrd="0" presId="urn:microsoft.com/office/officeart/2005/8/layout/cycle5"/>
    <dgm:cxn modelId="{7103BFDC-B12D-4D77-922F-E7C1D5DB579D}" type="presParOf" srcId="{682A98B8-617C-40E9-8BD2-D2333B117CB2}" destId="{24C97652-66A0-4368-903D-9F1F6AEBFB60}" srcOrd="7" destOrd="0" presId="urn:microsoft.com/office/officeart/2005/8/layout/cycle5"/>
    <dgm:cxn modelId="{51570583-222E-4E81-9CBA-435B1077A7F3}" type="presParOf" srcId="{682A98B8-617C-40E9-8BD2-D2333B117CB2}" destId="{39633838-DED5-48E2-B88B-023D39CCFE45}" srcOrd="8" destOrd="0" presId="urn:microsoft.com/office/officeart/2005/8/layout/cycle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81C6EF4-09DE-45C3-A364-1BB715F16C50}" type="doc">
      <dgm:prSet loTypeId="urn:microsoft.com/office/officeart/2005/8/layout/equation2" loCatId="process" qsTypeId="urn:microsoft.com/office/officeart/2005/8/quickstyle/simple3" qsCatId="simple" csTypeId="urn:microsoft.com/office/officeart/2005/8/colors/colorful1" csCatId="colorful" phldr="1"/>
      <dgm:spPr/>
      <dgm:t>
        <a:bodyPr/>
        <a:lstStyle/>
        <a:p>
          <a:endParaRPr lang="aa-ET"/>
        </a:p>
      </dgm:t>
    </dgm:pt>
    <dgm:pt modelId="{76ECEE8F-9315-4CDC-AA07-592ED08AE8F8}">
      <dgm:prSet phldrT="[Текст]"/>
      <dgm:spPr/>
      <dgm:t>
        <a:bodyPr/>
        <a:lstStyle/>
        <a:p>
          <a:r>
            <a:rPr lang="en-US"/>
            <a:t>Leanring programs</a:t>
          </a:r>
          <a:endParaRPr lang="aa-ET"/>
        </a:p>
      </dgm:t>
    </dgm:pt>
    <dgm:pt modelId="{D71C664A-C678-4532-9BD6-1C6092AA2394}" type="parTrans" cxnId="{2B6DC3A1-EE6B-42D5-979C-92B6328D5830}">
      <dgm:prSet/>
      <dgm:spPr/>
      <dgm:t>
        <a:bodyPr/>
        <a:lstStyle/>
        <a:p>
          <a:endParaRPr lang="aa-ET"/>
        </a:p>
      </dgm:t>
    </dgm:pt>
    <dgm:pt modelId="{A9997808-C8DF-46E0-AEA5-39B6AD94EEED}" type="sibTrans" cxnId="{2B6DC3A1-EE6B-42D5-979C-92B6328D5830}">
      <dgm:prSet/>
      <dgm:spPr/>
      <dgm:t>
        <a:bodyPr/>
        <a:lstStyle/>
        <a:p>
          <a:endParaRPr lang="aa-ET"/>
        </a:p>
      </dgm:t>
    </dgm:pt>
    <dgm:pt modelId="{7CF19F9F-52AE-4C25-B5DA-529D49D81986}">
      <dgm:prSet phldrT="[Текст]"/>
      <dgm:spPr/>
      <dgm:t>
        <a:bodyPr/>
        <a:lstStyle/>
        <a:p>
          <a:r>
            <a:rPr lang="en-US"/>
            <a:t>Students` locus of control and self-efficacy</a:t>
          </a:r>
          <a:endParaRPr lang="aa-ET"/>
        </a:p>
      </dgm:t>
    </dgm:pt>
    <dgm:pt modelId="{F893BBB2-B0C6-499D-99FB-8D2D318C78BA}" type="parTrans" cxnId="{C0E632EA-ED62-4801-A866-11858EFDC44E}">
      <dgm:prSet/>
      <dgm:spPr/>
      <dgm:t>
        <a:bodyPr/>
        <a:lstStyle/>
        <a:p>
          <a:endParaRPr lang="aa-ET"/>
        </a:p>
      </dgm:t>
    </dgm:pt>
    <dgm:pt modelId="{54159649-3001-4002-AF09-EC9E7A6EEAC8}" type="sibTrans" cxnId="{C0E632EA-ED62-4801-A866-11858EFDC44E}">
      <dgm:prSet/>
      <dgm:spPr/>
      <dgm:t>
        <a:bodyPr/>
        <a:lstStyle/>
        <a:p>
          <a:endParaRPr lang="aa-ET"/>
        </a:p>
      </dgm:t>
    </dgm:pt>
    <dgm:pt modelId="{04963888-BA5D-4A3D-8971-18A8968CFCDB}">
      <dgm:prSet phldrT="[Текст]"/>
      <dgm:spPr/>
      <dgm:t>
        <a:bodyPr/>
        <a:lstStyle/>
        <a:p>
          <a:r>
            <a:rPr lang="en-US"/>
            <a:t>Physcial activity</a:t>
          </a:r>
          <a:endParaRPr lang="aa-ET"/>
        </a:p>
      </dgm:t>
    </dgm:pt>
    <dgm:pt modelId="{578EEF51-FF92-4F8A-B603-E985C85C6EDA}" type="parTrans" cxnId="{CDC67F97-393E-4436-8341-4743F6D4239F}">
      <dgm:prSet/>
      <dgm:spPr/>
      <dgm:t>
        <a:bodyPr/>
        <a:lstStyle/>
        <a:p>
          <a:endParaRPr lang="aa-ET"/>
        </a:p>
      </dgm:t>
    </dgm:pt>
    <dgm:pt modelId="{2E1FE96B-3B2F-4150-A821-B5550BB8F020}" type="sibTrans" cxnId="{CDC67F97-393E-4436-8341-4743F6D4239F}">
      <dgm:prSet/>
      <dgm:spPr/>
      <dgm:t>
        <a:bodyPr/>
        <a:lstStyle/>
        <a:p>
          <a:endParaRPr lang="aa-ET"/>
        </a:p>
      </dgm:t>
    </dgm:pt>
    <dgm:pt modelId="{9EFB07CF-38D5-4850-B83E-BD80C5511B97}">
      <dgm:prSet phldrT="[Текст]"/>
      <dgm:spPr/>
      <dgm:t>
        <a:bodyPr/>
        <a:lstStyle/>
        <a:p>
          <a:r>
            <a:rPr lang="en-US"/>
            <a:t>Entrepreneurial outcome</a:t>
          </a:r>
          <a:endParaRPr lang="aa-ET"/>
        </a:p>
      </dgm:t>
    </dgm:pt>
    <dgm:pt modelId="{E77874C5-4E35-4A7C-A879-F8E90BB6B5F6}" type="parTrans" cxnId="{3A76DF58-0DE0-46F3-A5D7-3AFFADFCFFAB}">
      <dgm:prSet/>
      <dgm:spPr/>
      <dgm:t>
        <a:bodyPr/>
        <a:lstStyle/>
        <a:p>
          <a:endParaRPr lang="aa-ET"/>
        </a:p>
      </dgm:t>
    </dgm:pt>
    <dgm:pt modelId="{A3999294-6CCE-4E22-94A1-060A313CCD2C}" type="sibTrans" cxnId="{3A76DF58-0DE0-46F3-A5D7-3AFFADFCFFAB}">
      <dgm:prSet/>
      <dgm:spPr/>
      <dgm:t>
        <a:bodyPr/>
        <a:lstStyle/>
        <a:p>
          <a:endParaRPr lang="aa-ET"/>
        </a:p>
      </dgm:t>
    </dgm:pt>
    <dgm:pt modelId="{96DD5882-F906-4218-ACA0-F9AFBD88A3D2}" type="pres">
      <dgm:prSet presAssocID="{D81C6EF4-09DE-45C3-A364-1BB715F16C50}" presName="Name0" presStyleCnt="0">
        <dgm:presLayoutVars>
          <dgm:dir/>
          <dgm:resizeHandles val="exact"/>
        </dgm:presLayoutVars>
      </dgm:prSet>
      <dgm:spPr/>
    </dgm:pt>
    <dgm:pt modelId="{04F3FCCD-85CC-4C34-AD40-1183091B1EBA}" type="pres">
      <dgm:prSet presAssocID="{D81C6EF4-09DE-45C3-A364-1BB715F16C50}" presName="vNodes" presStyleCnt="0"/>
      <dgm:spPr/>
    </dgm:pt>
    <dgm:pt modelId="{94E7D3D9-3488-477D-8B8E-E901546CAB0D}" type="pres">
      <dgm:prSet presAssocID="{76ECEE8F-9315-4CDC-AA07-592ED08AE8F8}" presName="node" presStyleLbl="node1" presStyleIdx="0" presStyleCnt="4">
        <dgm:presLayoutVars>
          <dgm:bulletEnabled val="1"/>
        </dgm:presLayoutVars>
      </dgm:prSet>
      <dgm:spPr/>
    </dgm:pt>
    <dgm:pt modelId="{A206D317-15C7-47FC-9E58-14D6C0683D3F}" type="pres">
      <dgm:prSet presAssocID="{A9997808-C8DF-46E0-AEA5-39B6AD94EEED}" presName="spacerT" presStyleCnt="0"/>
      <dgm:spPr/>
    </dgm:pt>
    <dgm:pt modelId="{E323A25D-8CE3-4C97-B2D4-ED5082D2725C}" type="pres">
      <dgm:prSet presAssocID="{A9997808-C8DF-46E0-AEA5-39B6AD94EEED}" presName="sibTrans" presStyleLbl="sibTrans2D1" presStyleIdx="0" presStyleCnt="3"/>
      <dgm:spPr/>
    </dgm:pt>
    <dgm:pt modelId="{29AB6627-9CC8-413E-BC13-0B13CBFAD71E}" type="pres">
      <dgm:prSet presAssocID="{A9997808-C8DF-46E0-AEA5-39B6AD94EEED}" presName="spacerB" presStyleCnt="0"/>
      <dgm:spPr/>
    </dgm:pt>
    <dgm:pt modelId="{0E181A85-92F8-4FEE-BBCE-ABA31EFD1AF9}" type="pres">
      <dgm:prSet presAssocID="{7CF19F9F-52AE-4C25-B5DA-529D49D81986}" presName="node" presStyleLbl="node1" presStyleIdx="1" presStyleCnt="4">
        <dgm:presLayoutVars>
          <dgm:bulletEnabled val="1"/>
        </dgm:presLayoutVars>
      </dgm:prSet>
      <dgm:spPr/>
    </dgm:pt>
    <dgm:pt modelId="{B35F4ADD-EF30-4D41-9178-832AF051D5BA}" type="pres">
      <dgm:prSet presAssocID="{54159649-3001-4002-AF09-EC9E7A6EEAC8}" presName="spacerT" presStyleCnt="0"/>
      <dgm:spPr/>
    </dgm:pt>
    <dgm:pt modelId="{8A3FC065-0863-4AE9-BE58-05243B76F297}" type="pres">
      <dgm:prSet presAssocID="{54159649-3001-4002-AF09-EC9E7A6EEAC8}" presName="sibTrans" presStyleLbl="sibTrans2D1" presStyleIdx="1" presStyleCnt="3"/>
      <dgm:spPr/>
    </dgm:pt>
    <dgm:pt modelId="{25CE0DAB-EF34-47B4-8A8C-3EDBD234DE5A}" type="pres">
      <dgm:prSet presAssocID="{54159649-3001-4002-AF09-EC9E7A6EEAC8}" presName="spacerB" presStyleCnt="0"/>
      <dgm:spPr/>
    </dgm:pt>
    <dgm:pt modelId="{7C076756-CA17-4858-AB8B-68A68DA40800}" type="pres">
      <dgm:prSet presAssocID="{04963888-BA5D-4A3D-8971-18A8968CFCDB}" presName="node" presStyleLbl="node1" presStyleIdx="2" presStyleCnt="4">
        <dgm:presLayoutVars>
          <dgm:bulletEnabled val="1"/>
        </dgm:presLayoutVars>
      </dgm:prSet>
      <dgm:spPr/>
    </dgm:pt>
    <dgm:pt modelId="{23ABC9FE-5277-4708-BF27-98AA995F9760}" type="pres">
      <dgm:prSet presAssocID="{D81C6EF4-09DE-45C3-A364-1BB715F16C50}" presName="sibTransLast" presStyleLbl="sibTrans2D1" presStyleIdx="2" presStyleCnt="3"/>
      <dgm:spPr/>
    </dgm:pt>
    <dgm:pt modelId="{5369C7FB-28FE-4736-9E88-A4FA5DE383DE}" type="pres">
      <dgm:prSet presAssocID="{D81C6EF4-09DE-45C3-A364-1BB715F16C50}" presName="connectorText" presStyleLbl="sibTrans2D1" presStyleIdx="2" presStyleCnt="3"/>
      <dgm:spPr/>
    </dgm:pt>
    <dgm:pt modelId="{5EC2CDDC-E43D-4796-A11C-06D30B5874D5}" type="pres">
      <dgm:prSet presAssocID="{D81C6EF4-09DE-45C3-A364-1BB715F16C50}" presName="lastNode" presStyleLbl="node1" presStyleIdx="3" presStyleCnt="4">
        <dgm:presLayoutVars>
          <dgm:bulletEnabled val="1"/>
        </dgm:presLayoutVars>
      </dgm:prSet>
      <dgm:spPr/>
    </dgm:pt>
  </dgm:ptLst>
  <dgm:cxnLst>
    <dgm:cxn modelId="{AEA9922B-A65A-4CCB-88FA-7D3CA704880E}" type="presOf" srcId="{A9997808-C8DF-46E0-AEA5-39B6AD94EEED}" destId="{E323A25D-8CE3-4C97-B2D4-ED5082D2725C}" srcOrd="0" destOrd="0" presId="urn:microsoft.com/office/officeart/2005/8/layout/equation2"/>
    <dgm:cxn modelId="{407C1E30-48B8-402C-A6C1-25B82E61D4C2}" type="presOf" srcId="{7CF19F9F-52AE-4C25-B5DA-529D49D81986}" destId="{0E181A85-92F8-4FEE-BBCE-ABA31EFD1AF9}" srcOrd="0" destOrd="0" presId="urn:microsoft.com/office/officeart/2005/8/layout/equation2"/>
    <dgm:cxn modelId="{940BC730-E4DE-42FC-B364-19C503B48E4B}" type="presOf" srcId="{76ECEE8F-9315-4CDC-AA07-592ED08AE8F8}" destId="{94E7D3D9-3488-477D-8B8E-E901546CAB0D}" srcOrd="0" destOrd="0" presId="urn:microsoft.com/office/officeart/2005/8/layout/equation2"/>
    <dgm:cxn modelId="{3A76DF58-0DE0-46F3-A5D7-3AFFADFCFFAB}" srcId="{D81C6EF4-09DE-45C3-A364-1BB715F16C50}" destId="{9EFB07CF-38D5-4850-B83E-BD80C5511B97}" srcOrd="3" destOrd="0" parTransId="{E77874C5-4E35-4A7C-A879-F8E90BB6B5F6}" sibTransId="{A3999294-6CCE-4E22-94A1-060A313CCD2C}"/>
    <dgm:cxn modelId="{29035F92-9243-4C37-B2F6-F23D51F6CB26}" type="presOf" srcId="{D81C6EF4-09DE-45C3-A364-1BB715F16C50}" destId="{96DD5882-F906-4218-ACA0-F9AFBD88A3D2}" srcOrd="0" destOrd="0" presId="urn:microsoft.com/office/officeart/2005/8/layout/equation2"/>
    <dgm:cxn modelId="{CDC67F97-393E-4436-8341-4743F6D4239F}" srcId="{D81C6EF4-09DE-45C3-A364-1BB715F16C50}" destId="{04963888-BA5D-4A3D-8971-18A8968CFCDB}" srcOrd="2" destOrd="0" parTransId="{578EEF51-FF92-4F8A-B603-E985C85C6EDA}" sibTransId="{2E1FE96B-3B2F-4150-A821-B5550BB8F020}"/>
    <dgm:cxn modelId="{2B6DC3A1-EE6B-42D5-979C-92B6328D5830}" srcId="{D81C6EF4-09DE-45C3-A364-1BB715F16C50}" destId="{76ECEE8F-9315-4CDC-AA07-592ED08AE8F8}" srcOrd="0" destOrd="0" parTransId="{D71C664A-C678-4532-9BD6-1C6092AA2394}" sibTransId="{A9997808-C8DF-46E0-AEA5-39B6AD94EEED}"/>
    <dgm:cxn modelId="{F71D2CAF-F322-48C7-9F7F-FE774C0989BF}" type="presOf" srcId="{2E1FE96B-3B2F-4150-A821-B5550BB8F020}" destId="{5369C7FB-28FE-4736-9E88-A4FA5DE383DE}" srcOrd="1" destOrd="0" presId="urn:microsoft.com/office/officeart/2005/8/layout/equation2"/>
    <dgm:cxn modelId="{308233BF-3206-4A5D-8167-E6F5EAB07AC7}" type="presOf" srcId="{54159649-3001-4002-AF09-EC9E7A6EEAC8}" destId="{8A3FC065-0863-4AE9-BE58-05243B76F297}" srcOrd="0" destOrd="0" presId="urn:microsoft.com/office/officeart/2005/8/layout/equation2"/>
    <dgm:cxn modelId="{C0E632EA-ED62-4801-A866-11858EFDC44E}" srcId="{D81C6EF4-09DE-45C3-A364-1BB715F16C50}" destId="{7CF19F9F-52AE-4C25-B5DA-529D49D81986}" srcOrd="1" destOrd="0" parTransId="{F893BBB2-B0C6-499D-99FB-8D2D318C78BA}" sibTransId="{54159649-3001-4002-AF09-EC9E7A6EEAC8}"/>
    <dgm:cxn modelId="{FE5E68EE-4733-442C-ABB1-2EA87BBD7DBE}" type="presOf" srcId="{9EFB07CF-38D5-4850-B83E-BD80C5511B97}" destId="{5EC2CDDC-E43D-4796-A11C-06D30B5874D5}" srcOrd="0" destOrd="0" presId="urn:microsoft.com/office/officeart/2005/8/layout/equation2"/>
    <dgm:cxn modelId="{A0BE68FD-B597-4646-B53D-F18E7C4E15AF}" type="presOf" srcId="{2E1FE96B-3B2F-4150-A821-B5550BB8F020}" destId="{23ABC9FE-5277-4708-BF27-98AA995F9760}" srcOrd="0" destOrd="0" presId="urn:microsoft.com/office/officeart/2005/8/layout/equation2"/>
    <dgm:cxn modelId="{2F607DFF-449F-456E-BEC9-93744583F519}" type="presOf" srcId="{04963888-BA5D-4A3D-8971-18A8968CFCDB}" destId="{7C076756-CA17-4858-AB8B-68A68DA40800}" srcOrd="0" destOrd="0" presId="urn:microsoft.com/office/officeart/2005/8/layout/equation2"/>
    <dgm:cxn modelId="{41F50AD0-1D93-47E9-91DE-0F3F3FF5AD97}" type="presParOf" srcId="{96DD5882-F906-4218-ACA0-F9AFBD88A3D2}" destId="{04F3FCCD-85CC-4C34-AD40-1183091B1EBA}" srcOrd="0" destOrd="0" presId="urn:microsoft.com/office/officeart/2005/8/layout/equation2"/>
    <dgm:cxn modelId="{F7D78B8E-9345-49F2-88F0-F248C9E343A3}" type="presParOf" srcId="{04F3FCCD-85CC-4C34-AD40-1183091B1EBA}" destId="{94E7D3D9-3488-477D-8B8E-E901546CAB0D}" srcOrd="0" destOrd="0" presId="urn:microsoft.com/office/officeart/2005/8/layout/equation2"/>
    <dgm:cxn modelId="{17F85132-36D3-4860-BA02-25FFD7DDE150}" type="presParOf" srcId="{04F3FCCD-85CC-4C34-AD40-1183091B1EBA}" destId="{A206D317-15C7-47FC-9E58-14D6C0683D3F}" srcOrd="1" destOrd="0" presId="urn:microsoft.com/office/officeart/2005/8/layout/equation2"/>
    <dgm:cxn modelId="{A9647D16-6911-4037-A60F-207B90457B98}" type="presParOf" srcId="{04F3FCCD-85CC-4C34-AD40-1183091B1EBA}" destId="{E323A25D-8CE3-4C97-B2D4-ED5082D2725C}" srcOrd="2" destOrd="0" presId="urn:microsoft.com/office/officeart/2005/8/layout/equation2"/>
    <dgm:cxn modelId="{8F35A0A4-8CB2-44AC-B228-CBD18B64C7E7}" type="presParOf" srcId="{04F3FCCD-85CC-4C34-AD40-1183091B1EBA}" destId="{29AB6627-9CC8-413E-BC13-0B13CBFAD71E}" srcOrd="3" destOrd="0" presId="urn:microsoft.com/office/officeart/2005/8/layout/equation2"/>
    <dgm:cxn modelId="{76B08273-7D9F-4E3C-B8A2-1A3289BFD530}" type="presParOf" srcId="{04F3FCCD-85CC-4C34-AD40-1183091B1EBA}" destId="{0E181A85-92F8-4FEE-BBCE-ABA31EFD1AF9}" srcOrd="4" destOrd="0" presId="urn:microsoft.com/office/officeart/2005/8/layout/equation2"/>
    <dgm:cxn modelId="{4B259BD3-A256-4E16-A42C-6DA9E9E54B3A}" type="presParOf" srcId="{04F3FCCD-85CC-4C34-AD40-1183091B1EBA}" destId="{B35F4ADD-EF30-4D41-9178-832AF051D5BA}" srcOrd="5" destOrd="0" presId="urn:microsoft.com/office/officeart/2005/8/layout/equation2"/>
    <dgm:cxn modelId="{858CB636-7140-4C51-A77D-DCE72D076AD6}" type="presParOf" srcId="{04F3FCCD-85CC-4C34-AD40-1183091B1EBA}" destId="{8A3FC065-0863-4AE9-BE58-05243B76F297}" srcOrd="6" destOrd="0" presId="urn:microsoft.com/office/officeart/2005/8/layout/equation2"/>
    <dgm:cxn modelId="{ECCCA95D-1E41-4434-BB6C-FFD24469BF6B}" type="presParOf" srcId="{04F3FCCD-85CC-4C34-AD40-1183091B1EBA}" destId="{25CE0DAB-EF34-47B4-8A8C-3EDBD234DE5A}" srcOrd="7" destOrd="0" presId="urn:microsoft.com/office/officeart/2005/8/layout/equation2"/>
    <dgm:cxn modelId="{59EBA659-7CBF-4D58-9B64-B82D1DE83AA0}" type="presParOf" srcId="{04F3FCCD-85CC-4C34-AD40-1183091B1EBA}" destId="{7C076756-CA17-4858-AB8B-68A68DA40800}" srcOrd="8" destOrd="0" presId="urn:microsoft.com/office/officeart/2005/8/layout/equation2"/>
    <dgm:cxn modelId="{A08CE539-1B0F-425A-AC6F-0BC81C040A4D}" type="presParOf" srcId="{96DD5882-F906-4218-ACA0-F9AFBD88A3D2}" destId="{23ABC9FE-5277-4708-BF27-98AA995F9760}" srcOrd="1" destOrd="0" presId="urn:microsoft.com/office/officeart/2005/8/layout/equation2"/>
    <dgm:cxn modelId="{C1BF20E2-EC41-489F-A1EE-45245D8FCCF7}" type="presParOf" srcId="{23ABC9FE-5277-4708-BF27-98AA995F9760}" destId="{5369C7FB-28FE-4736-9E88-A4FA5DE383DE}" srcOrd="0" destOrd="0" presId="urn:microsoft.com/office/officeart/2005/8/layout/equation2"/>
    <dgm:cxn modelId="{061C7944-2B2F-443B-AA72-4FEC5E2B0354}" type="presParOf" srcId="{96DD5882-F906-4218-ACA0-F9AFBD88A3D2}" destId="{5EC2CDDC-E43D-4796-A11C-06D30B5874D5}" srcOrd="2" destOrd="0" presId="urn:microsoft.com/office/officeart/2005/8/layout/equation2"/>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B7A6949-E55B-4A4F-803A-54802059F41D}" type="doc">
      <dgm:prSet loTypeId="urn:microsoft.com/office/officeart/2005/8/layout/radial1" loCatId="cycle" qsTypeId="urn:microsoft.com/office/officeart/2005/8/quickstyle/simple3" qsCatId="simple" csTypeId="urn:microsoft.com/office/officeart/2005/8/colors/accent0_1" csCatId="mainScheme" phldr="1"/>
      <dgm:spPr/>
      <dgm:t>
        <a:bodyPr/>
        <a:lstStyle/>
        <a:p>
          <a:endParaRPr lang="aa-ET"/>
        </a:p>
      </dgm:t>
    </dgm:pt>
    <dgm:pt modelId="{E8E76B29-E8CA-46CF-B7A0-C0F7567DA3EE}">
      <dgm:prSet phldrT="[Текст]" custT="1"/>
      <dgm:spPr/>
      <dgm:t>
        <a:bodyPr/>
        <a:lstStyle/>
        <a:p>
          <a:r>
            <a:rPr lang="en-US" sz="1100">
              <a:latin typeface="Times New Roman" panose="02020603050405020304" pitchFamily="18" charset="0"/>
              <a:cs typeface="Times New Roman" panose="02020603050405020304" pitchFamily="18" charset="0"/>
            </a:rPr>
            <a:t>Value</a:t>
          </a:r>
          <a:endParaRPr lang="aa-ET" sz="1100">
            <a:latin typeface="Times New Roman" panose="02020603050405020304" pitchFamily="18" charset="0"/>
            <a:cs typeface="Times New Roman" panose="02020603050405020304" pitchFamily="18" charset="0"/>
          </a:endParaRPr>
        </a:p>
      </dgm:t>
    </dgm:pt>
    <dgm:pt modelId="{495791ED-95F2-4C18-BEB0-3ED347B0BEBB}" type="parTrans" cxnId="{44C8C19F-DF0B-431F-8ADC-6C760E27DA64}">
      <dgm:prSet/>
      <dgm:spPr/>
      <dgm:t>
        <a:bodyPr/>
        <a:lstStyle/>
        <a:p>
          <a:endParaRPr lang="aa-ET"/>
        </a:p>
      </dgm:t>
    </dgm:pt>
    <dgm:pt modelId="{252D4150-7206-48A5-9573-448FB6FB4552}" type="sibTrans" cxnId="{44C8C19F-DF0B-431F-8ADC-6C760E27DA64}">
      <dgm:prSet/>
      <dgm:spPr/>
      <dgm:t>
        <a:bodyPr/>
        <a:lstStyle/>
        <a:p>
          <a:endParaRPr lang="aa-ET"/>
        </a:p>
      </dgm:t>
    </dgm:pt>
    <dgm:pt modelId="{51AB8446-8002-4075-A609-9D3EC68B097C}">
      <dgm:prSet phldrT="[Текст]" custT="1"/>
      <dgm:spPr/>
      <dgm:t>
        <a:bodyPr/>
        <a:lstStyle/>
        <a:p>
          <a:r>
            <a:rPr lang="en-US" sz="1100">
              <a:latin typeface="Times New Roman" panose="02020603050405020304" pitchFamily="18" charset="0"/>
              <a:cs typeface="Times New Roman" panose="02020603050405020304" pitchFamily="18" charset="0"/>
            </a:rPr>
            <a:t>Education Managers</a:t>
          </a:r>
          <a:endParaRPr lang="aa-ET" sz="1100">
            <a:latin typeface="Times New Roman" panose="02020603050405020304" pitchFamily="18" charset="0"/>
            <a:cs typeface="Times New Roman" panose="02020603050405020304" pitchFamily="18" charset="0"/>
          </a:endParaRPr>
        </a:p>
      </dgm:t>
    </dgm:pt>
    <dgm:pt modelId="{44237477-4ABF-41F4-AF44-17D63A8626E5}" type="parTrans" cxnId="{DAAC19FC-1E1C-40B4-898A-C42D2864E9FD}">
      <dgm:prSet custT="1"/>
      <dgm:spPr/>
      <dgm:t>
        <a:bodyPr/>
        <a:lstStyle/>
        <a:p>
          <a:endParaRPr lang="aa-ET" sz="1100">
            <a:latin typeface="Times New Roman" panose="02020603050405020304" pitchFamily="18" charset="0"/>
            <a:cs typeface="Times New Roman" panose="02020603050405020304" pitchFamily="18" charset="0"/>
          </a:endParaRPr>
        </a:p>
      </dgm:t>
    </dgm:pt>
    <dgm:pt modelId="{64FECDCA-AC3D-4B27-8FC0-2BC2B13C2C43}" type="sibTrans" cxnId="{DAAC19FC-1E1C-40B4-898A-C42D2864E9FD}">
      <dgm:prSet/>
      <dgm:spPr/>
      <dgm:t>
        <a:bodyPr/>
        <a:lstStyle/>
        <a:p>
          <a:endParaRPr lang="aa-ET"/>
        </a:p>
      </dgm:t>
    </dgm:pt>
    <dgm:pt modelId="{C593E992-2AF7-4B65-ABD3-A94B25486009}">
      <dgm:prSet phldrT="[Текст]" custT="1"/>
      <dgm:spPr/>
      <dgm:t>
        <a:bodyPr/>
        <a:lstStyle/>
        <a:p>
          <a:r>
            <a:rPr lang="en-US" sz="1100">
              <a:latin typeface="Times New Roman" panose="02020603050405020304" pitchFamily="18" charset="0"/>
              <a:cs typeface="Times New Roman" panose="02020603050405020304" pitchFamily="18" charset="0"/>
            </a:rPr>
            <a:t>Students` goal</a:t>
          </a:r>
          <a:endParaRPr lang="aa-ET" sz="1100">
            <a:latin typeface="Times New Roman" panose="02020603050405020304" pitchFamily="18" charset="0"/>
            <a:cs typeface="Times New Roman" panose="02020603050405020304" pitchFamily="18" charset="0"/>
          </a:endParaRPr>
        </a:p>
      </dgm:t>
    </dgm:pt>
    <dgm:pt modelId="{4168EE45-7448-426B-9058-4FE4B0316E39}" type="parTrans" cxnId="{AD2A9D53-C77A-432D-88BF-F7B0BB6A6006}">
      <dgm:prSet custT="1"/>
      <dgm:spPr/>
      <dgm:t>
        <a:bodyPr/>
        <a:lstStyle/>
        <a:p>
          <a:endParaRPr lang="aa-ET" sz="1100">
            <a:latin typeface="Times New Roman" panose="02020603050405020304" pitchFamily="18" charset="0"/>
            <a:cs typeface="Times New Roman" panose="02020603050405020304" pitchFamily="18" charset="0"/>
          </a:endParaRPr>
        </a:p>
      </dgm:t>
    </dgm:pt>
    <dgm:pt modelId="{0C2EAD72-E68B-4F2B-98A7-DEB8EC812B2D}" type="sibTrans" cxnId="{AD2A9D53-C77A-432D-88BF-F7B0BB6A6006}">
      <dgm:prSet/>
      <dgm:spPr/>
      <dgm:t>
        <a:bodyPr/>
        <a:lstStyle/>
        <a:p>
          <a:endParaRPr lang="aa-ET"/>
        </a:p>
      </dgm:t>
    </dgm:pt>
    <dgm:pt modelId="{B0099F46-D2AB-48E2-B638-0A8AC5ACAEA2}">
      <dgm:prSet phldrT="[Текст]" custT="1"/>
      <dgm:spPr/>
      <dgm:t>
        <a:bodyPr/>
        <a:lstStyle/>
        <a:p>
          <a:r>
            <a:rPr lang="en-US" sz="1100">
              <a:latin typeface="Times New Roman" panose="02020603050405020304" pitchFamily="18" charset="0"/>
              <a:cs typeface="Times New Roman" panose="02020603050405020304" pitchFamily="18" charset="0"/>
            </a:rPr>
            <a:t>Students` performance</a:t>
          </a:r>
          <a:endParaRPr lang="aa-ET" sz="1100">
            <a:latin typeface="Times New Roman" panose="02020603050405020304" pitchFamily="18" charset="0"/>
            <a:cs typeface="Times New Roman" panose="02020603050405020304" pitchFamily="18" charset="0"/>
          </a:endParaRPr>
        </a:p>
      </dgm:t>
    </dgm:pt>
    <dgm:pt modelId="{5957A4E0-E164-491E-8F8E-7CFE635C5B97}" type="parTrans" cxnId="{25DA9F98-31C6-4AEE-87C0-2F4ABD728682}">
      <dgm:prSet custT="1"/>
      <dgm:spPr/>
      <dgm:t>
        <a:bodyPr/>
        <a:lstStyle/>
        <a:p>
          <a:endParaRPr lang="aa-ET" sz="1100">
            <a:latin typeface="Times New Roman" panose="02020603050405020304" pitchFamily="18" charset="0"/>
            <a:cs typeface="Times New Roman" panose="02020603050405020304" pitchFamily="18" charset="0"/>
          </a:endParaRPr>
        </a:p>
      </dgm:t>
    </dgm:pt>
    <dgm:pt modelId="{15FFC25E-4EF8-49C2-852F-7A53844A6076}" type="sibTrans" cxnId="{25DA9F98-31C6-4AEE-87C0-2F4ABD728682}">
      <dgm:prSet/>
      <dgm:spPr/>
      <dgm:t>
        <a:bodyPr/>
        <a:lstStyle/>
        <a:p>
          <a:endParaRPr lang="aa-ET"/>
        </a:p>
      </dgm:t>
    </dgm:pt>
    <dgm:pt modelId="{EF45406E-DEE2-4E95-9FD9-14A767C2C6B5}">
      <dgm:prSet phldrT="[Текст]" custT="1"/>
      <dgm:spPr/>
      <dgm:t>
        <a:bodyPr/>
        <a:lstStyle/>
        <a:p>
          <a:r>
            <a:rPr lang="en-US" sz="1100">
              <a:latin typeface="Times New Roman" panose="02020603050405020304" pitchFamily="18" charset="0"/>
              <a:cs typeface="Times New Roman" panose="02020603050405020304" pitchFamily="18" charset="0"/>
            </a:rPr>
            <a:t>Task management </a:t>
          </a:r>
          <a:endParaRPr lang="aa-ET" sz="1100">
            <a:latin typeface="Times New Roman" panose="02020603050405020304" pitchFamily="18" charset="0"/>
            <a:cs typeface="Times New Roman" panose="02020603050405020304" pitchFamily="18" charset="0"/>
          </a:endParaRPr>
        </a:p>
      </dgm:t>
    </dgm:pt>
    <dgm:pt modelId="{D88BFA47-FFCA-4578-9479-127E2D09FBBD}" type="parTrans" cxnId="{B71B0099-07AE-4814-8CB4-8E5F5B97126D}">
      <dgm:prSet custT="1"/>
      <dgm:spPr/>
      <dgm:t>
        <a:bodyPr/>
        <a:lstStyle/>
        <a:p>
          <a:endParaRPr lang="aa-ET" sz="1100">
            <a:latin typeface="Times New Roman" panose="02020603050405020304" pitchFamily="18" charset="0"/>
            <a:cs typeface="Times New Roman" panose="02020603050405020304" pitchFamily="18" charset="0"/>
          </a:endParaRPr>
        </a:p>
      </dgm:t>
    </dgm:pt>
    <dgm:pt modelId="{AD6042EA-1795-41E0-A477-D3B6F2B2F3EB}" type="sibTrans" cxnId="{B71B0099-07AE-4814-8CB4-8E5F5B97126D}">
      <dgm:prSet/>
      <dgm:spPr/>
      <dgm:t>
        <a:bodyPr/>
        <a:lstStyle/>
        <a:p>
          <a:endParaRPr lang="aa-ET"/>
        </a:p>
      </dgm:t>
    </dgm:pt>
    <dgm:pt modelId="{497EFB5C-974F-49CC-99A9-EDB882BED0D8}">
      <dgm:prSet phldrT="[Текст]" custRadScaleRad="141248" custRadScaleInc="-103989"/>
      <dgm:spPr/>
      <dgm:t>
        <a:bodyPr/>
        <a:lstStyle/>
        <a:p>
          <a:endParaRPr lang="aa-ET"/>
        </a:p>
      </dgm:t>
    </dgm:pt>
    <dgm:pt modelId="{AD902211-468F-498C-85BF-7F929BD40AF3}" type="parTrans" cxnId="{30ABE4F4-F05E-4208-863F-F670113891C8}">
      <dgm:prSet/>
      <dgm:spPr/>
      <dgm:t>
        <a:bodyPr/>
        <a:lstStyle/>
        <a:p>
          <a:endParaRPr lang="aa-ET"/>
        </a:p>
      </dgm:t>
    </dgm:pt>
    <dgm:pt modelId="{9D346B2E-79FC-4E19-9E43-53A5DFDCCBE2}" type="sibTrans" cxnId="{30ABE4F4-F05E-4208-863F-F670113891C8}">
      <dgm:prSet/>
      <dgm:spPr/>
      <dgm:t>
        <a:bodyPr/>
        <a:lstStyle/>
        <a:p>
          <a:endParaRPr lang="aa-ET"/>
        </a:p>
      </dgm:t>
    </dgm:pt>
    <dgm:pt modelId="{DC00C260-81E3-4926-AD83-FDF9DFFF2396}">
      <dgm:prSet custT="1"/>
      <dgm:spPr/>
      <dgm:t>
        <a:bodyPr/>
        <a:lstStyle/>
        <a:p>
          <a:r>
            <a:rPr lang="en-US" sz="1100">
              <a:latin typeface="Times New Roman" panose="02020603050405020304" pitchFamily="18" charset="0"/>
              <a:cs typeface="Times New Roman" panose="02020603050405020304" pitchFamily="18" charset="0"/>
            </a:rPr>
            <a:t>Goal-Gradient effect</a:t>
          </a:r>
          <a:endParaRPr lang="aa-ET" sz="1100">
            <a:latin typeface="Times New Roman" panose="02020603050405020304" pitchFamily="18" charset="0"/>
            <a:cs typeface="Times New Roman" panose="02020603050405020304" pitchFamily="18" charset="0"/>
          </a:endParaRPr>
        </a:p>
      </dgm:t>
    </dgm:pt>
    <dgm:pt modelId="{B6FBB29F-A22D-479F-9023-2F31BE2530B5}" type="parTrans" cxnId="{6FB32913-4529-43AD-BEC9-3E25A7ABF32D}">
      <dgm:prSet custT="1"/>
      <dgm:spPr/>
      <dgm:t>
        <a:bodyPr/>
        <a:lstStyle/>
        <a:p>
          <a:endParaRPr lang="aa-ET" sz="1100">
            <a:latin typeface="Times New Roman" panose="02020603050405020304" pitchFamily="18" charset="0"/>
            <a:cs typeface="Times New Roman" panose="02020603050405020304" pitchFamily="18" charset="0"/>
          </a:endParaRPr>
        </a:p>
      </dgm:t>
    </dgm:pt>
    <dgm:pt modelId="{1E14AE22-667B-4D2A-90D6-2487B09E9802}" type="sibTrans" cxnId="{6FB32913-4529-43AD-BEC9-3E25A7ABF32D}">
      <dgm:prSet/>
      <dgm:spPr/>
      <dgm:t>
        <a:bodyPr/>
        <a:lstStyle/>
        <a:p>
          <a:endParaRPr lang="aa-ET"/>
        </a:p>
      </dgm:t>
    </dgm:pt>
    <dgm:pt modelId="{A74F2631-C2AC-47A6-9EA4-D40527139CD6}">
      <dgm:prSet custRadScaleRad="179506" custRadScaleInc="-154648"/>
      <dgm:spPr/>
      <dgm:t>
        <a:bodyPr/>
        <a:lstStyle/>
        <a:p>
          <a:endParaRPr lang="aa-ET"/>
        </a:p>
      </dgm:t>
    </dgm:pt>
    <dgm:pt modelId="{58C74CFA-7A98-447D-B5D1-95FECDC3136F}" type="parTrans" cxnId="{E8AA99D5-106F-4214-AC8D-9A7F2E7C4CBA}">
      <dgm:prSet/>
      <dgm:spPr/>
      <dgm:t>
        <a:bodyPr/>
        <a:lstStyle/>
        <a:p>
          <a:endParaRPr lang="aa-ET">
            <a:latin typeface="Times New Roman" panose="02020603050405020304" pitchFamily="18" charset="0"/>
            <a:cs typeface="Times New Roman" panose="02020603050405020304" pitchFamily="18" charset="0"/>
          </a:endParaRPr>
        </a:p>
      </dgm:t>
    </dgm:pt>
    <dgm:pt modelId="{350BAF59-05F1-4A36-A609-41C73D6D65EB}" type="sibTrans" cxnId="{E8AA99D5-106F-4214-AC8D-9A7F2E7C4CBA}">
      <dgm:prSet/>
      <dgm:spPr/>
      <dgm:t>
        <a:bodyPr/>
        <a:lstStyle/>
        <a:p>
          <a:endParaRPr lang="aa-ET"/>
        </a:p>
      </dgm:t>
    </dgm:pt>
    <dgm:pt modelId="{14643826-68AA-401B-BB75-E30626C6273F}" type="pres">
      <dgm:prSet presAssocID="{AB7A6949-E55B-4A4F-803A-54802059F41D}" presName="cycle" presStyleCnt="0">
        <dgm:presLayoutVars>
          <dgm:chMax val="1"/>
          <dgm:dir/>
          <dgm:animLvl val="ctr"/>
          <dgm:resizeHandles val="exact"/>
        </dgm:presLayoutVars>
      </dgm:prSet>
      <dgm:spPr/>
    </dgm:pt>
    <dgm:pt modelId="{8901AF5D-5274-4850-896A-8E002F91D6E0}" type="pres">
      <dgm:prSet presAssocID="{E8E76B29-E8CA-46CF-B7A0-C0F7567DA3EE}" presName="centerShape" presStyleLbl="node0" presStyleIdx="0" presStyleCnt="1" custLinFactNeighborX="2794" custLinFactNeighborY="-19049"/>
      <dgm:spPr/>
    </dgm:pt>
    <dgm:pt modelId="{9758FF14-2484-4E14-AF43-465C96A10B1D}" type="pres">
      <dgm:prSet presAssocID="{44237477-4ABF-41F4-AF44-17D63A8626E5}" presName="Name9" presStyleLbl="parChTrans1D2" presStyleIdx="0" presStyleCnt="5"/>
      <dgm:spPr/>
    </dgm:pt>
    <dgm:pt modelId="{47A997F0-BD82-44E5-BB14-43CC7B4F3420}" type="pres">
      <dgm:prSet presAssocID="{44237477-4ABF-41F4-AF44-17D63A8626E5}" presName="connTx" presStyleLbl="parChTrans1D2" presStyleIdx="0" presStyleCnt="5"/>
      <dgm:spPr/>
    </dgm:pt>
    <dgm:pt modelId="{9C07A928-0440-4167-89F3-8892352D2DF2}" type="pres">
      <dgm:prSet presAssocID="{51AB8446-8002-4075-A609-9D3EC68B097C}" presName="node" presStyleLbl="node1" presStyleIdx="0" presStyleCnt="5" custRadScaleRad="179506" custRadScaleInc="-154648">
        <dgm:presLayoutVars>
          <dgm:bulletEnabled val="1"/>
        </dgm:presLayoutVars>
      </dgm:prSet>
      <dgm:spPr/>
    </dgm:pt>
    <dgm:pt modelId="{CCDD5051-0B58-4F8E-96A2-61C65D2404C5}" type="pres">
      <dgm:prSet presAssocID="{4168EE45-7448-426B-9058-4FE4B0316E39}" presName="Name9" presStyleLbl="parChTrans1D2" presStyleIdx="1" presStyleCnt="5"/>
      <dgm:spPr/>
    </dgm:pt>
    <dgm:pt modelId="{F1869766-47F4-4C01-82E7-4815E6E961E1}" type="pres">
      <dgm:prSet presAssocID="{4168EE45-7448-426B-9058-4FE4B0316E39}" presName="connTx" presStyleLbl="parChTrans1D2" presStyleIdx="1" presStyleCnt="5"/>
      <dgm:spPr/>
    </dgm:pt>
    <dgm:pt modelId="{EBB527B6-7E71-48C8-83BC-70D670BF3AD8}" type="pres">
      <dgm:prSet presAssocID="{C593E992-2AF7-4B65-ABD3-A94B25486009}" presName="node" presStyleLbl="node1" presStyleIdx="1" presStyleCnt="5" custRadScaleRad="179785" custRadScaleInc="-47291">
        <dgm:presLayoutVars>
          <dgm:bulletEnabled val="1"/>
        </dgm:presLayoutVars>
      </dgm:prSet>
      <dgm:spPr/>
    </dgm:pt>
    <dgm:pt modelId="{1DF396E7-0CB6-4BE4-93CA-27CDE90E012E}" type="pres">
      <dgm:prSet presAssocID="{5957A4E0-E164-491E-8F8E-7CFE635C5B97}" presName="Name9" presStyleLbl="parChTrans1D2" presStyleIdx="2" presStyleCnt="5"/>
      <dgm:spPr/>
    </dgm:pt>
    <dgm:pt modelId="{17EF83B8-A134-4124-B28A-EE0BAB7E44B6}" type="pres">
      <dgm:prSet presAssocID="{5957A4E0-E164-491E-8F8E-7CFE635C5B97}" presName="connTx" presStyleLbl="parChTrans1D2" presStyleIdx="2" presStyleCnt="5"/>
      <dgm:spPr/>
    </dgm:pt>
    <dgm:pt modelId="{B5A89415-12D0-49F2-906E-CEB1A52D23AE}" type="pres">
      <dgm:prSet presAssocID="{B0099F46-D2AB-48E2-B638-0A8AC5ACAEA2}" presName="node" presStyleLbl="node1" presStyleIdx="2" presStyleCnt="5" custRadScaleRad="148465" custRadScaleInc="-134675">
        <dgm:presLayoutVars>
          <dgm:bulletEnabled val="1"/>
        </dgm:presLayoutVars>
      </dgm:prSet>
      <dgm:spPr/>
    </dgm:pt>
    <dgm:pt modelId="{6A7E2F86-8AA3-47B6-923B-78C175B35EBC}" type="pres">
      <dgm:prSet presAssocID="{B6FBB29F-A22D-479F-9023-2F31BE2530B5}" presName="Name9" presStyleLbl="parChTrans1D2" presStyleIdx="3" presStyleCnt="5"/>
      <dgm:spPr/>
    </dgm:pt>
    <dgm:pt modelId="{ACE8667F-4911-4660-9C06-3D0856E39AD8}" type="pres">
      <dgm:prSet presAssocID="{B6FBB29F-A22D-479F-9023-2F31BE2530B5}" presName="connTx" presStyleLbl="parChTrans1D2" presStyleIdx="3" presStyleCnt="5"/>
      <dgm:spPr/>
    </dgm:pt>
    <dgm:pt modelId="{1BED07A4-9B3E-4D4C-91B2-DF01E06E145C}" type="pres">
      <dgm:prSet presAssocID="{DC00C260-81E3-4926-AD83-FDF9DFFF2396}" presName="node" presStyleLbl="node1" presStyleIdx="3" presStyleCnt="5" custRadScaleRad="86888" custRadScaleInc="-112378">
        <dgm:presLayoutVars>
          <dgm:bulletEnabled val="1"/>
        </dgm:presLayoutVars>
      </dgm:prSet>
      <dgm:spPr/>
    </dgm:pt>
    <dgm:pt modelId="{4D0C4BC4-872F-449F-B1C6-C5EEEEEE8568}" type="pres">
      <dgm:prSet presAssocID="{D88BFA47-FFCA-4578-9479-127E2D09FBBD}" presName="Name9" presStyleLbl="parChTrans1D2" presStyleIdx="4" presStyleCnt="5"/>
      <dgm:spPr/>
    </dgm:pt>
    <dgm:pt modelId="{9362FD38-3CF5-465A-99BC-6E064166F361}" type="pres">
      <dgm:prSet presAssocID="{D88BFA47-FFCA-4578-9479-127E2D09FBBD}" presName="connTx" presStyleLbl="parChTrans1D2" presStyleIdx="4" presStyleCnt="5"/>
      <dgm:spPr/>
    </dgm:pt>
    <dgm:pt modelId="{1F07C1F0-20D2-42E7-A3B0-C43E7B4F8337}" type="pres">
      <dgm:prSet presAssocID="{EF45406E-DEE2-4E95-9FD9-14A767C2C6B5}" presName="node" presStyleLbl="node1" presStyleIdx="4" presStyleCnt="5" custRadScaleRad="147879" custRadScaleInc="-63709">
        <dgm:presLayoutVars>
          <dgm:bulletEnabled val="1"/>
        </dgm:presLayoutVars>
      </dgm:prSet>
      <dgm:spPr/>
    </dgm:pt>
  </dgm:ptLst>
  <dgm:cxnLst>
    <dgm:cxn modelId="{272D8E02-38A0-4BFD-8F5F-CE48FCA47F5F}" type="presOf" srcId="{B0099F46-D2AB-48E2-B638-0A8AC5ACAEA2}" destId="{B5A89415-12D0-49F2-906E-CEB1A52D23AE}" srcOrd="0" destOrd="0" presId="urn:microsoft.com/office/officeart/2005/8/layout/radial1"/>
    <dgm:cxn modelId="{E76E7B0E-0E94-48D9-8EE9-AD5E94C28FE5}" type="presOf" srcId="{51AB8446-8002-4075-A609-9D3EC68B097C}" destId="{9C07A928-0440-4167-89F3-8892352D2DF2}" srcOrd="0" destOrd="0" presId="urn:microsoft.com/office/officeart/2005/8/layout/radial1"/>
    <dgm:cxn modelId="{6FB32913-4529-43AD-BEC9-3E25A7ABF32D}" srcId="{E8E76B29-E8CA-46CF-B7A0-C0F7567DA3EE}" destId="{DC00C260-81E3-4926-AD83-FDF9DFFF2396}" srcOrd="3" destOrd="0" parTransId="{B6FBB29F-A22D-479F-9023-2F31BE2530B5}" sibTransId="{1E14AE22-667B-4D2A-90D6-2487B09E9802}"/>
    <dgm:cxn modelId="{27FF9216-DCEE-422B-BBD2-C74BF9C17C9B}" type="presOf" srcId="{4168EE45-7448-426B-9058-4FE4B0316E39}" destId="{CCDD5051-0B58-4F8E-96A2-61C65D2404C5}" srcOrd="0" destOrd="0" presId="urn:microsoft.com/office/officeart/2005/8/layout/radial1"/>
    <dgm:cxn modelId="{18B45518-1AC4-4702-B761-3359D6D6AD7C}" type="presOf" srcId="{EF45406E-DEE2-4E95-9FD9-14A767C2C6B5}" destId="{1F07C1F0-20D2-42E7-A3B0-C43E7B4F8337}" srcOrd="0" destOrd="0" presId="urn:microsoft.com/office/officeart/2005/8/layout/radial1"/>
    <dgm:cxn modelId="{C5075421-9EEC-4A73-93DF-1318EBD856D7}" type="presOf" srcId="{B6FBB29F-A22D-479F-9023-2F31BE2530B5}" destId="{6A7E2F86-8AA3-47B6-923B-78C175B35EBC}" srcOrd="0" destOrd="0" presId="urn:microsoft.com/office/officeart/2005/8/layout/radial1"/>
    <dgm:cxn modelId="{251E4638-928B-4CFC-9B98-4584715F2373}" type="presOf" srcId="{D88BFA47-FFCA-4578-9479-127E2D09FBBD}" destId="{9362FD38-3CF5-465A-99BC-6E064166F361}" srcOrd="1" destOrd="0" presId="urn:microsoft.com/office/officeart/2005/8/layout/radial1"/>
    <dgm:cxn modelId="{6B1B175B-5BD5-4F89-8606-D4354A4860CF}" type="presOf" srcId="{5957A4E0-E164-491E-8F8E-7CFE635C5B97}" destId="{17EF83B8-A134-4124-B28A-EE0BAB7E44B6}" srcOrd="1" destOrd="0" presId="urn:microsoft.com/office/officeart/2005/8/layout/radial1"/>
    <dgm:cxn modelId="{4502D760-B845-434D-84A6-81FEED584986}" type="presOf" srcId="{D88BFA47-FFCA-4578-9479-127E2D09FBBD}" destId="{4D0C4BC4-872F-449F-B1C6-C5EEEEEE8568}" srcOrd="0" destOrd="0" presId="urn:microsoft.com/office/officeart/2005/8/layout/radial1"/>
    <dgm:cxn modelId="{F61F8F66-A307-41B6-A0CF-81D8528C60F0}" type="presOf" srcId="{5957A4E0-E164-491E-8F8E-7CFE635C5B97}" destId="{1DF396E7-0CB6-4BE4-93CA-27CDE90E012E}" srcOrd="0" destOrd="0" presId="urn:microsoft.com/office/officeart/2005/8/layout/radial1"/>
    <dgm:cxn modelId="{C39C2569-214E-4234-BE4A-68516B4BC493}" type="presOf" srcId="{C593E992-2AF7-4B65-ABD3-A94B25486009}" destId="{EBB527B6-7E71-48C8-83BC-70D670BF3AD8}" srcOrd="0" destOrd="0" presId="urn:microsoft.com/office/officeart/2005/8/layout/radial1"/>
    <dgm:cxn modelId="{AD2A9D53-C77A-432D-88BF-F7B0BB6A6006}" srcId="{E8E76B29-E8CA-46CF-B7A0-C0F7567DA3EE}" destId="{C593E992-2AF7-4B65-ABD3-A94B25486009}" srcOrd="1" destOrd="0" parTransId="{4168EE45-7448-426B-9058-4FE4B0316E39}" sibTransId="{0C2EAD72-E68B-4F2B-98A7-DEB8EC812B2D}"/>
    <dgm:cxn modelId="{F792B98E-5E70-4A26-8F26-B412A652ACF2}" type="presOf" srcId="{44237477-4ABF-41F4-AF44-17D63A8626E5}" destId="{9758FF14-2484-4E14-AF43-465C96A10B1D}" srcOrd="0" destOrd="0" presId="urn:microsoft.com/office/officeart/2005/8/layout/radial1"/>
    <dgm:cxn modelId="{7F526D95-F35F-4E8F-AA3E-101B9FD8DFD4}" type="presOf" srcId="{AB7A6949-E55B-4A4F-803A-54802059F41D}" destId="{14643826-68AA-401B-BB75-E30626C6273F}" srcOrd="0" destOrd="0" presId="urn:microsoft.com/office/officeart/2005/8/layout/radial1"/>
    <dgm:cxn modelId="{25DA9F98-31C6-4AEE-87C0-2F4ABD728682}" srcId="{E8E76B29-E8CA-46CF-B7A0-C0F7567DA3EE}" destId="{B0099F46-D2AB-48E2-B638-0A8AC5ACAEA2}" srcOrd="2" destOrd="0" parTransId="{5957A4E0-E164-491E-8F8E-7CFE635C5B97}" sibTransId="{15FFC25E-4EF8-49C2-852F-7A53844A6076}"/>
    <dgm:cxn modelId="{B71B0099-07AE-4814-8CB4-8E5F5B97126D}" srcId="{E8E76B29-E8CA-46CF-B7A0-C0F7567DA3EE}" destId="{EF45406E-DEE2-4E95-9FD9-14A767C2C6B5}" srcOrd="4" destOrd="0" parTransId="{D88BFA47-FFCA-4578-9479-127E2D09FBBD}" sibTransId="{AD6042EA-1795-41E0-A477-D3B6F2B2F3EB}"/>
    <dgm:cxn modelId="{44C8C19F-DF0B-431F-8ADC-6C760E27DA64}" srcId="{AB7A6949-E55B-4A4F-803A-54802059F41D}" destId="{E8E76B29-E8CA-46CF-B7A0-C0F7567DA3EE}" srcOrd="0" destOrd="0" parTransId="{495791ED-95F2-4C18-BEB0-3ED347B0BEBB}" sibTransId="{252D4150-7206-48A5-9573-448FB6FB4552}"/>
    <dgm:cxn modelId="{45D749A6-C7AB-41E0-A226-D18741F6424B}" type="presOf" srcId="{4168EE45-7448-426B-9058-4FE4B0316E39}" destId="{F1869766-47F4-4C01-82E7-4815E6E961E1}" srcOrd="1" destOrd="0" presId="urn:microsoft.com/office/officeart/2005/8/layout/radial1"/>
    <dgm:cxn modelId="{137797BC-32BE-4218-93A8-9B02C492130A}" type="presOf" srcId="{44237477-4ABF-41F4-AF44-17D63A8626E5}" destId="{47A997F0-BD82-44E5-BB14-43CC7B4F3420}" srcOrd="1" destOrd="0" presId="urn:microsoft.com/office/officeart/2005/8/layout/radial1"/>
    <dgm:cxn modelId="{E8AA99D5-106F-4214-AC8D-9A7F2E7C4CBA}" srcId="{AB7A6949-E55B-4A4F-803A-54802059F41D}" destId="{A74F2631-C2AC-47A6-9EA4-D40527139CD6}" srcOrd="2" destOrd="0" parTransId="{58C74CFA-7A98-447D-B5D1-95FECDC3136F}" sibTransId="{350BAF59-05F1-4A36-A609-41C73D6D65EB}"/>
    <dgm:cxn modelId="{A7B843F2-2C1A-47BA-817A-1D827E626DD1}" type="presOf" srcId="{E8E76B29-E8CA-46CF-B7A0-C0F7567DA3EE}" destId="{8901AF5D-5274-4850-896A-8E002F91D6E0}" srcOrd="0" destOrd="0" presId="urn:microsoft.com/office/officeart/2005/8/layout/radial1"/>
    <dgm:cxn modelId="{0410BAF4-F3E2-453F-AFF5-4833DCF7F160}" type="presOf" srcId="{B6FBB29F-A22D-479F-9023-2F31BE2530B5}" destId="{ACE8667F-4911-4660-9C06-3D0856E39AD8}" srcOrd="1" destOrd="0" presId="urn:microsoft.com/office/officeart/2005/8/layout/radial1"/>
    <dgm:cxn modelId="{30ABE4F4-F05E-4208-863F-F670113891C8}" srcId="{AB7A6949-E55B-4A4F-803A-54802059F41D}" destId="{497EFB5C-974F-49CC-99A9-EDB882BED0D8}" srcOrd="1" destOrd="0" parTransId="{AD902211-468F-498C-85BF-7F929BD40AF3}" sibTransId="{9D346B2E-79FC-4E19-9E43-53A5DFDCCBE2}"/>
    <dgm:cxn modelId="{F73F83F7-CEFA-4559-8EF7-C694B42FAAEE}" type="presOf" srcId="{DC00C260-81E3-4926-AD83-FDF9DFFF2396}" destId="{1BED07A4-9B3E-4D4C-91B2-DF01E06E145C}" srcOrd="0" destOrd="0" presId="urn:microsoft.com/office/officeart/2005/8/layout/radial1"/>
    <dgm:cxn modelId="{DAAC19FC-1E1C-40B4-898A-C42D2864E9FD}" srcId="{E8E76B29-E8CA-46CF-B7A0-C0F7567DA3EE}" destId="{51AB8446-8002-4075-A609-9D3EC68B097C}" srcOrd="0" destOrd="0" parTransId="{44237477-4ABF-41F4-AF44-17D63A8626E5}" sibTransId="{64FECDCA-AC3D-4B27-8FC0-2BC2B13C2C43}"/>
    <dgm:cxn modelId="{9AEBABB4-6ABA-4927-A1C6-8748572AC0DF}" type="presParOf" srcId="{14643826-68AA-401B-BB75-E30626C6273F}" destId="{8901AF5D-5274-4850-896A-8E002F91D6E0}" srcOrd="0" destOrd="0" presId="urn:microsoft.com/office/officeart/2005/8/layout/radial1"/>
    <dgm:cxn modelId="{CFDE9A24-44AD-4577-B578-2245E476D29E}" type="presParOf" srcId="{14643826-68AA-401B-BB75-E30626C6273F}" destId="{9758FF14-2484-4E14-AF43-465C96A10B1D}" srcOrd="1" destOrd="0" presId="urn:microsoft.com/office/officeart/2005/8/layout/radial1"/>
    <dgm:cxn modelId="{2D1E23FA-8C4F-4013-BB7B-8476A81D275A}" type="presParOf" srcId="{9758FF14-2484-4E14-AF43-465C96A10B1D}" destId="{47A997F0-BD82-44E5-BB14-43CC7B4F3420}" srcOrd="0" destOrd="0" presId="urn:microsoft.com/office/officeart/2005/8/layout/radial1"/>
    <dgm:cxn modelId="{00470D7B-ED7F-40D9-BD08-072625193D44}" type="presParOf" srcId="{14643826-68AA-401B-BB75-E30626C6273F}" destId="{9C07A928-0440-4167-89F3-8892352D2DF2}" srcOrd="2" destOrd="0" presId="urn:microsoft.com/office/officeart/2005/8/layout/radial1"/>
    <dgm:cxn modelId="{6FF6E7B7-2FA0-4FB0-852F-01C15DE82133}" type="presParOf" srcId="{14643826-68AA-401B-BB75-E30626C6273F}" destId="{CCDD5051-0B58-4F8E-96A2-61C65D2404C5}" srcOrd="3" destOrd="0" presId="urn:microsoft.com/office/officeart/2005/8/layout/radial1"/>
    <dgm:cxn modelId="{5D411B53-9C5A-440A-94E6-156E69D81EDF}" type="presParOf" srcId="{CCDD5051-0B58-4F8E-96A2-61C65D2404C5}" destId="{F1869766-47F4-4C01-82E7-4815E6E961E1}" srcOrd="0" destOrd="0" presId="urn:microsoft.com/office/officeart/2005/8/layout/radial1"/>
    <dgm:cxn modelId="{3CDA3E15-E9DD-4F8E-8811-49BD946D9EF6}" type="presParOf" srcId="{14643826-68AA-401B-BB75-E30626C6273F}" destId="{EBB527B6-7E71-48C8-83BC-70D670BF3AD8}" srcOrd="4" destOrd="0" presId="urn:microsoft.com/office/officeart/2005/8/layout/radial1"/>
    <dgm:cxn modelId="{CFEC72FF-124D-4F92-BD00-9F380680B6FC}" type="presParOf" srcId="{14643826-68AA-401B-BB75-E30626C6273F}" destId="{1DF396E7-0CB6-4BE4-93CA-27CDE90E012E}" srcOrd="5" destOrd="0" presId="urn:microsoft.com/office/officeart/2005/8/layout/radial1"/>
    <dgm:cxn modelId="{D71A581B-BD49-40A2-8E7A-C113C4638208}" type="presParOf" srcId="{1DF396E7-0CB6-4BE4-93CA-27CDE90E012E}" destId="{17EF83B8-A134-4124-B28A-EE0BAB7E44B6}" srcOrd="0" destOrd="0" presId="urn:microsoft.com/office/officeart/2005/8/layout/radial1"/>
    <dgm:cxn modelId="{4EFBE783-313A-4A47-824F-D86BC121308C}" type="presParOf" srcId="{14643826-68AA-401B-BB75-E30626C6273F}" destId="{B5A89415-12D0-49F2-906E-CEB1A52D23AE}" srcOrd="6" destOrd="0" presId="urn:microsoft.com/office/officeart/2005/8/layout/radial1"/>
    <dgm:cxn modelId="{45FE7645-1664-461B-AD5D-2B859CC54C44}" type="presParOf" srcId="{14643826-68AA-401B-BB75-E30626C6273F}" destId="{6A7E2F86-8AA3-47B6-923B-78C175B35EBC}" srcOrd="7" destOrd="0" presId="urn:microsoft.com/office/officeart/2005/8/layout/radial1"/>
    <dgm:cxn modelId="{8EE5A7D3-9E9F-4D72-996D-E4A8D23D9E7D}" type="presParOf" srcId="{6A7E2F86-8AA3-47B6-923B-78C175B35EBC}" destId="{ACE8667F-4911-4660-9C06-3D0856E39AD8}" srcOrd="0" destOrd="0" presId="urn:microsoft.com/office/officeart/2005/8/layout/radial1"/>
    <dgm:cxn modelId="{CA59FA81-F89A-47AA-9343-E111B930395A}" type="presParOf" srcId="{14643826-68AA-401B-BB75-E30626C6273F}" destId="{1BED07A4-9B3E-4D4C-91B2-DF01E06E145C}" srcOrd="8" destOrd="0" presId="urn:microsoft.com/office/officeart/2005/8/layout/radial1"/>
    <dgm:cxn modelId="{1513A315-4D3B-4D7E-B1A6-4EE8930DA576}" type="presParOf" srcId="{14643826-68AA-401B-BB75-E30626C6273F}" destId="{4D0C4BC4-872F-449F-B1C6-C5EEEEEE8568}" srcOrd="9" destOrd="0" presId="urn:microsoft.com/office/officeart/2005/8/layout/radial1"/>
    <dgm:cxn modelId="{DDA76B64-BBE2-44F6-BF15-A55779E86F78}" type="presParOf" srcId="{4D0C4BC4-872F-449F-B1C6-C5EEEEEE8568}" destId="{9362FD38-3CF5-465A-99BC-6E064166F361}" srcOrd="0" destOrd="0" presId="urn:microsoft.com/office/officeart/2005/8/layout/radial1"/>
    <dgm:cxn modelId="{D05196CE-B1EA-463B-8E3B-4B8043559E08}" type="presParOf" srcId="{14643826-68AA-401B-BB75-E30626C6273F}" destId="{1F07C1F0-20D2-42E7-A3B0-C43E7B4F8337}" srcOrd="10" destOrd="0" presId="urn:microsoft.com/office/officeart/2005/8/layout/radial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35BE92-D656-4DC4-8724-D1A6525DA709}">
      <dsp:nvSpPr>
        <dsp:cNvPr id="0" name=""/>
        <dsp:cNvSpPr/>
      </dsp:nvSpPr>
      <dsp:spPr>
        <a:xfrm>
          <a:off x="263874" y="2979957"/>
          <a:ext cx="5277421" cy="97903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Developing the ownership of patents by Federal support</a:t>
          </a:r>
          <a:endParaRPr lang="ru-RU" sz="1400" kern="1200">
            <a:latin typeface="Times New Roman" pitchFamily="18" charset="0"/>
            <a:cs typeface="Times New Roman" pitchFamily="18" charset="0"/>
          </a:endParaRPr>
        </a:p>
      </dsp:txBody>
      <dsp:txXfrm>
        <a:off x="263874" y="2979957"/>
        <a:ext cx="5277421" cy="979036"/>
      </dsp:txXfrm>
    </dsp:sp>
    <dsp:sp modelId="{1B22BC03-DB77-44B8-BEBA-F7EB672CC83F}">
      <dsp:nvSpPr>
        <dsp:cNvPr id="0" name=""/>
        <dsp:cNvSpPr/>
      </dsp:nvSpPr>
      <dsp:spPr>
        <a:xfrm rot="10800000">
          <a:off x="263874" y="1490352"/>
          <a:ext cx="5277421" cy="1505758"/>
        </a:xfrm>
        <a:prstGeom prst="upArrowCallou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kern="1200"/>
            <a:t> </a:t>
          </a:r>
          <a:r>
            <a:rPr lang="en-US" sz="1400" kern="1200">
              <a:latin typeface="Times New Roman" pitchFamily="18" charset="0"/>
              <a:cs typeface="Times New Roman" pitchFamily="18" charset="0"/>
            </a:rPr>
            <a:t>Commercial value of fabricated genes</a:t>
          </a:r>
          <a:endParaRPr lang="ru-RU" sz="1400" kern="1200">
            <a:latin typeface="Times New Roman" pitchFamily="18" charset="0"/>
            <a:cs typeface="Times New Roman" pitchFamily="18" charset="0"/>
          </a:endParaRPr>
        </a:p>
      </dsp:txBody>
      <dsp:txXfrm rot="10800000">
        <a:off x="263874" y="1490352"/>
        <a:ext cx="5277421" cy="978396"/>
      </dsp:txXfrm>
    </dsp:sp>
    <dsp:sp modelId="{37E1ECF4-3956-4FFE-83B8-34A0357B786E}">
      <dsp:nvSpPr>
        <dsp:cNvPr id="0" name=""/>
        <dsp:cNvSpPr/>
      </dsp:nvSpPr>
      <dsp:spPr>
        <a:xfrm rot="10800000">
          <a:off x="263874" y="748"/>
          <a:ext cx="5277421" cy="1505758"/>
        </a:xfrm>
        <a:prstGeom prst="upArrowCallou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Gene splicing </a:t>
          </a:r>
          <a:endParaRPr lang="ru-RU" sz="1400" kern="1200">
            <a:latin typeface="Times New Roman" pitchFamily="18" charset="0"/>
            <a:cs typeface="Times New Roman" pitchFamily="18" charset="0"/>
          </a:endParaRPr>
        </a:p>
      </dsp:txBody>
      <dsp:txXfrm rot="10800000">
        <a:off x="263874" y="748"/>
        <a:ext cx="5277421" cy="9783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F0CB0E-C1A6-46D3-89BC-C8B991ED81DE}">
      <dsp:nvSpPr>
        <dsp:cNvPr id="0" name=""/>
        <dsp:cNvSpPr/>
      </dsp:nvSpPr>
      <dsp:spPr>
        <a:xfrm>
          <a:off x="1771205" y="45942"/>
          <a:ext cx="2205247" cy="2205247"/>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University</a:t>
          </a:r>
          <a:endParaRPr lang="ru-RU" sz="1200" kern="1200">
            <a:latin typeface="Times New Roman" pitchFamily="18" charset="0"/>
            <a:cs typeface="Times New Roman" pitchFamily="18" charset="0"/>
          </a:endParaRPr>
        </a:p>
      </dsp:txBody>
      <dsp:txXfrm>
        <a:off x="2065238" y="431861"/>
        <a:ext cx="1617181" cy="992361"/>
      </dsp:txXfrm>
    </dsp:sp>
    <dsp:sp modelId="{442E4D1C-42FD-4185-A384-C11D36108F0B}">
      <dsp:nvSpPr>
        <dsp:cNvPr id="0" name=""/>
        <dsp:cNvSpPr/>
      </dsp:nvSpPr>
      <dsp:spPr>
        <a:xfrm>
          <a:off x="2566932" y="1424222"/>
          <a:ext cx="2205247" cy="2205247"/>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Industry</a:t>
          </a:r>
        </a:p>
      </dsp:txBody>
      <dsp:txXfrm>
        <a:off x="3241370" y="1993911"/>
        <a:ext cx="1323148" cy="1212886"/>
      </dsp:txXfrm>
    </dsp:sp>
    <dsp:sp modelId="{4E4CCBA9-867F-4C4E-8A0D-8916BFE3A2E9}">
      <dsp:nvSpPr>
        <dsp:cNvPr id="0" name=""/>
        <dsp:cNvSpPr/>
      </dsp:nvSpPr>
      <dsp:spPr>
        <a:xfrm>
          <a:off x="975478" y="1424222"/>
          <a:ext cx="2205247" cy="2205247"/>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Government</a:t>
          </a:r>
          <a:endParaRPr lang="ru-RU" sz="1200" kern="1200">
            <a:latin typeface="Times New Roman" pitchFamily="18" charset="0"/>
            <a:cs typeface="Times New Roman" pitchFamily="18" charset="0"/>
          </a:endParaRPr>
        </a:p>
      </dsp:txBody>
      <dsp:txXfrm>
        <a:off x="1183139" y="1993911"/>
        <a:ext cx="1323148" cy="121288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4D91F1-E975-4596-ADFF-855093633DE7}">
      <dsp:nvSpPr>
        <dsp:cNvPr id="0" name=""/>
        <dsp:cNvSpPr/>
      </dsp:nvSpPr>
      <dsp:spPr>
        <a:xfrm>
          <a:off x="1398694" y="545956"/>
          <a:ext cx="3381136" cy="3381136"/>
        </a:xfrm>
        <a:prstGeom prst="blockArc">
          <a:avLst>
            <a:gd name="adj1" fmla="val 10952425"/>
            <a:gd name="adj2" fmla="val 16225156"/>
            <a:gd name="adj3" fmla="val 463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E1A0F19-82ED-4B46-BA44-11DE34A3A678}">
      <dsp:nvSpPr>
        <dsp:cNvPr id="0" name=""/>
        <dsp:cNvSpPr/>
      </dsp:nvSpPr>
      <dsp:spPr>
        <a:xfrm>
          <a:off x="1400317" y="472761"/>
          <a:ext cx="3381136" cy="3381136"/>
        </a:xfrm>
        <a:prstGeom prst="blockArc">
          <a:avLst>
            <a:gd name="adj1" fmla="val 5400000"/>
            <a:gd name="adj2" fmla="val 10800000"/>
            <a:gd name="adj3" fmla="val 463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13B65E1-6507-4AEB-A8AE-A7E879EBE65B}">
      <dsp:nvSpPr>
        <dsp:cNvPr id="0" name=""/>
        <dsp:cNvSpPr/>
      </dsp:nvSpPr>
      <dsp:spPr>
        <a:xfrm>
          <a:off x="1400317" y="472761"/>
          <a:ext cx="3381136" cy="3381136"/>
        </a:xfrm>
        <a:prstGeom prst="blockArc">
          <a:avLst>
            <a:gd name="adj1" fmla="val 0"/>
            <a:gd name="adj2" fmla="val 5400000"/>
            <a:gd name="adj3" fmla="val 463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2A62637-6ED8-4F94-961A-4CC99B77EC39}">
      <dsp:nvSpPr>
        <dsp:cNvPr id="0" name=""/>
        <dsp:cNvSpPr/>
      </dsp:nvSpPr>
      <dsp:spPr>
        <a:xfrm>
          <a:off x="1401941" y="545977"/>
          <a:ext cx="3381136" cy="3381136"/>
        </a:xfrm>
        <a:prstGeom prst="blockArc">
          <a:avLst>
            <a:gd name="adj1" fmla="val 16218397"/>
            <a:gd name="adj2" fmla="val 21447532"/>
            <a:gd name="adj3" fmla="val 463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FA39070-7E44-4946-8845-E003F90BDD41}">
      <dsp:nvSpPr>
        <dsp:cNvPr id="0" name=""/>
        <dsp:cNvSpPr/>
      </dsp:nvSpPr>
      <dsp:spPr>
        <a:xfrm>
          <a:off x="2312994" y="1385438"/>
          <a:ext cx="1555783" cy="1555783"/>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itchFamily="18" charset="0"/>
              <a:cs typeface="Times New Roman" pitchFamily="18" charset="0"/>
            </a:rPr>
            <a:t>Organisation</a:t>
          </a:r>
          <a:endParaRPr lang="ru-RU" sz="1600" kern="1200">
            <a:latin typeface="Times New Roman" pitchFamily="18" charset="0"/>
            <a:cs typeface="Times New Roman" pitchFamily="18" charset="0"/>
          </a:endParaRPr>
        </a:p>
      </dsp:txBody>
      <dsp:txXfrm>
        <a:off x="2540833" y="1613277"/>
        <a:ext cx="1100105" cy="1100105"/>
      </dsp:txXfrm>
    </dsp:sp>
    <dsp:sp modelId="{367A618F-4442-4431-A3B2-050EF8E5EF1A}">
      <dsp:nvSpPr>
        <dsp:cNvPr id="0" name=""/>
        <dsp:cNvSpPr/>
      </dsp:nvSpPr>
      <dsp:spPr>
        <a:xfrm>
          <a:off x="2556823" y="40682"/>
          <a:ext cx="1089048" cy="1089048"/>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Gathering</a:t>
          </a:r>
          <a:endParaRPr lang="ru-RU" sz="1400" kern="1200">
            <a:latin typeface="Times New Roman" pitchFamily="18" charset="0"/>
            <a:cs typeface="Times New Roman" pitchFamily="18" charset="0"/>
          </a:endParaRPr>
        </a:p>
      </dsp:txBody>
      <dsp:txXfrm>
        <a:off x="2716310" y="200169"/>
        <a:ext cx="770074" cy="770074"/>
      </dsp:txXfrm>
    </dsp:sp>
    <dsp:sp modelId="{6EE44D9D-FC7B-492F-9F15-04E4ACDC1DF5}">
      <dsp:nvSpPr>
        <dsp:cNvPr id="0" name=""/>
        <dsp:cNvSpPr/>
      </dsp:nvSpPr>
      <dsp:spPr>
        <a:xfrm>
          <a:off x="4065737" y="1672021"/>
          <a:ext cx="1353022" cy="982615"/>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baseline="0">
              <a:latin typeface="Times New Roman" pitchFamily="18" charset="0"/>
              <a:cs typeface="Times New Roman" pitchFamily="18" charset="0"/>
            </a:rPr>
            <a:t>Management</a:t>
          </a:r>
          <a:endParaRPr lang="ru-RU" sz="1200" kern="1200" baseline="0">
            <a:latin typeface="Times New Roman" pitchFamily="18" charset="0"/>
            <a:cs typeface="Times New Roman" pitchFamily="18" charset="0"/>
          </a:endParaRPr>
        </a:p>
      </dsp:txBody>
      <dsp:txXfrm>
        <a:off x="4263882" y="1815922"/>
        <a:ext cx="956732" cy="694813"/>
      </dsp:txXfrm>
    </dsp:sp>
    <dsp:sp modelId="{A0E290F6-B678-41E0-8C86-328180250432}">
      <dsp:nvSpPr>
        <dsp:cNvPr id="0" name=""/>
        <dsp:cNvSpPr/>
      </dsp:nvSpPr>
      <dsp:spPr>
        <a:xfrm>
          <a:off x="1992395" y="3202957"/>
          <a:ext cx="2196980" cy="1223469"/>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baseline="0">
              <a:latin typeface="Times New Roman" pitchFamily="18" charset="0"/>
              <a:cs typeface="Times New Roman" pitchFamily="18" charset="0"/>
            </a:rPr>
            <a:t>Implementation of decision based on such use of informatuon</a:t>
          </a:r>
          <a:endParaRPr lang="ru-RU" sz="1200" kern="1200" baseline="0">
            <a:latin typeface="Times New Roman" pitchFamily="18" charset="0"/>
            <a:cs typeface="Times New Roman" pitchFamily="18" charset="0"/>
          </a:endParaRPr>
        </a:p>
      </dsp:txBody>
      <dsp:txXfrm>
        <a:off x="2314135" y="3382130"/>
        <a:ext cx="1553500" cy="865123"/>
      </dsp:txXfrm>
    </dsp:sp>
    <dsp:sp modelId="{65CA8FDB-0129-4C48-A0D1-EF71F965067A}">
      <dsp:nvSpPr>
        <dsp:cNvPr id="0" name=""/>
        <dsp:cNvSpPr/>
      </dsp:nvSpPr>
      <dsp:spPr>
        <a:xfrm>
          <a:off x="685155" y="1618805"/>
          <a:ext cx="1508734" cy="1089048"/>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baseline="0">
              <a:latin typeface="Times New Roman" pitchFamily="18" charset="0"/>
              <a:cs typeface="Times New Roman" pitchFamily="18" charset="0"/>
            </a:rPr>
            <a:t>Use of information</a:t>
          </a:r>
          <a:endParaRPr lang="ru-RU" sz="1200" kern="1200" baseline="0">
            <a:latin typeface="Times New Roman" pitchFamily="18" charset="0"/>
            <a:cs typeface="Times New Roman" pitchFamily="18" charset="0"/>
          </a:endParaRPr>
        </a:p>
      </dsp:txBody>
      <dsp:txXfrm>
        <a:off x="906104" y="1778292"/>
        <a:ext cx="1066836" cy="77007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79C812-FCED-4C08-82AF-759170387FE0}">
      <dsp:nvSpPr>
        <dsp:cNvPr id="0" name=""/>
        <dsp:cNvSpPr/>
      </dsp:nvSpPr>
      <dsp:spPr>
        <a:xfrm>
          <a:off x="2225063" y="630"/>
          <a:ext cx="1475659" cy="959178"/>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baseline="0">
              <a:latin typeface="Times New Roman" pitchFamily="18" charset="0"/>
              <a:cs typeface="Times New Roman" pitchFamily="18" charset="0"/>
            </a:rPr>
            <a:t>Intangible assets </a:t>
          </a:r>
          <a:endParaRPr lang="ru-RU" sz="1400" kern="1200" baseline="0">
            <a:latin typeface="Times New Roman" pitchFamily="18" charset="0"/>
            <a:cs typeface="Times New Roman" pitchFamily="18" charset="0"/>
          </a:endParaRPr>
        </a:p>
      </dsp:txBody>
      <dsp:txXfrm>
        <a:off x="2271886" y="47453"/>
        <a:ext cx="1382013" cy="865532"/>
      </dsp:txXfrm>
    </dsp:sp>
    <dsp:sp modelId="{E520C576-01EF-425B-83E9-C58EB72D513E}">
      <dsp:nvSpPr>
        <dsp:cNvPr id="0" name=""/>
        <dsp:cNvSpPr/>
      </dsp:nvSpPr>
      <dsp:spPr>
        <a:xfrm>
          <a:off x="1682751" y="480219"/>
          <a:ext cx="2560284" cy="2560284"/>
        </a:xfrm>
        <a:custGeom>
          <a:avLst/>
          <a:gdLst/>
          <a:ahLst/>
          <a:cxnLst/>
          <a:rect l="0" t="0" r="0" b="0"/>
          <a:pathLst>
            <a:path>
              <a:moveTo>
                <a:pt x="2216381" y="407090"/>
              </a:moveTo>
              <a:arcTo wR="1280142" hR="1280142" stAng="19020013" swAng="2303794"/>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D8CA36D-7D20-4E6C-B4F1-A119CD7785A4}">
      <dsp:nvSpPr>
        <dsp:cNvPr id="0" name=""/>
        <dsp:cNvSpPr/>
      </dsp:nvSpPr>
      <dsp:spPr>
        <a:xfrm>
          <a:off x="3333699" y="1920843"/>
          <a:ext cx="1475659" cy="959178"/>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baseline="0">
              <a:latin typeface="Times New Roman" pitchFamily="18" charset="0"/>
              <a:cs typeface="Times New Roman" pitchFamily="18" charset="0"/>
            </a:rPr>
            <a:t>innovation capacity</a:t>
          </a:r>
          <a:endParaRPr lang="ru-RU" sz="1400" kern="1200" baseline="0">
            <a:latin typeface="Times New Roman" pitchFamily="18" charset="0"/>
            <a:cs typeface="Times New Roman" pitchFamily="18" charset="0"/>
          </a:endParaRPr>
        </a:p>
      </dsp:txBody>
      <dsp:txXfrm>
        <a:off x="3380522" y="1967666"/>
        <a:ext cx="1382013" cy="865532"/>
      </dsp:txXfrm>
    </dsp:sp>
    <dsp:sp modelId="{8D81483B-7CAE-4AA8-80F8-2EF78B3DF30C}">
      <dsp:nvSpPr>
        <dsp:cNvPr id="0" name=""/>
        <dsp:cNvSpPr/>
      </dsp:nvSpPr>
      <dsp:spPr>
        <a:xfrm>
          <a:off x="1682751" y="480219"/>
          <a:ext cx="2560284" cy="2560284"/>
        </a:xfrm>
        <a:custGeom>
          <a:avLst/>
          <a:gdLst/>
          <a:ahLst/>
          <a:cxnLst/>
          <a:rect l="0" t="0" r="0" b="0"/>
          <a:pathLst>
            <a:path>
              <a:moveTo>
                <a:pt x="1673338" y="2498403"/>
              </a:moveTo>
              <a:arcTo wR="1280142" hR="1280142" stAng="4326744" swAng="214651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D112BE4F-E81A-450D-90E0-06A46728E85C}">
      <dsp:nvSpPr>
        <dsp:cNvPr id="0" name=""/>
        <dsp:cNvSpPr/>
      </dsp:nvSpPr>
      <dsp:spPr>
        <a:xfrm>
          <a:off x="1116428" y="1920843"/>
          <a:ext cx="1475659" cy="959178"/>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baseline="0">
              <a:latin typeface="Times New Roman" pitchFamily="18" charset="0"/>
              <a:cs typeface="Times New Roman" pitchFamily="18" charset="0"/>
            </a:rPr>
            <a:t>learning capacity of the firm</a:t>
          </a:r>
          <a:endParaRPr lang="ru-RU" sz="1400" kern="1200" baseline="0">
            <a:latin typeface="Times New Roman" pitchFamily="18" charset="0"/>
            <a:cs typeface="Times New Roman" pitchFamily="18" charset="0"/>
          </a:endParaRPr>
        </a:p>
      </dsp:txBody>
      <dsp:txXfrm>
        <a:off x="1163251" y="1967666"/>
        <a:ext cx="1382013" cy="865532"/>
      </dsp:txXfrm>
    </dsp:sp>
    <dsp:sp modelId="{39633838-DED5-48E2-B88B-023D39CCFE45}">
      <dsp:nvSpPr>
        <dsp:cNvPr id="0" name=""/>
        <dsp:cNvSpPr/>
      </dsp:nvSpPr>
      <dsp:spPr>
        <a:xfrm>
          <a:off x="1682751" y="480219"/>
          <a:ext cx="2560284" cy="2560284"/>
        </a:xfrm>
        <a:custGeom>
          <a:avLst/>
          <a:gdLst/>
          <a:ahLst/>
          <a:cxnLst/>
          <a:rect l="0" t="0" r="0" b="0"/>
          <a:pathLst>
            <a:path>
              <a:moveTo>
                <a:pt x="4129" y="1177404"/>
              </a:moveTo>
              <a:arcTo wR="1280142" hR="1280142" stAng="11076193" swAng="2303794"/>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E7D3D9-3488-477D-8B8E-E901546CAB0D}">
      <dsp:nvSpPr>
        <dsp:cNvPr id="0" name=""/>
        <dsp:cNvSpPr/>
      </dsp:nvSpPr>
      <dsp:spPr>
        <a:xfrm>
          <a:off x="1250542" y="366"/>
          <a:ext cx="764277" cy="764277"/>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Leanring programs</a:t>
          </a:r>
          <a:endParaRPr lang="aa-ET" sz="800" kern="1200"/>
        </a:p>
      </dsp:txBody>
      <dsp:txXfrm>
        <a:off x="1362468" y="112292"/>
        <a:ext cx="540425" cy="540425"/>
      </dsp:txXfrm>
    </dsp:sp>
    <dsp:sp modelId="{E323A25D-8CE3-4C97-B2D4-ED5082D2725C}">
      <dsp:nvSpPr>
        <dsp:cNvPr id="0" name=""/>
        <dsp:cNvSpPr/>
      </dsp:nvSpPr>
      <dsp:spPr>
        <a:xfrm>
          <a:off x="1411040" y="826703"/>
          <a:ext cx="443280" cy="443280"/>
        </a:xfrm>
        <a:prstGeom prst="mathPlus">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aa-ET" sz="700" kern="1200"/>
        </a:p>
      </dsp:txBody>
      <dsp:txXfrm>
        <a:off x="1469797" y="996213"/>
        <a:ext cx="325766" cy="104260"/>
      </dsp:txXfrm>
    </dsp:sp>
    <dsp:sp modelId="{0E181A85-92F8-4FEE-BBCE-ABA31EFD1AF9}">
      <dsp:nvSpPr>
        <dsp:cNvPr id="0" name=""/>
        <dsp:cNvSpPr/>
      </dsp:nvSpPr>
      <dsp:spPr>
        <a:xfrm>
          <a:off x="1250542" y="1332043"/>
          <a:ext cx="764277" cy="764277"/>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Students` locus of control and self-efficacy</a:t>
          </a:r>
          <a:endParaRPr lang="aa-ET" sz="800" kern="1200"/>
        </a:p>
      </dsp:txBody>
      <dsp:txXfrm>
        <a:off x="1362468" y="1443969"/>
        <a:ext cx="540425" cy="540425"/>
      </dsp:txXfrm>
    </dsp:sp>
    <dsp:sp modelId="{8A3FC065-0863-4AE9-BE58-05243B76F297}">
      <dsp:nvSpPr>
        <dsp:cNvPr id="0" name=""/>
        <dsp:cNvSpPr/>
      </dsp:nvSpPr>
      <dsp:spPr>
        <a:xfrm>
          <a:off x="1411040" y="2158380"/>
          <a:ext cx="443280" cy="443280"/>
        </a:xfrm>
        <a:prstGeom prst="mathPlus">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aa-ET" sz="700" kern="1200"/>
        </a:p>
      </dsp:txBody>
      <dsp:txXfrm>
        <a:off x="1469797" y="2327890"/>
        <a:ext cx="325766" cy="104260"/>
      </dsp:txXfrm>
    </dsp:sp>
    <dsp:sp modelId="{7C076756-CA17-4858-AB8B-68A68DA40800}">
      <dsp:nvSpPr>
        <dsp:cNvPr id="0" name=""/>
        <dsp:cNvSpPr/>
      </dsp:nvSpPr>
      <dsp:spPr>
        <a:xfrm>
          <a:off x="1250542" y="2663720"/>
          <a:ext cx="764277" cy="764277"/>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Physcial activity</a:t>
          </a:r>
          <a:endParaRPr lang="aa-ET" sz="800" kern="1200"/>
        </a:p>
      </dsp:txBody>
      <dsp:txXfrm>
        <a:off x="1362468" y="2775646"/>
        <a:ext cx="540425" cy="540425"/>
      </dsp:txXfrm>
    </dsp:sp>
    <dsp:sp modelId="{23ABC9FE-5277-4708-BF27-98AA995F9760}">
      <dsp:nvSpPr>
        <dsp:cNvPr id="0" name=""/>
        <dsp:cNvSpPr/>
      </dsp:nvSpPr>
      <dsp:spPr>
        <a:xfrm>
          <a:off x="2129461" y="1572026"/>
          <a:ext cx="243040" cy="284311"/>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aa-ET" sz="700" kern="1200"/>
        </a:p>
      </dsp:txBody>
      <dsp:txXfrm>
        <a:off x="2129461" y="1628888"/>
        <a:ext cx="170128" cy="170587"/>
      </dsp:txXfrm>
    </dsp:sp>
    <dsp:sp modelId="{5EC2CDDC-E43D-4796-A11C-06D30B5874D5}">
      <dsp:nvSpPr>
        <dsp:cNvPr id="0" name=""/>
        <dsp:cNvSpPr/>
      </dsp:nvSpPr>
      <dsp:spPr>
        <a:xfrm>
          <a:off x="2473386" y="949905"/>
          <a:ext cx="1528554" cy="1528554"/>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Entrepreneurial outcome</a:t>
          </a:r>
          <a:endParaRPr lang="aa-ET" sz="1200" kern="1200"/>
        </a:p>
      </dsp:txBody>
      <dsp:txXfrm>
        <a:off x="2697238" y="1173757"/>
        <a:ext cx="1080850" cy="108085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01AF5D-5274-4850-896A-8E002F91D6E0}">
      <dsp:nvSpPr>
        <dsp:cNvPr id="0" name=""/>
        <dsp:cNvSpPr/>
      </dsp:nvSpPr>
      <dsp:spPr>
        <a:xfrm>
          <a:off x="2453162" y="820377"/>
          <a:ext cx="1002294" cy="1002294"/>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Value</a:t>
          </a:r>
          <a:endParaRPr lang="aa-ET" sz="1100" kern="1200">
            <a:latin typeface="Times New Roman" panose="02020603050405020304" pitchFamily="18" charset="0"/>
            <a:cs typeface="Times New Roman" panose="02020603050405020304" pitchFamily="18" charset="0"/>
          </a:endParaRPr>
        </a:p>
      </dsp:txBody>
      <dsp:txXfrm>
        <a:off x="2599945" y="967160"/>
        <a:ext cx="708728" cy="708728"/>
      </dsp:txXfrm>
    </dsp:sp>
    <dsp:sp modelId="{9758FF14-2484-4E14-AF43-465C96A10B1D}">
      <dsp:nvSpPr>
        <dsp:cNvPr id="0" name=""/>
        <dsp:cNvSpPr/>
      </dsp:nvSpPr>
      <dsp:spPr>
        <a:xfrm rot="12134275">
          <a:off x="1368363" y="895682"/>
          <a:ext cx="1165415" cy="31306"/>
        </a:xfrm>
        <a:custGeom>
          <a:avLst/>
          <a:gdLst/>
          <a:ahLst/>
          <a:cxnLst/>
          <a:rect l="0" t="0" r="0" b="0"/>
          <a:pathLst>
            <a:path>
              <a:moveTo>
                <a:pt x="0" y="15653"/>
              </a:moveTo>
              <a:lnTo>
                <a:pt x="1165415" y="1565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aa-ET" sz="1100" kern="1200">
            <a:latin typeface="Times New Roman" panose="02020603050405020304" pitchFamily="18" charset="0"/>
            <a:cs typeface="Times New Roman" panose="02020603050405020304" pitchFamily="18" charset="0"/>
          </a:endParaRPr>
        </a:p>
      </dsp:txBody>
      <dsp:txXfrm rot="10800000">
        <a:off x="1921936" y="882200"/>
        <a:ext cx="58270" cy="58270"/>
      </dsp:txXfrm>
    </dsp:sp>
    <dsp:sp modelId="{9C07A928-0440-4167-89F3-8892352D2DF2}">
      <dsp:nvSpPr>
        <dsp:cNvPr id="0" name=""/>
        <dsp:cNvSpPr/>
      </dsp:nvSpPr>
      <dsp:spPr>
        <a:xfrm>
          <a:off x="446686" y="0"/>
          <a:ext cx="1002294" cy="1002294"/>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Education Managers</a:t>
          </a:r>
          <a:endParaRPr lang="aa-ET" sz="1100" kern="1200">
            <a:latin typeface="Times New Roman" panose="02020603050405020304" pitchFamily="18" charset="0"/>
            <a:cs typeface="Times New Roman" panose="02020603050405020304" pitchFamily="18" charset="0"/>
          </a:endParaRPr>
        </a:p>
      </dsp:txBody>
      <dsp:txXfrm>
        <a:off x="593469" y="146783"/>
        <a:ext cx="708728" cy="708728"/>
      </dsp:txXfrm>
    </dsp:sp>
    <dsp:sp modelId="{CCDD5051-0B58-4F8E-96A2-61C65D2404C5}">
      <dsp:nvSpPr>
        <dsp:cNvPr id="0" name=""/>
        <dsp:cNvSpPr/>
      </dsp:nvSpPr>
      <dsp:spPr>
        <a:xfrm rot="20163359">
          <a:off x="3368477" y="895682"/>
          <a:ext cx="1019117" cy="31306"/>
        </a:xfrm>
        <a:custGeom>
          <a:avLst/>
          <a:gdLst/>
          <a:ahLst/>
          <a:cxnLst/>
          <a:rect l="0" t="0" r="0" b="0"/>
          <a:pathLst>
            <a:path>
              <a:moveTo>
                <a:pt x="0" y="15653"/>
              </a:moveTo>
              <a:lnTo>
                <a:pt x="1019117" y="1565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aa-ET" sz="1100" kern="1200">
            <a:latin typeface="Times New Roman" panose="02020603050405020304" pitchFamily="18" charset="0"/>
            <a:cs typeface="Times New Roman" panose="02020603050405020304" pitchFamily="18" charset="0"/>
          </a:endParaRPr>
        </a:p>
      </dsp:txBody>
      <dsp:txXfrm>
        <a:off x="3852558" y="885857"/>
        <a:ext cx="50955" cy="50955"/>
      </dsp:txXfrm>
    </dsp:sp>
    <dsp:sp modelId="{EBB527B6-7E71-48C8-83BC-70D670BF3AD8}">
      <dsp:nvSpPr>
        <dsp:cNvPr id="0" name=""/>
        <dsp:cNvSpPr/>
      </dsp:nvSpPr>
      <dsp:spPr>
        <a:xfrm>
          <a:off x="4300616" y="0"/>
          <a:ext cx="1002294" cy="1002294"/>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Students` goal</a:t>
          </a:r>
          <a:endParaRPr lang="aa-ET" sz="1100" kern="1200">
            <a:latin typeface="Times New Roman" panose="02020603050405020304" pitchFamily="18" charset="0"/>
            <a:cs typeface="Times New Roman" panose="02020603050405020304" pitchFamily="18" charset="0"/>
          </a:endParaRPr>
        </a:p>
      </dsp:txBody>
      <dsp:txXfrm>
        <a:off x="4447399" y="146783"/>
        <a:ext cx="708728" cy="708728"/>
      </dsp:txXfrm>
    </dsp:sp>
    <dsp:sp modelId="{1DF396E7-0CB6-4BE4-93CA-27CDE90E012E}">
      <dsp:nvSpPr>
        <dsp:cNvPr id="0" name=""/>
        <dsp:cNvSpPr/>
      </dsp:nvSpPr>
      <dsp:spPr>
        <a:xfrm rot="1213195">
          <a:off x="3394555" y="1647424"/>
          <a:ext cx="974143" cy="31306"/>
        </a:xfrm>
        <a:custGeom>
          <a:avLst/>
          <a:gdLst/>
          <a:ahLst/>
          <a:cxnLst/>
          <a:rect l="0" t="0" r="0" b="0"/>
          <a:pathLst>
            <a:path>
              <a:moveTo>
                <a:pt x="0" y="15653"/>
              </a:moveTo>
              <a:lnTo>
                <a:pt x="974143" y="1565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aa-ET" sz="1100" kern="1200">
            <a:latin typeface="Times New Roman" panose="02020603050405020304" pitchFamily="18" charset="0"/>
            <a:cs typeface="Times New Roman" panose="02020603050405020304" pitchFamily="18" charset="0"/>
          </a:endParaRPr>
        </a:p>
      </dsp:txBody>
      <dsp:txXfrm>
        <a:off x="3857274" y="1638723"/>
        <a:ext cx="48707" cy="48707"/>
      </dsp:txXfrm>
    </dsp:sp>
    <dsp:sp modelId="{B5A89415-12D0-49F2-906E-CEB1A52D23AE}">
      <dsp:nvSpPr>
        <dsp:cNvPr id="0" name=""/>
        <dsp:cNvSpPr/>
      </dsp:nvSpPr>
      <dsp:spPr>
        <a:xfrm>
          <a:off x="4307798" y="1503482"/>
          <a:ext cx="1002294" cy="1002294"/>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Students` performance</a:t>
          </a:r>
          <a:endParaRPr lang="aa-ET" sz="1100" kern="1200">
            <a:latin typeface="Times New Roman" panose="02020603050405020304" pitchFamily="18" charset="0"/>
            <a:cs typeface="Times New Roman" panose="02020603050405020304" pitchFamily="18" charset="0"/>
          </a:endParaRPr>
        </a:p>
      </dsp:txBody>
      <dsp:txXfrm>
        <a:off x="4454581" y="1650265"/>
        <a:ext cx="708728" cy="708728"/>
      </dsp:txXfrm>
    </dsp:sp>
    <dsp:sp modelId="{6A7E2F86-8AA3-47B6-923B-78C175B35EBC}">
      <dsp:nvSpPr>
        <dsp:cNvPr id="0" name=""/>
        <dsp:cNvSpPr/>
      </dsp:nvSpPr>
      <dsp:spPr>
        <a:xfrm rot="5366689">
          <a:off x="2680439" y="2088435"/>
          <a:ext cx="562906" cy="31306"/>
        </a:xfrm>
        <a:custGeom>
          <a:avLst/>
          <a:gdLst/>
          <a:ahLst/>
          <a:cxnLst/>
          <a:rect l="0" t="0" r="0" b="0"/>
          <a:pathLst>
            <a:path>
              <a:moveTo>
                <a:pt x="0" y="15653"/>
              </a:moveTo>
              <a:lnTo>
                <a:pt x="562906" y="1565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aa-ET" sz="1100" kern="1200">
            <a:latin typeface="Times New Roman" panose="02020603050405020304" pitchFamily="18" charset="0"/>
            <a:cs typeface="Times New Roman" panose="02020603050405020304" pitchFamily="18" charset="0"/>
          </a:endParaRPr>
        </a:p>
      </dsp:txBody>
      <dsp:txXfrm>
        <a:off x="2947820" y="2090015"/>
        <a:ext cx="28145" cy="28145"/>
      </dsp:txXfrm>
    </dsp:sp>
    <dsp:sp modelId="{1BED07A4-9B3E-4D4C-91B2-DF01E06E145C}">
      <dsp:nvSpPr>
        <dsp:cNvPr id="0" name=""/>
        <dsp:cNvSpPr/>
      </dsp:nvSpPr>
      <dsp:spPr>
        <a:xfrm>
          <a:off x="2468328" y="2385504"/>
          <a:ext cx="1002294" cy="1002294"/>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Goal-Gradient effect</a:t>
          </a:r>
          <a:endParaRPr lang="aa-ET" sz="1100" kern="1200">
            <a:latin typeface="Times New Roman" panose="02020603050405020304" pitchFamily="18" charset="0"/>
            <a:cs typeface="Times New Roman" panose="02020603050405020304" pitchFamily="18" charset="0"/>
          </a:endParaRPr>
        </a:p>
      </dsp:txBody>
      <dsp:txXfrm>
        <a:off x="2615111" y="2532287"/>
        <a:ext cx="708728" cy="708728"/>
      </dsp:txXfrm>
    </dsp:sp>
    <dsp:sp modelId="{4D0C4BC4-872F-449F-B1C6-C5EEEEEE8568}">
      <dsp:nvSpPr>
        <dsp:cNvPr id="0" name=""/>
        <dsp:cNvSpPr/>
      </dsp:nvSpPr>
      <dsp:spPr>
        <a:xfrm rot="9696998">
          <a:off x="1407240" y="1637304"/>
          <a:ext cx="1099553" cy="31306"/>
        </a:xfrm>
        <a:custGeom>
          <a:avLst/>
          <a:gdLst/>
          <a:ahLst/>
          <a:cxnLst/>
          <a:rect l="0" t="0" r="0" b="0"/>
          <a:pathLst>
            <a:path>
              <a:moveTo>
                <a:pt x="0" y="15653"/>
              </a:moveTo>
              <a:lnTo>
                <a:pt x="1099553" y="1565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aa-ET" sz="1100" kern="1200">
            <a:latin typeface="Times New Roman" panose="02020603050405020304" pitchFamily="18" charset="0"/>
            <a:cs typeface="Times New Roman" panose="02020603050405020304" pitchFamily="18" charset="0"/>
          </a:endParaRPr>
        </a:p>
      </dsp:txBody>
      <dsp:txXfrm rot="10800000">
        <a:off x="1929528" y="1625469"/>
        <a:ext cx="54977" cy="54977"/>
      </dsp:txXfrm>
    </dsp:sp>
    <dsp:sp modelId="{1F07C1F0-20D2-42E7-A3B0-C43E7B4F8337}">
      <dsp:nvSpPr>
        <dsp:cNvPr id="0" name=""/>
        <dsp:cNvSpPr/>
      </dsp:nvSpPr>
      <dsp:spPr>
        <a:xfrm>
          <a:off x="458577" y="1483244"/>
          <a:ext cx="1002294" cy="1002294"/>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Task management </a:t>
          </a:r>
          <a:endParaRPr lang="aa-ET" sz="1100" kern="1200">
            <a:latin typeface="Times New Roman" panose="02020603050405020304" pitchFamily="18" charset="0"/>
            <a:cs typeface="Times New Roman" panose="02020603050405020304" pitchFamily="18" charset="0"/>
          </a:endParaRPr>
        </a:p>
      </dsp:txBody>
      <dsp:txXfrm>
        <a:off x="605360" y="1630027"/>
        <a:ext cx="708728" cy="70872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991C4-C60D-4D09-BB8E-204D7C862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242</Pages>
  <Words>95674</Words>
  <Characters>545346</Characters>
  <Application>Microsoft Office Word</Application>
  <DocSecurity>0</DocSecurity>
  <Lines>4544</Lines>
  <Paragraphs>1279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sekerbayevaaigerim@gmail.com</dc:creator>
  <cp:keywords/>
  <dc:description/>
  <cp:lastModifiedBy>sekerbayevaaigerim@gmail.com</cp:lastModifiedBy>
  <cp:revision>2</cp:revision>
  <cp:lastPrinted>2025-05-15T22:22:00Z</cp:lastPrinted>
  <dcterms:created xsi:type="dcterms:W3CDTF">2025-05-19T06:43:00Z</dcterms:created>
  <dcterms:modified xsi:type="dcterms:W3CDTF">2025-05-19T06:43:00Z</dcterms:modified>
</cp:coreProperties>
</file>