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3.png" ContentType="image/png"/>
  <Override PartName="/word/media/image4.png" ContentType="image/png"/>
  <Override PartName="/word/media/image9.png" ContentType="image/png"/>
  <Override PartName="/word/media/image18.png" ContentType="image/png"/>
  <Override PartName="/word/media/image20.png" ContentType="image/png"/>
  <Override PartName="/word/media/image12.png" ContentType="image/png"/>
  <Override PartName="/word/media/image3.png" ContentType="image/png"/>
  <Override PartName="/word/media/image8.png" ContentType="image/png"/>
  <Override PartName="/word/media/image17.png" ContentType="image/png"/>
  <Override PartName="/word/media/image23.png" ContentType="image/png"/>
  <Override PartName="/word/media/image22.png" ContentType="image/png"/>
  <Override PartName="/word/media/image21.png" ContentType="image/png"/>
  <Override PartName="/word/media/image19.png" ContentType="image/png"/>
  <Override PartName="/word/media/image11.png" ContentType="image/png"/>
  <Override PartName="/word/media/image2.png" ContentType="image/png"/>
  <Override PartName="/word/media/image5.png" ContentType="image/png"/>
  <Override PartName="/word/media/image14.png" ContentType="image/png"/>
  <Override PartName="/word/media/image6.png" ContentType="image/png"/>
  <Override PartName="/word/media/image15.png" ContentType="image/png"/>
  <Override PartName="/word/media/image10.png" ContentType="image/png"/>
  <Override PartName="/word/media/image1.png" ContentType="image/png"/>
  <Override PartName="/word/media/image7.png" ContentType="image/png"/>
  <Override PartName="/word/media/image16.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hd w:val="clear" w:fill="FFFFFF"/>
        <w:ind w:hanging="0" w:start="0" w:end="182"/>
        <w:jc w:val="center"/>
        <w:rPr>
          <w:rFonts w:ascii="Times New Roman" w:hAnsi="Times New Roman"/>
        </w:rPr>
      </w:pPr>
      <w:r>
        <w:rPr>
          <w:rFonts w:ascii="Times New Roman" w:hAnsi="Times New Roman"/>
          <w:spacing w:val="1"/>
          <w:sz w:val="28"/>
          <w:szCs w:val="28"/>
          <w:lang w:val="ru-RU"/>
        </w:rPr>
        <w:t>Казахский Национальный Университет имени аль-Фараби</w:t>
      </w:r>
    </w:p>
    <w:p>
      <w:pPr>
        <w:pStyle w:val="Normal"/>
        <w:shd w:val="clear" w:fill="FFFFFF"/>
        <w:ind w:hanging="0" w:start="0" w:end="182"/>
        <w:jc w:val="center"/>
        <w:rPr>
          <w:rFonts w:ascii="Times New Roman" w:hAnsi="Times New Roman"/>
        </w:rPr>
      </w:pPr>
      <w:r>
        <w:rPr>
          <w:rFonts w:ascii="Times New Roman" w:hAnsi="Times New Roman"/>
          <w:spacing w:val="1"/>
          <w:sz w:val="28"/>
          <w:szCs w:val="28"/>
          <w:lang w:val="ru-RU"/>
        </w:rPr>
        <w:t>Факультет биологии и биотехнологии</w:t>
      </w:r>
    </w:p>
    <w:p>
      <w:pPr>
        <w:pStyle w:val="Normal"/>
        <w:shd w:val="clear" w:fill="FFFFFF"/>
        <w:ind w:hanging="0" w:start="0" w:end="182"/>
        <w:jc w:val="center"/>
        <w:rPr>
          <w:rFonts w:ascii="Times New Roman" w:hAnsi="Times New Roman"/>
        </w:rPr>
      </w:pPr>
      <w:r>
        <w:rPr>
          <w:rFonts w:ascii="Times New Roman" w:hAnsi="Times New Roman"/>
          <w:spacing w:val="1"/>
          <w:sz w:val="28"/>
          <w:szCs w:val="28"/>
          <w:lang w:val="ru-RU"/>
        </w:rPr>
        <w:t>Кафедра молекулярной биологии и генетики</w:t>
      </w:r>
    </w:p>
    <w:p>
      <w:pPr>
        <w:pStyle w:val="Normal"/>
        <w:shd w:val="clear" w:fill="FFFFFF"/>
        <w:tabs>
          <w:tab w:val="clear" w:pos="709"/>
          <w:tab w:val="left" w:pos="3946" w:leader="none"/>
        </w:tabs>
        <w:spacing w:lineRule="exact" w:line="370" w:before="965" w:after="0"/>
        <w:ind w:hanging="0" w:start="0" w:end="0"/>
        <w:jc w:val="both"/>
        <w:rPr>
          <w:rFonts w:ascii="Times New Roman" w:hAnsi="Times New Roman"/>
        </w:rPr>
      </w:pPr>
      <w:r>
        <w:rPr>
          <w:rFonts w:ascii="Times New Roman" w:hAnsi="Times New Roman"/>
          <w:spacing w:val="-6"/>
          <w:sz w:val="28"/>
          <w:szCs w:val="28"/>
          <w:lang w:val="ru-RU"/>
        </w:rPr>
        <w:t xml:space="preserve">УДК </w:t>
      </w:r>
      <w:r>
        <w:rPr>
          <w:rFonts w:eastAsia="Times New Roman" w:cs="Times New Roman" w:ascii="Times New Roman" w:hAnsi="Times New Roman"/>
          <w:spacing w:val="-6"/>
          <w:sz w:val="28"/>
          <w:szCs w:val="28"/>
          <w:lang w:val="ru-RU" w:eastAsia="ru-RU"/>
        </w:rPr>
        <w:t>575.224, 635-2, 632.9</w:t>
      </w:r>
      <w:r>
        <w:rPr>
          <w:rFonts w:ascii="Times New Roman" w:hAnsi="Times New Roman"/>
          <w:sz w:val="28"/>
          <w:szCs w:val="28"/>
          <w:lang w:val="ru-RU"/>
        </w:rPr>
        <w:tab/>
        <w:tab/>
        <w:tab/>
        <w:tab/>
        <w:tab/>
        <w:tab/>
        <w:t>На правах рукописи</w:t>
      </w:r>
    </w:p>
    <w:p>
      <w:pPr>
        <w:pStyle w:val="Normal"/>
        <w:shd w:val="clear" w:fill="FFFFFF"/>
        <w:spacing w:before="336" w:after="0"/>
        <w:ind w:hanging="0" w:start="0" w:end="182"/>
        <w:jc w:val="center"/>
        <w:rPr>
          <w:rFonts w:ascii="Times New Roman" w:hAnsi="Times New Roman"/>
          <w:spacing w:val="7"/>
          <w:sz w:val="28"/>
          <w:szCs w:val="28"/>
          <w:lang w:val="ru-RU"/>
        </w:rPr>
      </w:pPr>
      <w:r>
        <w:rPr>
          <w:rFonts w:ascii="Times New Roman" w:hAnsi="Times New Roman"/>
          <w:spacing w:val="7"/>
          <w:sz w:val="28"/>
          <w:szCs w:val="28"/>
          <w:lang w:val="ru-RU"/>
        </w:rPr>
      </w:r>
    </w:p>
    <w:p>
      <w:pPr>
        <w:pStyle w:val="Normal"/>
        <w:shd w:val="clear" w:fill="FFFFFF"/>
        <w:spacing w:before="336" w:after="0"/>
        <w:ind w:hanging="0" w:start="0" w:end="182"/>
        <w:jc w:val="center"/>
        <w:rPr>
          <w:rFonts w:ascii="Times New Roman" w:hAnsi="Times New Roman"/>
          <w:spacing w:val="7"/>
          <w:sz w:val="28"/>
          <w:szCs w:val="28"/>
          <w:lang w:val="ru-RU"/>
        </w:rPr>
      </w:pPr>
      <w:r>
        <w:rPr>
          <w:rFonts w:ascii="Times New Roman" w:hAnsi="Times New Roman"/>
          <w:spacing w:val="7"/>
          <w:sz w:val="28"/>
          <w:szCs w:val="28"/>
          <w:lang w:val="ru-RU"/>
        </w:rPr>
      </w:r>
    </w:p>
    <w:p>
      <w:pPr>
        <w:pStyle w:val="Normal"/>
        <w:shd w:val="clear" w:fill="FFFFFF"/>
        <w:spacing w:before="336" w:after="0"/>
        <w:ind w:hanging="0" w:start="0" w:end="182"/>
        <w:jc w:val="center"/>
        <w:rPr>
          <w:rFonts w:ascii="Times New Roman" w:hAnsi="Times New Roman"/>
          <w:spacing w:val="7"/>
          <w:sz w:val="28"/>
          <w:szCs w:val="28"/>
          <w:lang w:val="ru-RU"/>
        </w:rPr>
      </w:pPr>
      <w:r>
        <w:rPr>
          <w:rFonts w:ascii="Times New Roman" w:hAnsi="Times New Roman"/>
          <w:spacing w:val="7"/>
          <w:sz w:val="28"/>
          <w:szCs w:val="28"/>
          <w:lang w:val="ru-RU"/>
        </w:rPr>
      </w:r>
    </w:p>
    <w:p>
      <w:pPr>
        <w:pStyle w:val="Normal"/>
        <w:jc w:val="center"/>
        <w:rPr>
          <w:rFonts w:ascii="Times New Roman" w:hAnsi="Times New Roman"/>
        </w:rPr>
      </w:pPr>
      <w:r>
        <w:rPr>
          <w:rFonts w:ascii="Times New Roman" w:hAnsi="Times New Roman"/>
          <w:b/>
          <w:bCs/>
          <w:sz w:val="28"/>
          <w:szCs w:val="28"/>
          <w:lang w:val="ru-RU"/>
        </w:rPr>
        <w:t>ПОЖАРСКИЙ АЛЕКСАНДР СЕРГЕЕВИЧ</w:t>
      </w:r>
    </w:p>
    <w:p>
      <w:pPr>
        <w:pStyle w:val="Normal"/>
        <w:jc w:val="center"/>
        <w:rPr>
          <w:rFonts w:ascii="Times New Roman" w:hAnsi="Times New Roman"/>
          <w:b/>
          <w:bCs/>
          <w:sz w:val="28"/>
          <w:szCs w:val="28"/>
          <w:lang w:val="ru-RU"/>
        </w:rPr>
      </w:pPr>
      <w:r>
        <w:rPr>
          <w:rFonts w:ascii="Times New Roman" w:hAnsi="Times New Roman"/>
          <w:b/>
          <w:bCs/>
          <w:sz w:val="28"/>
          <w:szCs w:val="28"/>
          <w:lang w:val="ru-RU"/>
        </w:rPr>
      </w:r>
    </w:p>
    <w:p>
      <w:pPr>
        <w:pStyle w:val="Normal"/>
        <w:jc w:val="center"/>
        <w:rPr>
          <w:rFonts w:ascii="Times New Roman" w:hAnsi="Times New Roman"/>
          <w:b/>
          <w:bCs/>
          <w:sz w:val="28"/>
          <w:szCs w:val="28"/>
          <w:lang w:val="ru-RU"/>
        </w:rPr>
      </w:pPr>
      <w:r>
        <w:rPr>
          <w:rFonts w:ascii="Times New Roman" w:hAnsi="Times New Roman"/>
          <w:b/>
          <w:bCs/>
          <w:sz w:val="28"/>
          <w:szCs w:val="28"/>
          <w:lang w:val="ru-RU"/>
        </w:rPr>
      </w:r>
    </w:p>
    <w:p>
      <w:pPr>
        <w:pStyle w:val="Normal"/>
        <w:jc w:val="center"/>
        <w:rPr>
          <w:rFonts w:ascii="Times New Roman" w:hAnsi="Times New Roman"/>
        </w:rPr>
      </w:pPr>
      <w:r>
        <w:rPr>
          <w:rFonts w:ascii="Times New Roman" w:hAnsi="Times New Roman"/>
          <w:b/>
          <w:bCs/>
          <w:sz w:val="28"/>
          <w:szCs w:val="28"/>
          <w:lang w:val="ru-RU"/>
        </w:rPr>
        <w:t>Изучение генофонда и редактирование генома сортов томата казахстанской селекции</w:t>
      </w:r>
    </w:p>
    <w:p>
      <w:pPr>
        <w:pStyle w:val="Normal"/>
        <w:jc w:val="center"/>
        <w:rPr>
          <w:rFonts w:ascii="Times New Roman" w:hAnsi="Times New Roman"/>
          <w:sz w:val="28"/>
          <w:szCs w:val="28"/>
          <w:lang w:val="ru-RU"/>
        </w:rPr>
      </w:pPr>
      <w:r>
        <w:rPr>
          <w:rFonts w:ascii="Times New Roman" w:hAnsi="Times New Roman"/>
          <w:sz w:val="28"/>
          <w:szCs w:val="28"/>
          <w:lang w:val="ru-RU"/>
        </w:rPr>
      </w:r>
    </w:p>
    <w:p>
      <w:pPr>
        <w:pStyle w:val="Normal"/>
        <w:jc w:val="center"/>
        <w:rPr>
          <w:rFonts w:ascii="Times New Roman" w:hAnsi="Times New Roman"/>
        </w:rPr>
      </w:pPr>
      <w:r>
        <w:rPr>
          <w:rFonts w:ascii="Times New Roman" w:hAnsi="Times New Roman"/>
          <w:sz w:val="28"/>
          <w:szCs w:val="28"/>
          <w:lang w:val="ru-RU"/>
        </w:rPr>
        <w:t>8D05105 – Биотехнология</w:t>
      </w:r>
    </w:p>
    <w:p>
      <w:pPr>
        <w:pStyle w:val="Normal"/>
        <w:jc w:val="center"/>
        <w:rPr>
          <w:rFonts w:ascii="Times New Roman" w:hAnsi="Times New Roman"/>
        </w:rPr>
      </w:pPr>
      <w:r>
        <w:rPr>
          <w:rFonts w:ascii="Times New Roman" w:hAnsi="Times New Roman"/>
          <w:sz w:val="28"/>
          <w:szCs w:val="28"/>
          <w:lang w:val="ru-RU"/>
        </w:rPr>
        <w:t>Диссертация на соискание ученой степени</w:t>
        <w:br/>
        <w:t>доктора философии (PhD)</w:t>
      </w:r>
    </w:p>
    <w:p>
      <w:pPr>
        <w:pStyle w:val="Normal"/>
        <w:shd w:val="clear" w:fill="FFFFFF"/>
        <w:spacing w:lineRule="exact" w:line="187"/>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lineRule="exact" w:line="187"/>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lineRule="exact" w:line="187"/>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lineRule="exact" w:line="187"/>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lineRule="exact" w:line="187"/>
        <w:jc w:val="end"/>
        <w:rPr>
          <w:rFonts w:ascii="Times New Roman" w:hAnsi="Times New Roman"/>
          <w:sz w:val="28"/>
          <w:szCs w:val="28"/>
          <w:lang w:val="ru-RU"/>
        </w:rPr>
      </w:pPr>
      <w:r>
        <w:rPr>
          <w:rFonts w:ascii="Times New Roman" w:hAnsi="Times New Roman"/>
          <w:sz w:val="28"/>
          <w:szCs w:val="28"/>
          <w:lang w:val="ru-RU"/>
        </w:rPr>
      </w:r>
    </w:p>
    <w:p>
      <w:pPr>
        <w:pStyle w:val="Normal"/>
        <w:jc w:val="end"/>
        <w:rPr>
          <w:rFonts w:ascii="Times New Roman" w:hAnsi="Times New Roman"/>
        </w:rPr>
      </w:pPr>
      <w:r>
        <w:rPr>
          <w:rFonts w:ascii="Times New Roman" w:hAnsi="Times New Roman"/>
          <w:sz w:val="28"/>
          <w:szCs w:val="28"/>
          <w:lang w:val="ru-RU"/>
        </w:rPr>
        <w:tab/>
        <w:tab/>
        <w:tab/>
        <w:tab/>
        <w:tab/>
        <w:tab/>
        <w:t xml:space="preserve">Научный консультант: </w:t>
      </w:r>
    </w:p>
    <w:p>
      <w:pPr>
        <w:pStyle w:val="Normal"/>
        <w:jc w:val="end"/>
        <w:rPr>
          <w:rFonts w:ascii="Times New Roman" w:hAnsi="Times New Roman"/>
        </w:rPr>
      </w:pPr>
      <w:r>
        <w:rPr>
          <w:rFonts w:ascii="Times New Roman" w:hAnsi="Times New Roman"/>
          <w:sz w:val="28"/>
          <w:szCs w:val="28"/>
          <w:lang w:val="ru-RU"/>
        </w:rPr>
        <w:tab/>
        <w:tab/>
        <w:tab/>
        <w:tab/>
        <w:tab/>
        <w:tab/>
        <w:t>Гриценко Д. А., PhD, ассоц. профессор</w:t>
      </w:r>
    </w:p>
    <w:p>
      <w:pPr>
        <w:pStyle w:val="Normal"/>
        <w:jc w:val="end"/>
        <w:rPr>
          <w:rFonts w:ascii="Times New Roman" w:hAnsi="Times New Roman"/>
          <w:sz w:val="28"/>
          <w:szCs w:val="28"/>
          <w:lang w:val="ru-RU"/>
        </w:rPr>
      </w:pPr>
      <w:r>
        <w:rPr>
          <w:rFonts w:ascii="Times New Roman" w:hAnsi="Times New Roman"/>
          <w:sz w:val="28"/>
          <w:szCs w:val="28"/>
          <w:lang w:val="ru-RU"/>
        </w:rPr>
      </w:r>
    </w:p>
    <w:p>
      <w:pPr>
        <w:pStyle w:val="Normal"/>
        <w:jc w:val="end"/>
        <w:rPr>
          <w:rFonts w:ascii="Times New Roman" w:hAnsi="Times New Roman"/>
        </w:rPr>
      </w:pPr>
      <w:r>
        <w:rPr>
          <w:rFonts w:ascii="Times New Roman" w:hAnsi="Times New Roman"/>
          <w:sz w:val="28"/>
          <w:szCs w:val="28"/>
          <w:lang w:val="ru-RU"/>
        </w:rPr>
        <w:tab/>
        <w:tab/>
        <w:tab/>
        <w:tab/>
        <w:tab/>
        <w:tab/>
        <w:t>Зарубежный научный консультант:</w:t>
      </w:r>
    </w:p>
    <w:p>
      <w:pPr>
        <w:pStyle w:val="Normal"/>
        <w:jc w:val="end"/>
        <w:rPr>
          <w:rFonts w:ascii="Times New Roman" w:hAnsi="Times New Roman"/>
        </w:rPr>
      </w:pPr>
      <w:r>
        <w:rPr>
          <w:rFonts w:ascii="Times New Roman" w:hAnsi="Times New Roman"/>
          <w:sz w:val="28"/>
          <w:szCs w:val="28"/>
          <w:lang w:val="ru-RU"/>
        </w:rPr>
        <w:tab/>
        <w:tab/>
        <w:tab/>
        <w:tab/>
        <w:tab/>
        <w:tab/>
      </w:r>
      <w:r>
        <w:rPr>
          <w:rFonts w:ascii="Times New Roman" w:hAnsi="Times New Roman"/>
          <w:b w:val="false"/>
          <w:sz w:val="28"/>
          <w:szCs w:val="28"/>
          <w:lang w:val="ru-RU"/>
        </w:rPr>
        <w:t>Календарь Р.Н., PhD, адъюнкт профессор</w:t>
      </w:r>
    </w:p>
    <w:p>
      <w:pPr>
        <w:pStyle w:val="Normal"/>
        <w:jc w:val="end"/>
        <w:rPr>
          <w:rFonts w:ascii="Times New Roman" w:hAnsi="Times New Roman"/>
          <w:lang w:val="ru-RU"/>
        </w:rPr>
      </w:pPr>
      <w:r>
        <w:rPr>
          <w:rFonts w:ascii="Times New Roman" w:hAnsi="Times New Roman"/>
          <w:lang w:val="ru-RU"/>
        </w:rPr>
      </w:r>
    </w:p>
    <w:p>
      <w:pPr>
        <w:pStyle w:val="Normal"/>
        <w:shd w:val="clear" w:fill="FFFFFF"/>
        <w:spacing w:lineRule="exact" w:line="187" w:before="139" w:after="0"/>
        <w:ind w:hanging="0" w:start="38" w:end="0"/>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lineRule="exact" w:line="187" w:before="139" w:after="0"/>
        <w:ind w:hanging="0" w:start="38" w:end="0"/>
        <w:jc w:val="end"/>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sz w:val="28"/>
          <w:szCs w:val="28"/>
          <w:lang w:val="ru-RU"/>
        </w:rPr>
      </w:pPr>
      <w:r>
        <w:rPr>
          <w:rFonts w:ascii="Times New Roman" w:hAnsi="Times New Roman"/>
          <w:sz w:val="28"/>
          <w:szCs w:val="28"/>
          <w:lang w:val="ru-RU"/>
        </w:rPr>
      </w:r>
    </w:p>
    <w:p>
      <w:pPr>
        <w:pStyle w:val="Normal"/>
        <w:shd w:val="clear" w:fill="FFFFFF"/>
        <w:spacing w:before="139" w:after="0"/>
        <w:ind w:hanging="0" w:start="38" w:end="0"/>
        <w:jc w:val="center"/>
        <w:rPr>
          <w:rFonts w:ascii="Times New Roman" w:hAnsi="Times New Roman"/>
        </w:rPr>
      </w:pPr>
      <w:r>
        <w:rPr>
          <w:rFonts w:ascii="Times New Roman" w:hAnsi="Times New Roman"/>
          <w:sz w:val="28"/>
          <w:szCs w:val="28"/>
          <w:lang w:val="ru-RU"/>
        </w:rPr>
        <w:t>Республика Казахстан</w:t>
      </w:r>
    </w:p>
    <w:p>
      <w:pPr>
        <w:pStyle w:val="Normal"/>
        <w:shd w:val="clear" w:fill="FFFFFF"/>
        <w:spacing w:before="139" w:after="0"/>
        <w:ind w:hanging="0" w:start="38" w:end="0"/>
        <w:jc w:val="center"/>
        <w:rPr>
          <w:rFonts w:ascii="Times New Roman" w:hAnsi="Times New Roman"/>
        </w:rPr>
      </w:pPr>
      <w:r>
        <w:rPr>
          <w:rFonts w:ascii="Times New Roman" w:hAnsi="Times New Roman"/>
          <w:sz w:val="28"/>
          <w:szCs w:val="28"/>
          <w:lang w:val="ru-RU"/>
        </w:rPr>
        <w:t>Алматы, 2025</w:t>
      </w:r>
      <w:r>
        <w:br w:type="page"/>
      </w:r>
    </w:p>
    <w:p>
      <w:pPr>
        <w:pStyle w:val="Normal"/>
        <w:spacing w:before="0" w:after="0"/>
        <w:ind w:hanging="0" w:start="0" w:end="0"/>
        <w:jc w:val="center"/>
        <w:rPr>
          <w:rFonts w:ascii="Times New Roman" w:hAnsi="Times New Roman"/>
        </w:rPr>
      </w:pPr>
      <w:r>
        <w:rPr>
          <w:rFonts w:ascii="Times New Roman" w:hAnsi="Times New Roman"/>
          <w:b/>
          <w:bCs/>
          <w:sz w:val="28"/>
          <w:szCs w:val="28"/>
          <w:lang w:val="ru-RU"/>
        </w:rPr>
        <w:t>СОДЕРЖАНИЕ</w:t>
      </w:r>
    </w:p>
    <w:p>
      <w:pPr>
        <w:pStyle w:val="Normal"/>
        <w:ind w:hanging="0" w:start="0" w:end="0"/>
        <w:jc w:val="center"/>
        <w:rPr>
          <w:rFonts w:ascii="Times New Roman" w:hAnsi="Times New Roman"/>
          <w:sz w:val="28"/>
          <w:szCs w:val="28"/>
          <w:lang w:val="ru-RU"/>
        </w:rPr>
      </w:pPr>
      <w:r>
        <w:rPr>
          <w:rFonts w:ascii="Times New Roman" w:hAnsi="Times New Roman"/>
          <w:sz w:val="28"/>
          <w:szCs w:val="28"/>
          <w:lang w:val="ru-RU"/>
        </w:rPr>
      </w:r>
    </w:p>
    <w:tbl>
      <w:tblPr>
        <w:tblW w:w="9641" w:type="dxa"/>
        <w:jc w:val="start"/>
        <w:tblInd w:w="0" w:type="dxa"/>
        <w:tblLayout w:type="fixed"/>
        <w:tblCellMar>
          <w:top w:w="0" w:type="dxa"/>
          <w:start w:w="0" w:type="dxa"/>
          <w:bottom w:w="0" w:type="dxa"/>
          <w:end w:w="0" w:type="dxa"/>
        </w:tblCellMar>
      </w:tblPr>
      <w:tblGrid>
        <w:gridCol w:w="9127"/>
        <w:gridCol w:w="513"/>
      </w:tblGrid>
      <w:tr>
        <w:trPr/>
        <w:tc>
          <w:tcPr>
            <w:tcW w:w="9127" w:type="dxa"/>
            <w:tcBorders/>
          </w:tcPr>
          <w:p>
            <w:pPr>
              <w:pStyle w:val="Style10"/>
              <w:widowControl w:val="false"/>
              <w:shd w:val="clear" w:fill="FFFFFF"/>
              <w:tabs>
                <w:tab w:val="clear" w:pos="709"/>
                <w:tab w:val="left" w:pos="567" w:leader="none"/>
              </w:tabs>
              <w:bidi w:val="0"/>
              <w:spacing w:lineRule="auto" w:line="240" w:before="0" w:after="0"/>
              <w:ind w:hanging="0" w:start="0" w:end="0"/>
              <w:contextualSpacing/>
              <w:jc w:val="start"/>
              <w:rPr>
                <w:rFonts w:ascii="Times New Roman" w:hAnsi="Times New Roman"/>
              </w:rPr>
            </w:pPr>
            <w:r>
              <w:rPr>
                <w:rFonts w:eastAsia="Times New Roman" w:cs="Times New Roman" w:ascii="Times New Roman" w:hAnsi="Times New Roman"/>
                <w:b w:val="false"/>
                <w:bCs w:val="false"/>
                <w:sz w:val="28"/>
                <w:szCs w:val="28"/>
                <w:lang w:val="ru-RU" w:eastAsia="ru-RU"/>
              </w:rPr>
              <w:t>НОРМАТИВНЫЕ ССЫЛКИ……………………………………………………</w:t>
            </w:r>
          </w:p>
        </w:tc>
        <w:tc>
          <w:tcPr>
            <w:tcW w:w="513" w:type="dxa"/>
            <w:tcBorders/>
          </w:tcPr>
          <w:p>
            <w:pPr>
              <w:pStyle w:val="TableContents"/>
              <w:jc w:val="end"/>
              <w:rPr>
                <w:rFonts w:ascii="Times New Roman" w:hAnsi="Times New Roman"/>
              </w:rPr>
            </w:pPr>
            <w:r>
              <w:rPr>
                <w:rFonts w:ascii="Times New Roman" w:hAnsi="Times New Roman"/>
                <w:sz w:val="28"/>
                <w:szCs w:val="28"/>
                <w:lang w:val="ru-RU"/>
              </w:rPr>
              <w:t>4</w:t>
            </w:r>
          </w:p>
        </w:tc>
      </w:tr>
      <w:tr>
        <w:trPr/>
        <w:tc>
          <w:tcPr>
            <w:tcW w:w="9127" w:type="dxa"/>
            <w:tcBorders/>
          </w:tcPr>
          <w:p>
            <w:pPr>
              <w:pStyle w:val="Style10"/>
              <w:widowControl w:val="false"/>
              <w:shd w:val="clear" w:fill="FFFFFF"/>
              <w:tabs>
                <w:tab w:val="clear" w:pos="709"/>
                <w:tab w:val="left" w:pos="567" w:leader="none"/>
              </w:tabs>
              <w:bidi w:val="0"/>
              <w:spacing w:lineRule="auto" w:line="240" w:before="0" w:after="0"/>
              <w:ind w:hanging="0" w:start="0" w:end="0"/>
              <w:contextualSpacing/>
              <w:jc w:val="start"/>
              <w:rPr>
                <w:rFonts w:ascii="Times New Roman" w:hAnsi="Times New Roman"/>
              </w:rPr>
            </w:pPr>
            <w:r>
              <w:rPr>
                <w:rFonts w:eastAsia="Times New Roman" w:cs="Times New Roman" w:ascii="Times New Roman" w:hAnsi="Times New Roman"/>
                <w:b w:val="false"/>
                <w:bCs w:val="false"/>
                <w:sz w:val="28"/>
                <w:szCs w:val="28"/>
                <w:lang w:val="ru-RU" w:eastAsia="ru-RU"/>
              </w:rPr>
              <w:t>ОПРЕДЕЛЕНИЯ, ОБОЗНАЧЕНИЯ И СОКРАЩЕНИЯ………………………</w:t>
            </w:r>
          </w:p>
        </w:tc>
        <w:tc>
          <w:tcPr>
            <w:tcW w:w="513" w:type="dxa"/>
            <w:tcBorders/>
          </w:tcPr>
          <w:p>
            <w:pPr>
              <w:pStyle w:val="TableContents"/>
              <w:jc w:val="end"/>
              <w:rPr>
                <w:rFonts w:ascii="Times New Roman" w:hAnsi="Times New Roman"/>
              </w:rPr>
            </w:pPr>
            <w:r>
              <w:rPr>
                <w:rFonts w:ascii="Times New Roman" w:hAnsi="Times New Roman"/>
                <w:sz w:val="28"/>
                <w:szCs w:val="28"/>
                <w:lang w:val="ru-RU"/>
              </w:rPr>
              <w:t>5</w:t>
            </w:r>
          </w:p>
        </w:tc>
      </w:tr>
      <w:tr>
        <w:trPr/>
        <w:tc>
          <w:tcPr>
            <w:tcW w:w="9127" w:type="dxa"/>
            <w:tcBorders/>
          </w:tcPr>
          <w:p>
            <w:pPr>
              <w:pStyle w:val="Normal"/>
              <w:ind w:hanging="0" w:start="0" w:end="0"/>
              <w:jc w:val="start"/>
              <w:rPr>
                <w:rFonts w:ascii="Times New Roman" w:hAnsi="Times New Roman"/>
              </w:rPr>
            </w:pPr>
            <w:r>
              <w:rPr>
                <w:rFonts w:ascii="Times New Roman" w:hAnsi="Times New Roman"/>
                <w:b w:val="false"/>
                <w:bCs w:val="false"/>
                <w:sz w:val="28"/>
                <w:szCs w:val="28"/>
                <w:lang w:val="ru-RU"/>
              </w:rPr>
              <w:t>ВВЕДЕНИЕ……………………………………………………………………….</w:t>
            </w:r>
          </w:p>
        </w:tc>
        <w:tc>
          <w:tcPr>
            <w:tcW w:w="513" w:type="dxa"/>
            <w:tcBorders/>
          </w:tcPr>
          <w:p>
            <w:pPr>
              <w:pStyle w:val="TableContents"/>
              <w:jc w:val="end"/>
              <w:rPr>
                <w:rFonts w:ascii="Times New Roman" w:hAnsi="Times New Roman"/>
              </w:rPr>
            </w:pPr>
            <w:r>
              <w:rPr>
                <w:rFonts w:ascii="Times New Roman" w:hAnsi="Times New Roman"/>
                <w:sz w:val="28"/>
                <w:szCs w:val="28"/>
                <w:lang w:val="ru-RU"/>
              </w:rPr>
              <w:t>7</w:t>
            </w:r>
          </w:p>
        </w:tc>
      </w:tr>
      <w:tr>
        <w:trPr/>
        <w:tc>
          <w:tcPr>
            <w:tcW w:w="9127" w:type="dxa"/>
            <w:tcBorders/>
          </w:tcPr>
          <w:p>
            <w:pPr>
              <w:pStyle w:val="TableContents"/>
              <w:jc w:val="both"/>
              <w:rPr>
                <w:rFonts w:ascii="Times New Roman" w:hAnsi="Times New Roman"/>
              </w:rPr>
            </w:pPr>
            <w:r>
              <w:rPr>
                <w:rFonts w:ascii="Times New Roman" w:hAnsi="Times New Roman"/>
                <w:sz w:val="28"/>
                <w:szCs w:val="28"/>
                <w:lang w:val="ru-RU"/>
              </w:rPr>
              <w:t>1 ОБЗОР ЛИТЕРАТУРЫ…………………………………………………………</w:t>
            </w:r>
          </w:p>
        </w:tc>
        <w:tc>
          <w:tcPr>
            <w:tcW w:w="513" w:type="dxa"/>
            <w:tcBorders/>
          </w:tcPr>
          <w:p>
            <w:pPr>
              <w:pStyle w:val="TableContents"/>
              <w:jc w:val="end"/>
              <w:rPr>
                <w:rFonts w:ascii="Times New Roman" w:hAnsi="Times New Roman"/>
              </w:rPr>
            </w:pPr>
            <w:r>
              <w:rPr>
                <w:rFonts w:ascii="Times New Roman" w:hAnsi="Times New Roman"/>
                <w:sz w:val="28"/>
                <w:szCs w:val="28"/>
                <w:lang w:val="ru-RU"/>
              </w:rPr>
              <w:t>12</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 xml:space="preserve">1.1 Томат </w:t>
            </w:r>
            <w:r>
              <w:rPr>
                <w:rFonts w:ascii="Times New Roman" w:hAnsi="Times New Roman"/>
                <w:i/>
                <w:iCs/>
                <w:sz w:val="28"/>
                <w:szCs w:val="28"/>
                <w:lang w:val="ru-RU"/>
              </w:rPr>
              <w:t xml:space="preserve">Solanum lycopersicum </w:t>
            </w:r>
            <w:r>
              <w:rPr>
                <w:rFonts w:ascii="Times New Roman" w:hAnsi="Times New Roman"/>
                <w:i w:val="false"/>
                <w:iCs w:val="false"/>
                <w:sz w:val="28"/>
                <w:szCs w:val="28"/>
                <w:lang w:val="ru-RU"/>
              </w:rPr>
              <w:t>L………………………………………….</w:t>
            </w:r>
          </w:p>
        </w:tc>
        <w:tc>
          <w:tcPr>
            <w:tcW w:w="513" w:type="dxa"/>
            <w:tcBorders/>
          </w:tcPr>
          <w:p>
            <w:pPr>
              <w:pStyle w:val="TableContents"/>
              <w:jc w:val="end"/>
              <w:rPr>
                <w:rFonts w:ascii="Times New Roman" w:hAnsi="Times New Roman"/>
              </w:rPr>
            </w:pPr>
            <w:r>
              <w:rPr>
                <w:rFonts w:ascii="Times New Roman" w:hAnsi="Times New Roman"/>
                <w:sz w:val="28"/>
                <w:szCs w:val="28"/>
                <w:lang w:val="ru-RU"/>
              </w:rPr>
              <w:t xml:space="preserve"> </w:t>
            </w:r>
            <w:r>
              <w:rPr>
                <w:rFonts w:ascii="Times New Roman" w:hAnsi="Times New Roman"/>
                <w:sz w:val="28"/>
                <w:szCs w:val="28"/>
                <w:lang w:val="ru-RU"/>
              </w:rPr>
              <w:t>12</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1.2 Мучнистая роса томата…………………………………………………</w:t>
            </w:r>
          </w:p>
        </w:tc>
        <w:tc>
          <w:tcPr>
            <w:tcW w:w="513" w:type="dxa"/>
            <w:tcBorders/>
          </w:tcPr>
          <w:p>
            <w:pPr>
              <w:pStyle w:val="TableContents"/>
              <w:jc w:val="end"/>
              <w:rPr>
                <w:rFonts w:ascii="Times New Roman" w:hAnsi="Times New Roman"/>
              </w:rPr>
            </w:pPr>
            <w:r>
              <w:rPr>
                <w:rFonts w:ascii="Times New Roman" w:hAnsi="Times New Roman"/>
                <w:sz w:val="28"/>
                <w:szCs w:val="28"/>
                <w:lang w:val="ru-RU"/>
              </w:rPr>
              <w:t>13</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1.3 Генетические маркеры устойчивости томата к патогенам…………..</w:t>
            </w:r>
          </w:p>
        </w:tc>
        <w:tc>
          <w:tcPr>
            <w:tcW w:w="513" w:type="dxa"/>
            <w:tcBorders/>
          </w:tcPr>
          <w:p>
            <w:pPr>
              <w:pStyle w:val="TableContents"/>
              <w:jc w:val="end"/>
              <w:rPr>
                <w:rFonts w:ascii="Times New Roman" w:hAnsi="Times New Roman"/>
              </w:rPr>
            </w:pPr>
            <w:r>
              <w:rPr>
                <w:rFonts w:ascii="Times New Roman" w:hAnsi="Times New Roman"/>
                <w:sz w:val="28"/>
                <w:szCs w:val="28"/>
                <w:lang w:val="ru-RU"/>
              </w:rPr>
              <w:t>17</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1.4 Генетика устойчивости томата к мучнистой росе…………………….</w:t>
            </w:r>
          </w:p>
        </w:tc>
        <w:tc>
          <w:tcPr>
            <w:tcW w:w="513" w:type="dxa"/>
            <w:tcBorders/>
          </w:tcPr>
          <w:p>
            <w:pPr>
              <w:pStyle w:val="TableContents"/>
              <w:jc w:val="end"/>
              <w:rPr>
                <w:rFonts w:ascii="Times New Roman" w:hAnsi="Times New Roman"/>
              </w:rPr>
            </w:pPr>
            <w:r>
              <w:rPr>
                <w:rFonts w:ascii="Times New Roman" w:hAnsi="Times New Roman"/>
                <w:sz w:val="28"/>
                <w:szCs w:val="28"/>
                <w:lang w:val="ru-RU"/>
              </w:rPr>
              <w:t>19</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1.5 MLO гены как фактор восприимчивости к мучнистой росе к покрытосеменных растений…………………………………………………..</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21</w:t>
            </w:r>
          </w:p>
        </w:tc>
      </w:tr>
      <w:tr>
        <w:trPr/>
        <w:tc>
          <w:tcPr>
            <w:tcW w:w="9127" w:type="dxa"/>
            <w:tcBorders/>
          </w:tcPr>
          <w:p>
            <w:pPr>
              <w:pStyle w:val="Normal"/>
              <w:tabs>
                <w:tab w:val="clear" w:pos="709"/>
                <w:tab w:val="left" w:pos="630" w:leader="none"/>
              </w:tabs>
              <w:suppressAutoHyphens w:val="false"/>
              <w:ind w:hanging="0" w:start="567" w:end="0"/>
              <w:jc w:val="both"/>
              <w:rPr>
                <w:rFonts w:ascii="Times New Roman" w:hAnsi="Times New Roman"/>
              </w:rPr>
            </w:pPr>
            <w:r>
              <w:rPr>
                <w:rFonts w:ascii="Times New Roman" w:hAnsi="Times New Roman"/>
                <w:i w:val="false"/>
                <w:iCs w:val="false"/>
                <w:sz w:val="28"/>
                <w:szCs w:val="28"/>
                <w:lang w:val="ru-RU"/>
              </w:rPr>
              <w:t>1.6 Система CRISPR/Cas9 для редактирования генома растений……….</w:t>
            </w:r>
          </w:p>
        </w:tc>
        <w:tc>
          <w:tcPr>
            <w:tcW w:w="513" w:type="dxa"/>
            <w:tcBorders/>
          </w:tcPr>
          <w:p>
            <w:pPr>
              <w:pStyle w:val="TableContents"/>
              <w:jc w:val="end"/>
              <w:rPr>
                <w:rFonts w:ascii="Times New Roman" w:hAnsi="Times New Roman"/>
              </w:rPr>
            </w:pPr>
            <w:r>
              <w:rPr>
                <w:rFonts w:ascii="Times New Roman" w:hAnsi="Times New Roman"/>
                <w:sz w:val="28"/>
                <w:szCs w:val="28"/>
                <w:lang w:val="ru-RU"/>
              </w:rPr>
              <w:t>23</w:t>
            </w:r>
          </w:p>
        </w:tc>
      </w:tr>
      <w:tr>
        <w:trPr/>
        <w:tc>
          <w:tcPr>
            <w:tcW w:w="9127" w:type="dxa"/>
            <w:tcBorders/>
          </w:tcPr>
          <w:p>
            <w:pPr>
              <w:pStyle w:val="TableContents"/>
              <w:jc w:val="both"/>
              <w:rPr>
                <w:rFonts w:ascii="Times New Roman" w:hAnsi="Times New Roman"/>
              </w:rPr>
            </w:pPr>
            <w:r>
              <w:rPr>
                <w:rFonts w:ascii="Times New Roman" w:hAnsi="Times New Roman"/>
                <w:sz w:val="28"/>
                <w:szCs w:val="28"/>
                <w:lang w:val="ru-RU"/>
              </w:rPr>
              <w:t>2 МАТЕРИАЛЫ И МЕТОДЫ…………………………………………………...</w:t>
            </w:r>
          </w:p>
        </w:tc>
        <w:tc>
          <w:tcPr>
            <w:tcW w:w="513" w:type="dxa"/>
            <w:tcBorders/>
          </w:tcPr>
          <w:p>
            <w:pPr>
              <w:pStyle w:val="TableContents"/>
              <w:jc w:val="end"/>
              <w:rPr>
                <w:rFonts w:ascii="Times New Roman" w:hAnsi="Times New Roman"/>
              </w:rPr>
            </w:pPr>
            <w:r>
              <w:rPr>
                <w:rFonts w:ascii="Times New Roman" w:hAnsi="Times New Roman"/>
                <w:sz w:val="28"/>
                <w:szCs w:val="28"/>
                <w:lang w:val="ru-RU"/>
              </w:rPr>
              <w:t>32</w:t>
            </w:r>
          </w:p>
        </w:tc>
      </w:tr>
      <w:tr>
        <w:trPr/>
        <w:tc>
          <w:tcPr>
            <w:tcW w:w="9127" w:type="dxa"/>
            <w:tcBorders/>
          </w:tcPr>
          <w:p>
            <w:pPr>
              <w:pStyle w:val="TableContents"/>
              <w:suppressLineNumbers/>
              <w:suppressAutoHyphens w:val="false"/>
              <w:ind w:hanging="0" w:start="624" w:end="0"/>
              <w:jc w:val="both"/>
              <w:rPr>
                <w:rFonts w:ascii="Times New Roman" w:hAnsi="Times New Roman"/>
              </w:rPr>
            </w:pPr>
            <w:r>
              <w:rPr>
                <w:rFonts w:ascii="Times New Roman" w:hAnsi="Times New Roman"/>
                <w:sz w:val="28"/>
                <w:szCs w:val="28"/>
                <w:lang w:val="ru-RU"/>
              </w:rPr>
              <w:t>2.1 Материалы……………………………………………………………...</w:t>
            </w:r>
          </w:p>
        </w:tc>
        <w:tc>
          <w:tcPr>
            <w:tcW w:w="513" w:type="dxa"/>
            <w:tcBorders/>
          </w:tcPr>
          <w:p>
            <w:pPr>
              <w:pStyle w:val="TableContents"/>
              <w:jc w:val="end"/>
              <w:rPr>
                <w:rFonts w:ascii="Times New Roman" w:hAnsi="Times New Roman"/>
              </w:rPr>
            </w:pPr>
            <w:r>
              <w:rPr>
                <w:rFonts w:ascii="Times New Roman" w:hAnsi="Times New Roman"/>
                <w:sz w:val="28"/>
                <w:szCs w:val="28"/>
                <w:lang w:val="ru-RU"/>
              </w:rPr>
              <w:t>32</w:t>
            </w:r>
          </w:p>
        </w:tc>
      </w:tr>
      <w:tr>
        <w:trPr/>
        <w:tc>
          <w:tcPr>
            <w:tcW w:w="9127" w:type="dxa"/>
            <w:tcBorders/>
          </w:tcPr>
          <w:p>
            <w:pPr>
              <w:pStyle w:val="TableContents"/>
              <w:suppressLineNumbers/>
              <w:suppressAutoHyphens w:val="false"/>
              <w:ind w:hanging="0" w:start="624" w:end="0"/>
              <w:jc w:val="both"/>
              <w:rPr>
                <w:rFonts w:ascii="Times New Roman" w:hAnsi="Times New Roman"/>
              </w:rPr>
            </w:pPr>
            <w:r>
              <w:rPr>
                <w:rFonts w:ascii="Times New Roman" w:hAnsi="Times New Roman"/>
                <w:sz w:val="28"/>
                <w:szCs w:val="28"/>
                <w:lang w:val="ru-RU"/>
              </w:rPr>
              <w:t>2.2 Методы………………………………………………………………….</w:t>
            </w:r>
          </w:p>
        </w:tc>
        <w:tc>
          <w:tcPr>
            <w:tcW w:w="513" w:type="dxa"/>
            <w:tcBorders/>
          </w:tcPr>
          <w:p>
            <w:pPr>
              <w:pStyle w:val="TableContents"/>
              <w:jc w:val="end"/>
              <w:rPr>
                <w:rFonts w:ascii="Times New Roman" w:hAnsi="Times New Roman"/>
              </w:rPr>
            </w:pPr>
            <w:r>
              <w:rPr>
                <w:rFonts w:ascii="Times New Roman" w:hAnsi="Times New Roman"/>
                <w:sz w:val="28"/>
                <w:szCs w:val="28"/>
                <w:lang w:val="ru-RU"/>
              </w:rPr>
              <w:t>37</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sz w:val="28"/>
                <w:szCs w:val="28"/>
                <w:lang w:val="ru-RU"/>
              </w:rPr>
              <w:t xml:space="preserve">2.2.1 </w:t>
            </w:r>
            <w:r>
              <w:rPr>
                <w:rFonts w:ascii="Times New Roman" w:hAnsi="Times New Roman"/>
                <w:b w:val="false"/>
                <w:sz w:val="28"/>
                <w:szCs w:val="28"/>
                <w:lang w:val="ru-RU"/>
              </w:rPr>
              <w:t>Изучение генетического разнообразия сортов томата казахстанской селекции с использованием микросателлитных маркеров и известных маркеров устойчивости к грибковым и вирусным патогенам</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37</w:t>
            </w:r>
          </w:p>
        </w:tc>
      </w:tr>
      <w:tr>
        <w:trPr/>
        <w:tc>
          <w:tcPr>
            <w:tcW w:w="9127" w:type="dxa"/>
            <w:tcBorders/>
          </w:tcPr>
          <w:p>
            <w:pPr>
              <w:pStyle w:val="Normal"/>
              <w:suppressAutoHyphens w:val="false"/>
              <w:ind w:hanging="0" w:start="1134" w:end="0"/>
              <w:jc w:val="both"/>
              <w:rPr>
                <w:rFonts w:ascii="Times New Roman" w:hAnsi="Times New Roman"/>
              </w:rPr>
            </w:pPr>
            <w:r>
              <w:rPr>
                <w:rFonts w:ascii="Times New Roman" w:hAnsi="Times New Roman"/>
                <w:sz w:val="28"/>
                <w:szCs w:val="28"/>
                <w:lang w:val="ru-RU"/>
              </w:rPr>
              <w:t>2.2.1.1 Получение растительного материала томата и экстракция ДНК…………………………………………………………………….</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37</w:t>
            </w:r>
          </w:p>
        </w:tc>
      </w:tr>
      <w:tr>
        <w:trPr/>
        <w:tc>
          <w:tcPr>
            <w:tcW w:w="9127" w:type="dxa"/>
            <w:tcBorders/>
          </w:tcPr>
          <w:p>
            <w:pPr>
              <w:pStyle w:val="Normal"/>
              <w:suppressAutoHyphens w:val="false"/>
              <w:ind w:hanging="0" w:start="1134" w:end="0"/>
              <w:jc w:val="both"/>
              <w:rPr>
                <w:rFonts w:ascii="Times New Roman" w:hAnsi="Times New Roman"/>
              </w:rPr>
            </w:pPr>
            <w:r>
              <w:rPr>
                <w:rFonts w:ascii="Times New Roman" w:hAnsi="Times New Roman"/>
                <w:sz w:val="28"/>
                <w:szCs w:val="28"/>
                <w:lang w:val="ru-RU"/>
              </w:rPr>
              <w:t>2.2.1.2 SSR генотипирование и анализ популяционной структуры сортов томата…………………………………………………………..</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38</w:t>
            </w:r>
          </w:p>
        </w:tc>
      </w:tr>
      <w:tr>
        <w:trPr/>
        <w:tc>
          <w:tcPr>
            <w:tcW w:w="9127" w:type="dxa"/>
            <w:tcBorders/>
          </w:tcPr>
          <w:p>
            <w:pPr>
              <w:pStyle w:val="Normal"/>
              <w:suppressAutoHyphens w:val="false"/>
              <w:ind w:hanging="0" w:start="1134" w:end="0"/>
              <w:jc w:val="both"/>
              <w:rPr>
                <w:rFonts w:ascii="Times New Roman" w:hAnsi="Times New Roman"/>
              </w:rPr>
            </w:pPr>
            <w:r>
              <w:rPr>
                <w:rFonts w:ascii="Times New Roman" w:hAnsi="Times New Roman"/>
                <w:sz w:val="28"/>
                <w:szCs w:val="28"/>
                <w:lang w:val="ru-RU"/>
              </w:rPr>
              <w:t>2.2.1.3 Анализ молекулярных маркеров устойчивости томата к вирусным и грибоподобным заболеваниям…………………………….</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40</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sz w:val="28"/>
                <w:szCs w:val="28"/>
                <w:lang w:val="ru-RU"/>
              </w:rPr>
              <w:t xml:space="preserve">2.2.2 </w:t>
            </w:r>
            <w:r>
              <w:rPr>
                <w:rFonts w:ascii="Times New Roman" w:hAnsi="Times New Roman"/>
                <w:b w:val="false"/>
                <w:sz w:val="28"/>
                <w:szCs w:val="28"/>
                <w:lang w:val="ru-RU"/>
              </w:rPr>
              <w:t xml:space="preserve">CRISPR/Cas9 редактирование генов группы </w:t>
            </w:r>
            <w:r>
              <w:rPr>
                <w:rFonts w:ascii="Times New Roman" w:hAnsi="Times New Roman"/>
                <w:b w:val="false"/>
                <w:i/>
                <w:iCs/>
                <w:sz w:val="28"/>
                <w:szCs w:val="28"/>
                <w:lang w:val="ru-RU"/>
              </w:rPr>
              <w:t>Mlo</w:t>
            </w:r>
            <w:r>
              <w:rPr>
                <w:rFonts w:ascii="Times New Roman" w:hAnsi="Times New Roman"/>
                <w:b w:val="false"/>
                <w:sz w:val="28"/>
                <w:szCs w:val="28"/>
                <w:lang w:val="ru-RU"/>
              </w:rPr>
              <w:t xml:space="preserve"> в отобранных сортах томата для получения растений, устойчивых к грибковым заболеваниям…………………………………………………………………….</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40</w:t>
            </w:r>
          </w:p>
        </w:tc>
      </w:tr>
      <w:tr>
        <w:trPr/>
        <w:tc>
          <w:tcPr>
            <w:tcW w:w="9127" w:type="dxa"/>
            <w:tcBorders/>
          </w:tcPr>
          <w:p>
            <w:pPr>
              <w:pStyle w:val="Normal"/>
              <w:suppressAutoHyphens w:val="false"/>
              <w:spacing w:lineRule="auto" w:line="240" w:before="0" w:after="0"/>
              <w:ind w:hanging="0" w:start="1134" w:end="0"/>
              <w:jc w:val="both"/>
              <w:rPr>
                <w:rFonts w:ascii="Times New Roman" w:hAnsi="Times New Roman"/>
              </w:rPr>
            </w:pPr>
            <w:r>
              <w:rPr>
                <w:rFonts w:ascii="Times New Roman" w:hAnsi="Times New Roman"/>
                <w:sz w:val="28"/>
                <w:szCs w:val="28"/>
                <w:lang w:val="ru-RU"/>
              </w:rPr>
              <w:t xml:space="preserve">2.2.2.1 Разработка направляющих РНК </w:t>
            </w:r>
            <w:r>
              <w:rPr>
                <w:rFonts w:ascii="Times New Roman" w:hAnsi="Times New Roman"/>
                <w:i w:val="false"/>
                <w:iCs w:val="false"/>
                <w:sz w:val="28"/>
                <w:szCs w:val="28"/>
                <w:lang w:val="ru-RU"/>
              </w:rPr>
              <w:t>и конструирование вектора, несущего систему CRISPR/Cas9</w:t>
            </w:r>
            <w:r>
              <w:rPr>
                <w:rFonts w:ascii="Times New Roman" w:hAnsi="Times New Roman"/>
                <w:sz w:val="28"/>
                <w:szCs w:val="28"/>
                <w:lang w:val="ru-RU"/>
              </w:rPr>
              <w:t xml:space="preserve"> для редактирования генов</w:t>
            </w:r>
            <w:r>
              <w:rPr>
                <w:rFonts w:ascii="Times New Roman" w:hAnsi="Times New Roman"/>
                <w:i/>
                <w:iCs/>
                <w:sz w:val="28"/>
                <w:szCs w:val="28"/>
                <w:lang w:val="ru-RU"/>
              </w:rPr>
              <w:t xml:space="preserve"> Mlo</w:t>
            </w:r>
            <w:r>
              <w:rPr>
                <w:rFonts w:ascii="Times New Roman" w:hAnsi="Times New Roman"/>
                <w:i w:val="false"/>
                <w:iCs w:val="false"/>
                <w:sz w:val="28"/>
                <w:szCs w:val="28"/>
                <w:lang w:val="ru-RU"/>
              </w:rPr>
              <w:t xml:space="preserve"> томата…………………………………………………………………..</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40</w:t>
            </w:r>
          </w:p>
        </w:tc>
      </w:tr>
      <w:tr>
        <w:trPr/>
        <w:tc>
          <w:tcPr>
            <w:tcW w:w="9127" w:type="dxa"/>
            <w:tcBorders/>
          </w:tcPr>
          <w:p>
            <w:pPr>
              <w:pStyle w:val="Normal"/>
              <w:suppressAutoHyphens w:val="false"/>
              <w:spacing w:lineRule="auto" w:line="240" w:before="0" w:after="0"/>
              <w:ind w:hanging="0" w:start="1134" w:end="0"/>
              <w:jc w:val="both"/>
              <w:rPr/>
            </w:pPr>
            <w:r>
              <w:rPr>
                <w:rStyle w:val="2"/>
                <w:rFonts w:ascii="Times New Roman" w:hAnsi="Times New Roman"/>
                <w:b w:val="false"/>
                <w:bCs w:val="false"/>
                <w:sz w:val="28"/>
                <w:szCs w:val="28"/>
                <w:lang w:val="ru-RU"/>
              </w:rPr>
              <w:t xml:space="preserve">2.2.2.2 </w:t>
            </w:r>
            <w:bookmarkStart w:id="0" w:name="_Toc1755639681"/>
            <w:r>
              <w:rPr>
                <w:rStyle w:val="2"/>
                <w:rFonts w:ascii="Times New Roman" w:hAnsi="Times New Roman"/>
                <w:b w:val="false"/>
                <w:bCs w:val="false"/>
                <w:sz w:val="28"/>
                <w:szCs w:val="28"/>
                <w:lang w:val="ru-RU"/>
              </w:rPr>
              <w:t>Редактирование генома томата. Получение трансформированных р</w:t>
            </w:r>
            <w:bookmarkEnd w:id="0"/>
            <w:r>
              <w:rPr>
                <w:rStyle w:val="2"/>
                <w:rFonts w:ascii="Times New Roman" w:hAnsi="Times New Roman"/>
                <w:b w:val="false"/>
                <w:bCs w:val="false"/>
                <w:sz w:val="28"/>
                <w:szCs w:val="28"/>
                <w:lang w:val="ru-RU"/>
              </w:rPr>
              <w:t>астений……………………………………………………….</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45</w:t>
            </w:r>
          </w:p>
        </w:tc>
      </w:tr>
      <w:tr>
        <w:trPr/>
        <w:tc>
          <w:tcPr>
            <w:tcW w:w="9127" w:type="dxa"/>
            <w:tcBorders/>
          </w:tcPr>
          <w:p>
            <w:pPr>
              <w:pStyle w:val="Heading2"/>
              <w:suppressAutoHyphens w:val="false"/>
              <w:spacing w:lineRule="auto" w:line="240" w:before="0" w:after="0"/>
              <w:ind w:hanging="0" w:start="1134" w:end="0"/>
              <w:jc w:val="both"/>
              <w:rPr/>
            </w:pPr>
            <w:r>
              <w:rPr>
                <w:rStyle w:val="2"/>
                <w:rFonts w:ascii="Times New Roman" w:hAnsi="Times New Roman"/>
                <w:b w:val="false"/>
                <w:bCs w:val="false"/>
                <w:sz w:val="28"/>
                <w:szCs w:val="28"/>
                <w:lang w:val="ru-RU"/>
              </w:rPr>
              <w:t>2.2.2.</w:t>
            </w:r>
            <w:r>
              <w:rPr>
                <w:rStyle w:val="2"/>
                <w:rFonts w:eastAsia="Noto Serif CJK SC" w:cs="Lohit Devanagari" w:ascii="Times New Roman" w:hAnsi="Times New Roman"/>
                <w:b w:val="false"/>
                <w:bCs w:val="false"/>
                <w:sz w:val="28"/>
                <w:szCs w:val="28"/>
                <w:lang w:val="ru-RU"/>
              </w:rPr>
              <w:t xml:space="preserve">3 </w:t>
            </w:r>
            <w:bookmarkStart w:id="1" w:name="_Toc1755639692"/>
            <w:r>
              <w:rPr>
                <w:rFonts w:ascii="Times New Roman" w:hAnsi="Times New Roman"/>
                <w:b w:val="false"/>
                <w:bCs w:val="false"/>
                <w:sz w:val="28"/>
                <w:szCs w:val="28"/>
                <w:lang w:val="ru-RU"/>
              </w:rPr>
              <w:t>Анализ экспрессии направляющих РНК, белка Cas9 и оценка м</w:t>
            </w:r>
            <w:bookmarkEnd w:id="1"/>
            <w:r>
              <w:rPr>
                <w:rFonts w:ascii="Times New Roman" w:hAnsi="Times New Roman"/>
                <w:b w:val="false"/>
                <w:bCs w:val="false"/>
                <w:sz w:val="28"/>
                <w:szCs w:val="28"/>
                <w:lang w:val="ru-RU"/>
              </w:rPr>
              <w:t>утаций……………………………………………………………..</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46</w:t>
            </w:r>
          </w:p>
        </w:tc>
      </w:tr>
      <w:tr>
        <w:trPr>
          <w:trHeight w:val="370" w:hRule="atLeast"/>
        </w:trPr>
        <w:tc>
          <w:tcPr>
            <w:tcW w:w="9127" w:type="dxa"/>
            <w:tcBorders/>
          </w:tcPr>
          <w:p>
            <w:pPr>
              <w:pStyle w:val="Normal"/>
              <w:suppressAutoHyphens w:val="false"/>
              <w:spacing w:lineRule="auto" w:line="240" w:before="0" w:after="0"/>
              <w:ind w:hanging="0" w:start="1134" w:end="0"/>
              <w:jc w:val="start"/>
              <w:rPr>
                <w:rFonts w:ascii="Times New Roman" w:hAnsi="Times New Roman"/>
              </w:rPr>
            </w:pPr>
            <w:r>
              <w:rPr>
                <w:rFonts w:cs="Times New Roman" w:ascii="Times New Roman" w:hAnsi="Times New Roman"/>
                <w:i w:val="false"/>
                <w:iCs w:val="false"/>
                <w:sz w:val="28"/>
                <w:szCs w:val="28"/>
                <w:lang w:val="ru-RU"/>
              </w:rPr>
              <w:t>2.2.2.4 Идентификация возбудителя и тест устойчивости………….</w:t>
            </w:r>
          </w:p>
        </w:tc>
        <w:tc>
          <w:tcPr>
            <w:tcW w:w="513" w:type="dxa"/>
            <w:tcBorders/>
          </w:tcPr>
          <w:p>
            <w:pPr>
              <w:pStyle w:val="TableContents"/>
              <w:jc w:val="end"/>
              <w:rPr>
                <w:rFonts w:ascii="Times New Roman" w:hAnsi="Times New Roman"/>
              </w:rPr>
            </w:pPr>
            <w:r>
              <w:rPr>
                <w:rFonts w:ascii="Times New Roman" w:hAnsi="Times New Roman"/>
                <w:sz w:val="28"/>
                <w:szCs w:val="28"/>
                <w:lang w:val="ru-RU"/>
              </w:rPr>
              <w:t>51</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i w:val="false"/>
                <w:iCs w:val="false"/>
                <w:sz w:val="28"/>
                <w:szCs w:val="28"/>
                <w:lang w:val="ru-RU"/>
              </w:rPr>
              <w:t xml:space="preserve">2.2.3 </w:t>
            </w:r>
            <w:r>
              <w:rPr>
                <w:rFonts w:eastAsia="Times New Roman" w:cs="Times New Roman" w:ascii="Times New Roman" w:hAnsi="Times New Roman"/>
                <w:b w:val="false"/>
                <w:bCs/>
                <w:i w:val="false"/>
                <w:iCs w:val="false"/>
                <w:color w:val="auto"/>
                <w:sz w:val="28"/>
                <w:szCs w:val="28"/>
                <w:lang w:val="ru-RU" w:bidi="ar-SA"/>
              </w:rPr>
              <w:t>Сравнительный</w:t>
            </w:r>
            <w:r>
              <w:rPr>
                <w:rFonts w:ascii="Times New Roman" w:hAnsi="Times New Roman"/>
                <w:b w:val="false"/>
                <w:i w:val="false"/>
                <w:iCs w:val="false"/>
                <w:sz w:val="28"/>
                <w:szCs w:val="28"/>
                <w:lang w:val="ru-RU"/>
              </w:rPr>
              <w:t xml:space="preserve"> анализа генов и белков группы </w:t>
            </w:r>
            <w:r>
              <w:rPr>
                <w:rFonts w:ascii="Times New Roman" w:hAnsi="Times New Roman"/>
                <w:b w:val="false"/>
                <w:i/>
                <w:iCs/>
                <w:sz w:val="28"/>
                <w:szCs w:val="28"/>
                <w:lang w:val="ru-RU"/>
              </w:rPr>
              <w:t>Mlo</w:t>
            </w:r>
            <w:r>
              <w:rPr>
                <w:rFonts w:ascii="Times New Roman" w:hAnsi="Times New Roman"/>
                <w:b w:val="false"/>
                <w:i w:val="false"/>
                <w:iCs w:val="false"/>
                <w:sz w:val="28"/>
                <w:szCs w:val="28"/>
                <w:lang w:val="ru-RU"/>
              </w:rPr>
              <w:t xml:space="preserve"> в доступных геномах растений для оценки пределов применимости результатов редактирования генома томата……………………………………………….</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52</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b w:val="false"/>
                <w:i w:val="false"/>
                <w:iCs w:val="false"/>
                <w:sz w:val="28"/>
                <w:szCs w:val="28"/>
                <w:lang w:val="ru-RU"/>
              </w:rPr>
              <w:t xml:space="preserve">2.2.3.1 Анализ внутривидовой изменчивости генов </w:t>
            </w:r>
            <w:r>
              <w:rPr>
                <w:rFonts w:ascii="Times New Roman" w:hAnsi="Times New Roman"/>
                <w:b w:val="false"/>
                <w:i/>
                <w:iCs/>
                <w:sz w:val="28"/>
                <w:szCs w:val="28"/>
                <w:lang w:val="ru-RU"/>
              </w:rPr>
              <w:t xml:space="preserve">Mlo </w:t>
            </w:r>
            <w:r>
              <w:rPr>
                <w:rFonts w:ascii="Times New Roman" w:hAnsi="Times New Roman"/>
                <w:b w:val="false"/>
                <w:i w:val="false"/>
                <w:iCs w:val="false"/>
                <w:sz w:val="28"/>
                <w:szCs w:val="28"/>
                <w:lang w:val="ru-RU"/>
              </w:rPr>
              <w:t>томата………..</w:t>
            </w:r>
          </w:p>
        </w:tc>
        <w:tc>
          <w:tcPr>
            <w:tcW w:w="513" w:type="dxa"/>
            <w:tcBorders/>
          </w:tcPr>
          <w:p>
            <w:pPr>
              <w:pStyle w:val="TableContents"/>
              <w:jc w:val="end"/>
              <w:rPr>
                <w:rFonts w:ascii="Times New Roman" w:hAnsi="Times New Roman"/>
              </w:rPr>
            </w:pPr>
            <w:r>
              <w:rPr>
                <w:rFonts w:ascii="Times New Roman" w:hAnsi="Times New Roman"/>
                <w:sz w:val="28"/>
                <w:szCs w:val="28"/>
                <w:lang w:val="ru-RU"/>
              </w:rPr>
              <w:t>52</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i w:val="false"/>
                <w:iCs w:val="false"/>
                <w:sz w:val="28"/>
                <w:szCs w:val="28"/>
                <w:lang w:val="ru-RU"/>
              </w:rPr>
              <w:t>2.2.3.2 Анализ последовательностей белков группы MLO у наземных растений…………………………………………………………………….</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53</w:t>
            </w:r>
          </w:p>
        </w:tc>
      </w:tr>
      <w:tr>
        <w:trPr/>
        <w:tc>
          <w:tcPr>
            <w:tcW w:w="9127" w:type="dxa"/>
            <w:tcBorders/>
          </w:tcPr>
          <w:p>
            <w:pPr>
              <w:pStyle w:val="TableContents"/>
              <w:jc w:val="both"/>
              <w:rPr>
                <w:rFonts w:ascii="Times New Roman" w:hAnsi="Times New Roman"/>
              </w:rPr>
            </w:pPr>
            <w:r>
              <w:rPr>
                <w:rFonts w:ascii="Times New Roman" w:hAnsi="Times New Roman"/>
                <w:sz w:val="28"/>
                <w:szCs w:val="28"/>
                <w:lang w:val="ru-RU"/>
              </w:rPr>
              <w:t>3 РЕЗУЛЬТАТЫ И ОБСУЖДЕНИЕ……………………………………………..</w:t>
            </w:r>
          </w:p>
        </w:tc>
        <w:tc>
          <w:tcPr>
            <w:tcW w:w="513" w:type="dxa"/>
            <w:tcBorders/>
          </w:tcPr>
          <w:p>
            <w:pPr>
              <w:pStyle w:val="TableContents"/>
              <w:jc w:val="end"/>
              <w:rPr>
                <w:rFonts w:ascii="Times New Roman" w:hAnsi="Times New Roman"/>
              </w:rPr>
            </w:pPr>
            <w:r>
              <w:rPr>
                <w:rFonts w:ascii="Times New Roman" w:hAnsi="Times New Roman"/>
                <w:sz w:val="28"/>
                <w:szCs w:val="28"/>
                <w:lang w:val="ru-RU"/>
              </w:rPr>
              <w:t>55</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sz w:val="28"/>
                <w:szCs w:val="28"/>
                <w:lang w:val="ru-RU"/>
              </w:rPr>
              <w:t>3.1 Генетическая структура коллекции сортов томата казахстанской и зарубежной селекции……………………………………………………...</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55</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sz w:val="28"/>
                <w:szCs w:val="28"/>
                <w:lang w:val="ru-RU"/>
              </w:rPr>
              <w:t xml:space="preserve">3.2 Редактирование генов </w:t>
            </w:r>
            <w:r>
              <w:rPr>
                <w:rFonts w:ascii="Times New Roman" w:hAnsi="Times New Roman"/>
                <w:i/>
                <w:iCs/>
                <w:sz w:val="28"/>
                <w:szCs w:val="28"/>
                <w:lang w:val="ru-RU"/>
              </w:rPr>
              <w:t xml:space="preserve">Mlo </w:t>
            </w:r>
            <w:r>
              <w:rPr>
                <w:rFonts w:ascii="Times New Roman" w:hAnsi="Times New Roman"/>
                <w:i w:val="false"/>
                <w:iCs w:val="false"/>
                <w:sz w:val="28"/>
                <w:szCs w:val="28"/>
                <w:lang w:val="ru-RU"/>
              </w:rPr>
              <w:t>томата…………………………………….</w:t>
            </w:r>
          </w:p>
        </w:tc>
        <w:tc>
          <w:tcPr>
            <w:tcW w:w="513" w:type="dxa"/>
            <w:tcBorders/>
          </w:tcPr>
          <w:p>
            <w:pPr>
              <w:pStyle w:val="TableContents"/>
              <w:jc w:val="end"/>
              <w:rPr>
                <w:rFonts w:ascii="Times New Roman" w:hAnsi="Times New Roman"/>
              </w:rPr>
            </w:pPr>
            <w:r>
              <w:rPr>
                <w:rFonts w:ascii="Times New Roman" w:hAnsi="Times New Roman"/>
                <w:sz w:val="28"/>
                <w:szCs w:val="28"/>
                <w:lang w:val="ru-RU"/>
              </w:rPr>
              <w:t>60</w:t>
            </w:r>
          </w:p>
        </w:tc>
      </w:tr>
      <w:tr>
        <w:trPr/>
        <w:tc>
          <w:tcPr>
            <w:tcW w:w="9127" w:type="dxa"/>
            <w:tcBorders/>
          </w:tcPr>
          <w:p>
            <w:pPr>
              <w:pStyle w:val="Normal"/>
              <w:suppressAutoHyphens w:val="false"/>
              <w:ind w:hanging="0" w:start="624" w:end="0"/>
              <w:jc w:val="both"/>
              <w:rPr>
                <w:rFonts w:ascii="Times New Roman" w:hAnsi="Times New Roman"/>
              </w:rPr>
            </w:pPr>
            <w:r>
              <w:rPr>
                <w:rFonts w:cs="Times New Roman" w:ascii="Times New Roman" w:hAnsi="Times New Roman"/>
                <w:i w:val="false"/>
                <w:iCs w:val="false"/>
                <w:sz w:val="28"/>
                <w:szCs w:val="28"/>
                <w:lang w:val="ru-RU"/>
              </w:rPr>
              <w:t xml:space="preserve">3.2.1 Разработка и клонирование нРНК для редактирования генов </w:t>
            </w:r>
            <w:r>
              <w:rPr>
                <w:rFonts w:cs="Times New Roman" w:ascii="Times New Roman" w:hAnsi="Times New Roman"/>
                <w:i/>
                <w:iCs/>
                <w:sz w:val="28"/>
                <w:szCs w:val="28"/>
                <w:lang w:val="ru-RU"/>
              </w:rPr>
              <w:t xml:space="preserve">Mlo </w:t>
            </w:r>
            <w:r>
              <w:rPr>
                <w:rFonts w:cs="Times New Roman" w:ascii="Times New Roman" w:hAnsi="Times New Roman"/>
                <w:i w:val="false"/>
                <w:iCs w:val="false"/>
                <w:sz w:val="28"/>
                <w:szCs w:val="28"/>
                <w:lang w:val="ru-RU"/>
              </w:rPr>
              <w:t>томата……………………………………………………………………….</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60</w:t>
            </w:r>
          </w:p>
        </w:tc>
      </w:tr>
      <w:tr>
        <w:trPr/>
        <w:tc>
          <w:tcPr>
            <w:tcW w:w="9127" w:type="dxa"/>
            <w:tcBorders/>
          </w:tcPr>
          <w:p>
            <w:pPr>
              <w:pStyle w:val="Normal"/>
              <w:suppressAutoHyphens w:val="false"/>
              <w:ind w:hanging="0" w:start="624" w:end="0"/>
              <w:jc w:val="both"/>
              <w:rPr>
                <w:rFonts w:ascii="Times New Roman" w:hAnsi="Times New Roman"/>
              </w:rPr>
            </w:pPr>
            <w:r>
              <w:rPr>
                <w:rFonts w:cs="Times New Roman" w:ascii="Times New Roman" w:hAnsi="Times New Roman"/>
                <w:i w:val="false"/>
                <w:iCs w:val="false"/>
                <w:sz w:val="28"/>
                <w:szCs w:val="28"/>
                <w:lang w:val="ru-RU"/>
              </w:rPr>
              <w:t xml:space="preserve">3.2.2 Агробактериальная </w:t>
            </w:r>
            <w:r>
              <w:rPr>
                <w:rFonts w:cs="Times New Roman" w:ascii="Times New Roman" w:hAnsi="Times New Roman"/>
                <w:i w:val="false"/>
                <w:iCs w:val="false"/>
                <w:sz w:val="28"/>
                <w:szCs w:val="28"/>
                <w:u w:val="none"/>
                <w:lang w:val="ru-RU"/>
              </w:rPr>
              <w:t>транформация</w:t>
            </w:r>
            <w:r>
              <w:rPr>
                <w:rFonts w:cs="Times New Roman" w:ascii="Times New Roman" w:hAnsi="Times New Roman"/>
                <w:i w:val="false"/>
                <w:iCs w:val="false"/>
                <w:sz w:val="28"/>
                <w:szCs w:val="28"/>
                <w:lang w:val="ru-RU"/>
              </w:rPr>
              <w:t xml:space="preserve"> растений томата системой CRISPR/Cas9 для редактирования………………………………………...</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64</w:t>
            </w:r>
          </w:p>
        </w:tc>
      </w:tr>
      <w:tr>
        <w:trPr/>
        <w:tc>
          <w:tcPr>
            <w:tcW w:w="9127" w:type="dxa"/>
            <w:tcBorders/>
          </w:tcPr>
          <w:p>
            <w:pPr>
              <w:pStyle w:val="Normal"/>
              <w:suppressAutoHyphens w:val="false"/>
              <w:ind w:hanging="0" w:start="624" w:end="0"/>
              <w:jc w:val="both"/>
              <w:rPr>
                <w:rFonts w:ascii="Times New Roman" w:hAnsi="Times New Roman"/>
              </w:rPr>
            </w:pPr>
            <w:r>
              <w:rPr>
                <w:rFonts w:cs="Times New Roman" w:ascii="Times New Roman" w:hAnsi="Times New Roman"/>
                <w:i w:val="false"/>
                <w:iCs w:val="false"/>
                <w:sz w:val="28"/>
                <w:szCs w:val="28"/>
                <w:lang w:val="ru-RU"/>
              </w:rPr>
              <w:t xml:space="preserve">3.2.3 Идентификация и культивирование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Инокуляция растений томата с отредактированным геномом……………….</w:t>
            </w:r>
          </w:p>
        </w:tc>
        <w:tc>
          <w:tcPr>
            <w:tcW w:w="513" w:type="dxa"/>
            <w:tcBorders/>
          </w:tcPr>
          <w:p>
            <w:pPr>
              <w:pStyle w:val="TableContents"/>
              <w:jc w:val="end"/>
              <w:rPr>
                <w:rFonts w:ascii="Times New Roman" w:hAnsi="Times New Roman"/>
                <w:sz w:val="28"/>
                <w:szCs w:val="28"/>
                <w:lang w:val="ru-RU"/>
              </w:rPr>
            </w:pPr>
            <w:r>
              <w:rPr>
                <w:rFonts w:ascii="Times New Roman" w:hAnsi="Times New Roman"/>
                <w:sz w:val="28"/>
                <w:szCs w:val="28"/>
                <w:lang w:val="ru-RU"/>
              </w:rPr>
            </w:r>
          </w:p>
          <w:p>
            <w:pPr>
              <w:pStyle w:val="TableContents"/>
              <w:jc w:val="end"/>
              <w:rPr>
                <w:rFonts w:ascii="Times New Roman" w:hAnsi="Times New Roman"/>
              </w:rPr>
            </w:pPr>
            <w:r>
              <w:rPr>
                <w:rFonts w:ascii="Times New Roman" w:hAnsi="Times New Roman"/>
                <w:sz w:val="28"/>
                <w:szCs w:val="28"/>
                <w:lang w:val="ru-RU"/>
              </w:rPr>
              <w:t>69</w:t>
            </w:r>
          </w:p>
        </w:tc>
      </w:tr>
      <w:tr>
        <w:trPr/>
        <w:tc>
          <w:tcPr>
            <w:tcW w:w="9127" w:type="dxa"/>
            <w:tcBorders/>
          </w:tcPr>
          <w:p>
            <w:pPr>
              <w:pStyle w:val="Normal"/>
              <w:suppressAutoHyphens w:val="false"/>
              <w:ind w:hanging="0" w:start="624" w:end="0"/>
              <w:jc w:val="both"/>
              <w:rPr>
                <w:rFonts w:ascii="Times New Roman" w:hAnsi="Times New Roman"/>
              </w:rPr>
            </w:pPr>
            <w:r>
              <w:rPr>
                <w:rFonts w:ascii="Times New Roman" w:hAnsi="Times New Roman"/>
                <w:i w:val="false"/>
                <w:iCs w:val="false"/>
                <w:sz w:val="28"/>
                <w:szCs w:val="28"/>
                <w:lang w:val="ru-RU"/>
              </w:rPr>
              <w:t>3.3 Сравнительный анализ последовательностей генов и белков MLO..</w:t>
            </w:r>
          </w:p>
        </w:tc>
        <w:tc>
          <w:tcPr>
            <w:tcW w:w="513" w:type="dxa"/>
            <w:tcBorders/>
          </w:tcPr>
          <w:p>
            <w:pPr>
              <w:pStyle w:val="TableContents"/>
              <w:jc w:val="end"/>
              <w:rPr>
                <w:rFonts w:ascii="Times New Roman" w:hAnsi="Times New Roman"/>
              </w:rPr>
            </w:pPr>
            <w:r>
              <w:rPr>
                <w:rFonts w:ascii="Times New Roman" w:hAnsi="Times New Roman"/>
                <w:sz w:val="28"/>
                <w:szCs w:val="28"/>
                <w:lang w:val="ru-RU"/>
              </w:rPr>
              <w:t>77</w:t>
            </w:r>
          </w:p>
        </w:tc>
      </w:tr>
      <w:tr>
        <w:trPr/>
        <w:tc>
          <w:tcPr>
            <w:tcW w:w="9127" w:type="dxa"/>
            <w:tcBorders/>
          </w:tcPr>
          <w:p>
            <w:pPr>
              <w:pStyle w:val="Normal"/>
              <w:ind w:hanging="0" w:start="0" w:end="0"/>
              <w:jc w:val="both"/>
              <w:rPr>
                <w:rFonts w:ascii="Times New Roman" w:hAnsi="Times New Roman"/>
              </w:rPr>
            </w:pPr>
            <w:r>
              <w:rPr>
                <w:rFonts w:ascii="Times New Roman" w:hAnsi="Times New Roman"/>
                <w:i w:val="false"/>
                <w:iCs w:val="false"/>
                <w:sz w:val="28"/>
                <w:szCs w:val="28"/>
                <w:lang w:val="ru-RU"/>
              </w:rPr>
              <w:t>ЗАКЛЮЧЕНИЕ…………………………………………………………………..</w:t>
            </w:r>
          </w:p>
        </w:tc>
        <w:tc>
          <w:tcPr>
            <w:tcW w:w="513" w:type="dxa"/>
            <w:tcBorders/>
          </w:tcPr>
          <w:p>
            <w:pPr>
              <w:pStyle w:val="TableContents"/>
              <w:jc w:val="end"/>
              <w:rPr>
                <w:rFonts w:ascii="Times New Roman" w:hAnsi="Times New Roman"/>
              </w:rPr>
            </w:pPr>
            <w:r>
              <w:rPr>
                <w:rFonts w:ascii="Times New Roman" w:hAnsi="Times New Roman"/>
                <w:sz w:val="28"/>
                <w:szCs w:val="28"/>
                <w:lang w:val="ru-RU"/>
              </w:rPr>
              <w:t>83</w:t>
            </w:r>
          </w:p>
        </w:tc>
      </w:tr>
      <w:tr>
        <w:trPr/>
        <w:tc>
          <w:tcPr>
            <w:tcW w:w="9127" w:type="dxa"/>
            <w:tcBorders/>
          </w:tcPr>
          <w:p>
            <w:pPr>
              <w:pStyle w:val="Normal"/>
              <w:ind w:hanging="0" w:start="0" w:end="0"/>
              <w:jc w:val="both"/>
              <w:rPr>
                <w:rFonts w:ascii="Times New Roman" w:hAnsi="Times New Roman"/>
              </w:rPr>
            </w:pPr>
            <w:r>
              <w:rPr>
                <w:rFonts w:ascii="Times New Roman" w:hAnsi="Times New Roman"/>
                <w:i w:val="false"/>
                <w:iCs w:val="false"/>
                <w:sz w:val="28"/>
                <w:szCs w:val="28"/>
                <w:lang w:val="ru-RU"/>
              </w:rPr>
              <w:t>СПИСОК ИСПОЛЬЗОВАННЫХ ИСТОЧНИКОВ…………………………….</w:t>
            </w:r>
          </w:p>
        </w:tc>
        <w:tc>
          <w:tcPr>
            <w:tcW w:w="513" w:type="dxa"/>
            <w:tcBorders/>
          </w:tcPr>
          <w:p>
            <w:pPr>
              <w:pStyle w:val="TableContents"/>
              <w:jc w:val="end"/>
              <w:rPr>
                <w:rFonts w:ascii="Times New Roman" w:hAnsi="Times New Roman"/>
              </w:rPr>
            </w:pPr>
            <w:r>
              <w:rPr>
                <w:rFonts w:ascii="Times New Roman" w:hAnsi="Times New Roman"/>
                <w:sz w:val="28"/>
                <w:szCs w:val="28"/>
                <w:lang w:val="ru-RU"/>
              </w:rPr>
              <w:t>85</w:t>
            </w:r>
          </w:p>
        </w:tc>
      </w:tr>
    </w:tbl>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r>
        <w:br w:type="page"/>
      </w:r>
    </w:p>
    <w:p>
      <w:pPr>
        <w:pStyle w:val="Style10"/>
        <w:widowControl w:val="false"/>
        <w:shd w:val="clear" w:fill="FFFFFF"/>
        <w:tabs>
          <w:tab w:val="clear" w:pos="709"/>
          <w:tab w:val="left" w:pos="567" w:leader="none"/>
        </w:tabs>
        <w:bidi w:val="0"/>
        <w:spacing w:lineRule="auto" w:line="240" w:before="0" w:after="0"/>
        <w:ind w:hanging="0" w:start="0" w:end="0"/>
        <w:contextualSpacing/>
        <w:jc w:val="center"/>
        <w:rPr>
          <w:rFonts w:ascii="Times New Roman" w:hAnsi="Times New Roman"/>
        </w:rPr>
      </w:pPr>
      <w:r>
        <w:rPr>
          <w:rFonts w:eastAsia="Times New Roman" w:cs="Times New Roman" w:ascii="Times New Roman" w:hAnsi="Times New Roman"/>
          <w:b/>
          <w:bCs/>
          <w:sz w:val="28"/>
          <w:szCs w:val="28"/>
          <w:lang w:val="ru-RU" w:eastAsia="ru-RU"/>
        </w:rPr>
        <w:t>НОРМАТИВНЫЕ ССЫЛКИ</w:t>
      </w:r>
    </w:p>
    <w:p>
      <w:pPr>
        <w:pStyle w:val="Style10"/>
        <w:widowControl w:val="false"/>
        <w:shd w:val="clear" w:fill="FFFFFF"/>
        <w:tabs>
          <w:tab w:val="clear" w:pos="709"/>
          <w:tab w:val="left" w:pos="567" w:leader="none"/>
        </w:tabs>
        <w:bidi w:val="0"/>
        <w:spacing w:lineRule="auto" w:line="240" w:before="0" w:after="0"/>
        <w:ind w:hanging="0" w:start="0" w:end="0"/>
        <w:contextualSpacing/>
        <w:jc w:val="center"/>
        <w:rPr>
          <w:rFonts w:ascii="Times New Roman" w:hAnsi="Times New Roman" w:eastAsia="Times New Roman" w:cs="Times New Roman"/>
          <w:b/>
          <w:bCs/>
          <w:sz w:val="28"/>
          <w:szCs w:val="28"/>
          <w:lang w:val="ru-RU" w:eastAsia="ru-RU"/>
        </w:rPr>
      </w:pPr>
      <w:r>
        <w:rPr>
          <w:rFonts w:eastAsia="Times New Roman" w:cs="Times New Roman" w:ascii="Times New Roman" w:hAnsi="Times New Roman"/>
          <w:b/>
          <w:bCs/>
          <w:sz w:val="28"/>
          <w:szCs w:val="28"/>
          <w:lang w:val="ru-RU" w:eastAsia="ru-RU"/>
        </w:rPr>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В настоящей диссертации использованы ссылки на следующие стандарты:</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ГОСТ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ГОСТ 7.1-2003. Библиографическая запись. Библиографическое описание. Общие требования и правила составления.</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r>
        <w:br w:type="page"/>
      </w:r>
    </w:p>
    <w:p>
      <w:pPr>
        <w:pStyle w:val="Style10"/>
        <w:widowControl w:val="false"/>
        <w:shd w:val="clear" w:fill="FFFFFF"/>
        <w:tabs>
          <w:tab w:val="clear" w:pos="709"/>
          <w:tab w:val="left" w:pos="567" w:leader="none"/>
        </w:tabs>
        <w:bidi w:val="0"/>
        <w:spacing w:lineRule="auto" w:line="240" w:before="0" w:after="0"/>
        <w:ind w:hanging="0" w:start="0" w:end="0"/>
        <w:contextualSpacing/>
        <w:jc w:val="center"/>
        <w:rPr>
          <w:rFonts w:ascii="Times New Roman" w:hAnsi="Times New Roman"/>
        </w:rPr>
      </w:pPr>
      <w:r>
        <w:rPr>
          <w:rFonts w:eastAsia="Times New Roman" w:cs="Times New Roman" w:ascii="Times New Roman" w:hAnsi="Times New Roman"/>
          <w:b/>
          <w:bCs/>
          <w:sz w:val="28"/>
          <w:szCs w:val="28"/>
          <w:lang w:val="ru-RU" w:eastAsia="ru-RU"/>
        </w:rPr>
        <w:t>ОПРЕДЕЛЕНИЯ, ОБОЗНАЧЕНИЯ И СОКРАЩЕНИЯ</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540" w:start="0" w:end="0"/>
        <w:contextualSpacing/>
        <w:jc w:val="center"/>
        <w:rPr>
          <w:rFonts w:ascii="Times New Roman" w:hAnsi="Times New Roman" w:eastAsia="Times New Roman" w:cs="Times New Roman"/>
          <w:b/>
          <w:bCs/>
          <w:sz w:val="28"/>
          <w:szCs w:val="28"/>
          <w:lang w:val="ru-RU" w:eastAsia="ru-RU"/>
        </w:rPr>
      </w:pPr>
      <w:r>
        <w:rPr>
          <w:rFonts w:eastAsia="Times New Roman" w:cs="Times New Roman" w:ascii="Times New Roman" w:hAnsi="Times New Roman"/>
          <w:b/>
          <w:bCs/>
          <w:sz w:val="28"/>
          <w:szCs w:val="28"/>
          <w:lang w:val="ru-RU" w:eastAsia="ru-RU"/>
        </w:rPr>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BCIP – 5-bromo-4-chloro-3'-indolyphosphate, 5-Бром-4-хлор-3-индолилфосфат</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CAPS – cleaveage amplified polymorphic site, амплифицированный участок с полиморфным расщеплением</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Cas – CRISPR associated protein, белок ассоциированный с CRISPR</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CRISPR – clustered regularly interspaced short palindromic repeats, кластеризованнные равномерно разделенные короткие палиндромные повторы</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color w:val="auto"/>
          <w:kern w:val="0"/>
          <w:sz w:val="28"/>
          <w:szCs w:val="28"/>
          <w:lang w:val="ru-RU" w:eastAsia="ru-RU" w:bidi="ar-SA"/>
        </w:rPr>
        <w:t>CTAB</w:t>
      </w:r>
      <w:r>
        <w:rPr>
          <w:rFonts w:eastAsia="Times New Roman" w:cs="Times New Roman" w:ascii="Times New Roman" w:hAnsi="Times New Roman"/>
          <w:b w:val="false"/>
          <w:bCs w:val="false"/>
          <w:sz w:val="28"/>
          <w:szCs w:val="28"/>
          <w:lang w:val="ru-RU" w:eastAsia="ru-RU"/>
        </w:rPr>
        <w:t xml:space="preserve"> – </w:t>
      </w:r>
      <w:r>
        <w:rPr>
          <w:rFonts w:eastAsia="Times New Roman" w:cs="Times New Roman" w:ascii="Times New Roman" w:hAnsi="Times New Roman"/>
          <w:b w:val="false"/>
          <w:bCs w:val="false"/>
          <w:color w:val="auto"/>
          <w:kern w:val="0"/>
          <w:sz w:val="28"/>
          <w:szCs w:val="28"/>
          <w:lang w:val="ru-RU" w:eastAsia="ru-RU" w:bidi="ar-SA"/>
        </w:rPr>
        <w:t>cetyltrimethylammonium</w:t>
      </w:r>
      <w:r>
        <w:rPr>
          <w:rFonts w:eastAsia="Times New Roman" w:cs="Times New Roman" w:ascii="Times New Roman" w:hAnsi="Times New Roman"/>
          <w:b w:val="false"/>
          <w:bCs w:val="false"/>
          <w:sz w:val="28"/>
          <w:szCs w:val="28"/>
          <w:lang w:val="ru-RU" w:eastAsia="ru-RU"/>
        </w:rPr>
        <w:t xml:space="preserve"> bromide, цетилтриметиламмония бромид</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DMSO – dimethyl sulfoxide, диметилсульфоксид</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EDTA, ЭДТА  – еthylenediaminetetraacetic acid, этилендиаминтетрауксусная кислота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gRNA, нРНК – guide RNA, направляющая РНК</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ML – maximum likelihood, максимальное правдоподобие (метод построения филогенетических деревьев)</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MLO – mildew resistance locus O, локус О устойчивости к мучнистой росе</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NBT – nitro-blue tetrazolium chloride, нитросиний тетразолий</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NJ – neighbor joining, объединение ближайших соседей (метод построения филогенетических деревьев)</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PBS – phоsphate buffer saline, фосфатно-солевой буфер</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PCR, ПЦР – polymerase chain reaction, полимеразная цепная реакция</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PSA – аmmonium persulfate, персульфат аммония</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PVP – polyvinylpyrrolidone, поливинилпиролидон</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SCAR – sequence characterized amplified region, амплифицированный участок с охарактеризованной последовательностью</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SDS – sodium dodecyl sulfate, додецилсульфат натрия</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SSR – simple sequence repeats, короткие повторяющиеся последовательности (микросателлитные маркеры)</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TAE – tris acetate </w:t>
      </w:r>
      <w:r>
        <w:rPr>
          <w:rFonts w:eastAsia="Times New Roman" w:cs="Times New Roman" w:ascii="Times New Roman" w:hAnsi="Times New Roman"/>
          <w:b w:val="false"/>
          <w:bCs w:val="false"/>
          <w:color w:val="auto"/>
          <w:kern w:val="0"/>
          <w:sz w:val="28"/>
          <w:szCs w:val="28"/>
          <w:lang w:val="ru-RU" w:eastAsia="ru-RU" w:bidi="ar-SA"/>
        </w:rPr>
        <w:t>electrophoretic buffer</w:t>
      </w:r>
      <w:r>
        <w:rPr>
          <w:rFonts w:eastAsia="Times New Roman" w:cs="Times New Roman" w:ascii="Times New Roman" w:hAnsi="Times New Roman"/>
          <w:b w:val="false"/>
          <w:bCs w:val="false"/>
          <w:sz w:val="28"/>
          <w:szCs w:val="28"/>
          <w:lang w:val="ru-RU" w:eastAsia="ru-RU"/>
        </w:rPr>
        <w:t>, трис ацетат</w:t>
      </w:r>
      <w:r>
        <w:rPr>
          <w:rFonts w:eastAsia="Times New Roman" w:cs="Times New Roman" w:ascii="Times New Roman" w:hAnsi="Times New Roman"/>
          <w:b w:val="false"/>
          <w:bCs w:val="false"/>
          <w:color w:val="auto"/>
          <w:kern w:val="0"/>
          <w:sz w:val="28"/>
          <w:szCs w:val="28"/>
          <w:lang w:val="ru-RU" w:eastAsia="ru-RU" w:bidi="ar-SA"/>
        </w:rPr>
        <w:t>атный электрофоретический буфер</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TEMED – N,N,N′,N′-Tetramethylethylenediamine, N,N,N,N-тетраметилэтилендиамин</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ToMV – tomato mosaic virus, вирус томатной мозаики</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TSWV – tomato spotted wilt virus, вирус пятнистого увядания томата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TYLCV – tomato yellow leaf curl virus, вирус желтой курчавости листьев томата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UPGMA – </w:t>
      </w:r>
      <w:r>
        <w:rPr>
          <w:rFonts w:ascii="Times New Roman" w:hAnsi="Times New Roman"/>
          <w:sz w:val="28"/>
          <w:szCs w:val="28"/>
          <w:lang w:val="ru-RU"/>
        </w:rPr>
        <w:t>unweighted pair group method with arithmetic mean, невзвешенный метод парных средних с арифметическими средними</w:t>
      </w:r>
      <w:r>
        <w:rPr>
          <w:rFonts w:eastAsia="Times New Roman" w:cs="Times New Roman" w:ascii="Times New Roman" w:hAnsi="Times New Roman"/>
          <w:b w:val="false"/>
          <w:bCs w:val="false"/>
          <w:sz w:val="28"/>
          <w:szCs w:val="28"/>
          <w:lang w:val="ru-RU" w:eastAsia="ru-RU"/>
        </w:rPr>
        <w:t xml:space="preserve"> (метод построения филогенетических деревьев)</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UTR – untranslated region, нетранслирумая область транскрипта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YEP – yeast extract peptone, дрожжевой экстракт пептон, питательная среда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БАП – N6-бензиламинопурин</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ДНК – дезоксирибонуклеиновая кислота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ИУК – индолил-3-уксусная кислота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ЛБ – среда Луриа-Бертани, питательная среда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МС – среда Мурасиге-Скуга, питательная среда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ОТ-ПЦР – ПЦР с обратной транскрипцией</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color w:val="auto"/>
          <w:kern w:val="0"/>
          <w:sz w:val="28"/>
          <w:szCs w:val="28"/>
          <w:lang w:val="ru-RU" w:eastAsia="ru-RU" w:bidi="ar-SA"/>
        </w:rPr>
        <w:t>ПААГ – полиакриламидный гель</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РНК – рибонуклеиновая кислота</w:t>
      </w:r>
    </w:p>
    <w:p>
      <w:pPr>
        <w:pStyle w:val="Style10"/>
        <w:widowControl w:val="false"/>
        <w:shd w:val="clear" w:fill="FFFFFF"/>
        <w:tabs>
          <w:tab w:val="clear" w:pos="709"/>
          <w:tab w:val="left" w:pos="567" w:leader="none"/>
        </w:tabs>
        <w:suppressAutoHyphens w:val="true"/>
        <w:overflowPunct w:val="false"/>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Т-ДНК – регион T-плазмиды </w:t>
      </w:r>
      <w:r>
        <w:rPr>
          <w:rFonts w:eastAsia="Times New Roman" w:cs="Times New Roman" w:ascii="Times New Roman" w:hAnsi="Times New Roman"/>
          <w:b w:val="false"/>
          <w:bCs w:val="false"/>
          <w:i/>
          <w:iCs/>
          <w:sz w:val="28"/>
          <w:szCs w:val="28"/>
          <w:lang w:val="ru-RU" w:eastAsia="ru-RU"/>
        </w:rPr>
        <w:t>Agrobacterium tumefaciens</w:t>
      </w:r>
      <w:r>
        <w:rPr>
          <w:rFonts w:eastAsia="Times New Roman" w:cs="Times New Roman" w:ascii="Times New Roman" w:hAnsi="Times New Roman"/>
          <w:b w:val="false"/>
          <w:bCs w:val="false"/>
          <w:i w:val="false"/>
          <w:iCs w:val="false"/>
          <w:sz w:val="28"/>
          <w:szCs w:val="28"/>
          <w:lang w:val="ru-RU" w:eastAsia="ru-RU"/>
        </w:rPr>
        <w:t>, внедряемый в геном растения при трансформации</w:t>
      </w:r>
      <w:r>
        <w:br w:type="page"/>
      </w:r>
    </w:p>
    <w:p>
      <w:pPr>
        <w:pStyle w:val="Normal"/>
        <w:spacing w:before="0" w:after="0"/>
        <w:ind w:hanging="0" w:start="0" w:end="0"/>
        <w:jc w:val="center"/>
        <w:rPr>
          <w:rFonts w:ascii="Times New Roman" w:hAnsi="Times New Roman"/>
        </w:rPr>
      </w:pPr>
      <w:r>
        <w:rPr>
          <w:rFonts w:ascii="Times New Roman" w:hAnsi="Times New Roman"/>
          <w:b/>
          <w:bCs/>
          <w:sz w:val="28"/>
          <w:szCs w:val="28"/>
          <w:lang w:val="ru-RU"/>
        </w:rPr>
        <w:t>ВВЕДЕНИЕ</w:t>
      </w:r>
    </w:p>
    <w:p>
      <w:pPr>
        <w:pStyle w:val="Normal"/>
        <w:ind w:hanging="0" w:start="0" w:end="0"/>
        <w:jc w:val="center"/>
        <w:rPr>
          <w:rFonts w:ascii="Times New Roman" w:hAnsi="Times New Roman"/>
          <w:b/>
          <w:bCs/>
          <w:sz w:val="28"/>
          <w:szCs w:val="28"/>
          <w:lang w:val="ru-RU"/>
        </w:rPr>
      </w:pPr>
      <w:r>
        <w:rPr>
          <w:rFonts w:ascii="Times New Roman" w:hAnsi="Times New Roman"/>
          <w:b/>
          <w:bCs/>
          <w:sz w:val="28"/>
          <w:szCs w:val="28"/>
          <w:lang w:val="ru-RU"/>
        </w:rPr>
      </w:r>
    </w:p>
    <w:p>
      <w:pPr>
        <w:pStyle w:val="Normal"/>
        <w:suppressAutoHyphens w:val="false"/>
        <w:ind w:firstLine="737" w:start="0" w:end="0"/>
        <w:jc w:val="both"/>
        <w:rPr>
          <w:rFonts w:ascii="Times New Roman" w:hAnsi="Times New Roman"/>
        </w:rPr>
      </w:pPr>
      <w:r>
        <w:rPr>
          <w:rFonts w:ascii="Times New Roman" w:hAnsi="Times New Roman"/>
          <w:b/>
          <w:bCs/>
          <w:sz w:val="28"/>
          <w:szCs w:val="28"/>
          <w:lang w:val="ru-RU"/>
        </w:rPr>
        <w:t xml:space="preserve">Общая характеристика работы. </w:t>
      </w:r>
      <w:r>
        <w:rPr>
          <w:rFonts w:ascii="Times New Roman" w:hAnsi="Times New Roman"/>
          <w:b w:val="false"/>
          <w:bCs w:val="false"/>
          <w:sz w:val="28"/>
          <w:szCs w:val="28"/>
          <w:lang w:val="ru-RU"/>
        </w:rPr>
        <w:t xml:space="preserve">Работа посвящена исследованию локального генофонда сортов томата отечественной селекции с использование молекулярно-генетических маркеров и редактированию генома отечественных сортов томата, отобранных путем молекулярного скрининга на маркеры устойчивости к патогенам, с целью достижения резистентности к мучнистой росе, вызываемой грибком </w:t>
      </w:r>
      <w:r>
        <w:rPr>
          <w:rFonts w:ascii="Times New Roman" w:hAnsi="Times New Roman"/>
          <w:b w:val="false"/>
          <w:bCs w:val="false"/>
          <w:i/>
          <w:iCs/>
          <w:sz w:val="28"/>
          <w:szCs w:val="28"/>
          <w:lang w:val="ru-RU"/>
        </w:rPr>
        <w:t>Oidium neolycpersici.</w:t>
      </w:r>
    </w:p>
    <w:p>
      <w:pPr>
        <w:pStyle w:val="Normal"/>
        <w:suppressAutoHyphens w:val="false"/>
        <w:ind w:firstLine="737" w:start="0" w:end="0"/>
        <w:jc w:val="both"/>
        <w:rPr>
          <w:rFonts w:ascii="Times New Roman" w:hAnsi="Times New Roman"/>
        </w:rPr>
      </w:pPr>
      <w:r>
        <w:rPr>
          <w:rFonts w:ascii="Times New Roman" w:hAnsi="Times New Roman"/>
          <w:b/>
          <w:bCs/>
          <w:sz w:val="28"/>
          <w:szCs w:val="28"/>
          <w:lang w:val="ru-RU"/>
        </w:rPr>
        <w:t>Актуальность исследования.</w:t>
      </w:r>
      <w:r>
        <w:rPr>
          <w:rFonts w:ascii="Times New Roman" w:hAnsi="Times New Roman"/>
          <w:sz w:val="28"/>
          <w:szCs w:val="28"/>
          <w:lang w:val="ru-RU"/>
        </w:rPr>
        <w:t xml:space="preserve"> </w:t>
      </w:r>
      <w:r>
        <w:rPr>
          <w:rFonts w:eastAsia="Times New Roman" w:cs="Times New Roman" w:ascii="Times New Roman" w:hAnsi="Times New Roman"/>
          <w:b w:val="false"/>
          <w:bCs w:val="false"/>
          <w:sz w:val="28"/>
          <w:szCs w:val="28"/>
          <w:lang w:val="ru-RU" w:eastAsia="ru-RU"/>
        </w:rPr>
        <w:t xml:space="preserve">Томат </w:t>
      </w:r>
      <w:r>
        <w:rPr>
          <w:rFonts w:eastAsia="Times New Roman" w:cs="Times New Roman" w:ascii="Times New Roman" w:hAnsi="Times New Roman"/>
          <w:b w:val="false"/>
          <w:bCs w:val="false"/>
          <w:i/>
          <w:iCs/>
          <w:sz w:val="28"/>
          <w:szCs w:val="28"/>
          <w:lang w:val="ru-RU" w:eastAsia="ru-RU"/>
        </w:rPr>
        <w:t>Solanum lycopersicum</w:t>
      </w:r>
      <w:r>
        <w:rPr>
          <w:rFonts w:eastAsia="Times New Roman" w:cs="Times New Roman" w:ascii="Times New Roman" w:hAnsi="Times New Roman"/>
          <w:b w:val="false"/>
          <w:bCs w:val="false"/>
          <w:sz w:val="28"/>
          <w:szCs w:val="28"/>
          <w:lang w:val="ru-RU" w:eastAsia="ru-RU"/>
        </w:rPr>
        <w:t xml:space="preserve"> L. – один из важнейших представителей культурных растений семейства </w:t>
      </w:r>
      <w:r>
        <w:rPr>
          <w:rFonts w:eastAsia="Times New Roman" w:cs="Times New Roman" w:ascii="Times New Roman" w:hAnsi="Times New Roman"/>
          <w:b w:val="false"/>
          <w:bCs w:val="false"/>
          <w:i/>
          <w:iCs/>
          <w:sz w:val="28"/>
          <w:szCs w:val="28"/>
          <w:lang w:val="ru-RU" w:eastAsia="ru-RU"/>
        </w:rPr>
        <w:t>Solanaceae</w:t>
      </w:r>
      <w:r>
        <w:rPr>
          <w:rFonts w:eastAsia="Times New Roman" w:cs="Times New Roman" w:ascii="Times New Roman" w:hAnsi="Times New Roman"/>
          <w:b w:val="false"/>
          <w:bCs w:val="false"/>
          <w:sz w:val="28"/>
          <w:szCs w:val="28"/>
          <w:lang w:val="ru-RU" w:eastAsia="ru-RU"/>
        </w:rPr>
        <w:t xml:space="preserve">. Наряду с картофелем томаты входят в число наиболее популярных овощных культур во всем мире, используемых как для непосредственного потребления, так и для получения обработанной продукции. Согласно данным Продовольственной и Сельскохозяйственной Организации (FAO) Объединенных наций, томаты составляют важную часть общего производства овощей в Казахстане: в 2023 году с </w:t>
      </w:r>
      <w:r>
        <w:rPr>
          <w:rFonts w:eastAsia="Times New Roman" w:cs="Times New Roman" w:ascii="Times New Roman" w:hAnsi="Times New Roman"/>
          <w:b w:val="false"/>
          <w:bCs w:val="false"/>
          <w:i w:val="false"/>
          <w:iCs w:val="false"/>
          <w:sz w:val="28"/>
          <w:szCs w:val="28"/>
          <w:lang w:val="ru-RU" w:eastAsia="ru-RU"/>
        </w:rPr>
        <w:t>28,9 тыс. га было собрано 792 359,76 тонн</w:t>
      </w:r>
      <w:r>
        <w:rPr>
          <w:rFonts w:eastAsia="Times New Roman" w:cs="Times New Roman" w:ascii="Times New Roman" w:hAnsi="Times New Roman"/>
          <w:b w:val="false"/>
          <w:bCs w:val="false"/>
          <w:sz w:val="28"/>
          <w:szCs w:val="28"/>
          <w:lang w:val="ru-RU" w:eastAsia="ru-RU"/>
        </w:rPr>
        <w:t>. Однако, производство томатов в стране развивается скорее экстенсивно, чем интенсивно: за последние 30 лет зарегистрировано увеличение площади выращивания в два раза, при отсутствии улучшения удельной урожайности на гектар посевной площади [1]. По данным Комитета государственных доходов Министерства финансов Республики Казахстан, значительная доля местного рынка томатов приходится на импорт. В 2020 году было импортировано около 58 636 тонн томатов, в основном из стран Центральной Азии [2], что соответствует примерно 7,4% от объема местного производства. Отечественные томатные хозяйства также полагаются на импорт семенного материала из-за рубежа (в 2020 году было импортировано 57,3 тонны семян овощных культур, хотя конкретная культура не учитывалась). Импорт растительной продукции и посадочного материала связан с риском завоза и распространения патогенов растений. Различные инфекции (бактерии, грибы, вирусы и простейшие) могут привести к значительным потерям урожая, при этом их распространение сложно контролировать.</w:t>
      </w:r>
    </w:p>
    <w:p>
      <w:pPr>
        <w:pStyle w:val="Normal"/>
        <w:ind w:firstLine="737" w:start="0" w:end="0"/>
        <w:jc w:val="both"/>
        <w:rPr>
          <w:rFonts w:ascii="Times New Roman" w:hAnsi="Times New Roman"/>
        </w:rPr>
      </w:pPr>
      <w:r>
        <w:rPr>
          <w:rFonts w:eastAsia="Times New Roman" w:cs="Times New Roman" w:ascii="Times New Roman" w:hAnsi="Times New Roman"/>
          <w:b w:val="false"/>
          <w:bCs w:val="false"/>
          <w:sz w:val="28"/>
          <w:szCs w:val="28"/>
          <w:lang w:val="ru-RU" w:eastAsia="ru-RU"/>
        </w:rPr>
        <w:t>Среди сортов томата, допущенных к выращиванию в стране, преобладают зарубежные сорта со значительной долей сортов из России и других стран бывшего СССР. Такая зависимость от импортного посадочного материала создает различные риски для продовольственной безопасности, наиболее опасным из которых является возможный завоз опасных вредителей [3], сорняков [4] и патогенов [5,6]. Таким образом, для внутреннего рынка сельскохозяйственных культур важно более широкое использование старых и вновь полученных сортов местной селекции как часть комплексного эпидемиологического контроля растений. Для борьбы с потенциально вредоносными фитопатогенами необходимо не только своевременно выявлять и уничтожать зараженные растения, но и повышать потенциал устойчивости возделываемых культур к болезням путем селекции и отбора сортов с генетическими факторами устойчивости. Современная практика требует широкого использования молекулярных методов для решения обеих этих проблем. Молекулярные маркеры, связанные с устойчивостью растений к болезням, играют решающую роль в современных селекционных программах, поскольку их использование в селекции с помощью маркеров (MAS) помогает значительно сократить время и трудозатраты, необходимые для выведения новых устойчивых сортов [7,8]. Такой подход использует молекулярные маркеры с известной связью с целевыми признаками для проведения отбора без необходимости прямого контроля фенотипа, например, на ранних стадиях развития; методы MAS широко используются в селекции томатов на устойчивость к патогенам [9]. Однако в Казахстане внедрение таких передовых методов селекции томата ограничено относительно невысокими экономическими и научными интересами. До настоящего времени не предпринималось систематических усилий по закладке молекулярно-генетической основы селекционных программ томатов. Настоящая работа является первым подобным исследованием, ставящим своей задачей использование молекулярных маркеров для выбора перспективных сортов-кандидатов для направленного редактирования генома.</w:t>
      </w:r>
    </w:p>
    <w:p>
      <w:pPr>
        <w:pStyle w:val="Normal"/>
        <w:suppressAutoHyphens w:val="false"/>
        <w:ind w:firstLine="737" w:start="0" w:end="0"/>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Мучнистая роса – одно из самых распространенных заболеваний растений во всем мире. Более 800 видов грибов, принадлежащих к семейству </w:t>
      </w:r>
      <w:r>
        <w:rPr>
          <w:rFonts w:eastAsia="Times New Roman" w:cs="Times New Roman" w:ascii="Times New Roman" w:hAnsi="Times New Roman"/>
          <w:b w:val="false"/>
          <w:bCs w:val="false"/>
          <w:i/>
          <w:iCs/>
          <w:sz w:val="28"/>
          <w:szCs w:val="28"/>
          <w:lang w:val="ru-RU" w:eastAsia="ru-RU"/>
        </w:rPr>
        <w:t>Erysiphaceae</w:t>
      </w:r>
      <w:r>
        <w:rPr>
          <w:rFonts w:eastAsia="Times New Roman" w:cs="Times New Roman" w:ascii="Times New Roman" w:hAnsi="Times New Roman"/>
          <w:b w:val="false"/>
          <w:bCs w:val="false"/>
          <w:sz w:val="28"/>
          <w:szCs w:val="28"/>
          <w:lang w:val="ru-RU" w:eastAsia="ru-RU"/>
        </w:rPr>
        <w:t xml:space="preserve"> [10], способны заразить около 10 000 видов растений [11], тем самым угрожая большинству экономически важных сельскохозяйственных культур. Характерные симптомы мучнистой росы на различных видах растений включают появление и распространение белых мучнистых пустул, покрывающих вегетативные части. Все </w:t>
      </w:r>
      <w:r>
        <w:rPr>
          <w:rFonts w:eastAsia="Times New Roman" w:cs="Times New Roman" w:ascii="Times New Roman" w:hAnsi="Times New Roman"/>
          <w:b w:val="false"/>
          <w:bCs w:val="false"/>
          <w:i/>
          <w:iCs/>
          <w:sz w:val="28"/>
          <w:szCs w:val="28"/>
          <w:lang w:val="ru-RU" w:eastAsia="ru-RU"/>
        </w:rPr>
        <w:t>Erysiphaceae</w:t>
      </w:r>
      <w:r>
        <w:rPr>
          <w:rFonts w:eastAsia="Times New Roman" w:cs="Times New Roman" w:ascii="Times New Roman" w:hAnsi="Times New Roman"/>
          <w:b w:val="false"/>
          <w:bCs w:val="false"/>
          <w:sz w:val="28"/>
          <w:szCs w:val="28"/>
          <w:lang w:val="ru-RU" w:eastAsia="ru-RU"/>
        </w:rPr>
        <w:t xml:space="preserve"> являются облигатными паразитами, колонизирующими эпидермальные клетки растений [12] и не могут расти в культуре </w:t>
      </w:r>
      <w:r>
        <w:rPr>
          <w:rFonts w:eastAsia="Times New Roman" w:cs="Times New Roman" w:ascii="Times New Roman" w:hAnsi="Times New Roman"/>
          <w:b w:val="false"/>
          <w:bCs w:val="false"/>
          <w:i/>
          <w:iCs/>
          <w:sz w:val="28"/>
          <w:szCs w:val="28"/>
          <w:lang w:val="ru-RU" w:eastAsia="ru-RU"/>
        </w:rPr>
        <w:t>ex vivo</w:t>
      </w:r>
      <w:r>
        <w:rPr>
          <w:rFonts w:eastAsia="Times New Roman" w:cs="Times New Roman" w:ascii="Times New Roman" w:hAnsi="Times New Roman"/>
          <w:b w:val="false"/>
          <w:bCs w:val="false"/>
          <w:sz w:val="28"/>
          <w:szCs w:val="28"/>
          <w:lang w:val="ru-RU" w:eastAsia="ru-RU"/>
        </w:rPr>
        <w:t xml:space="preserve"> [13]. Инфекцию мучнистой росы на растениях томата легко распознать по специфическим симптомам, включая расширяющиеся пустулы из белого порошка, покрывающие листья, хлороз и повреждение растений; локализация поражений зависит от конкретного вида грибов [13,14].  Ключевую роль в реакции растений на возбудителей мучнистой росы играют гены белков группы MLO, являющиеся фактором восприимчивости растения к болезни у всех групп наземных растений </w:t>
      </w:r>
      <w:r>
        <w:rPr>
          <w:rFonts w:eastAsia="Times New Roman" w:cs="Times New Roman" w:ascii="Times New Roman" w:hAnsi="Times New Roman"/>
          <w:b w:val="false"/>
          <w:bCs w:val="false"/>
          <w:i w:val="false"/>
          <w:caps w:val="false"/>
          <w:smallCaps w:val="false"/>
          <w:position w:val="0"/>
          <w:sz w:val="28"/>
          <w:sz w:val="28"/>
          <w:szCs w:val="28"/>
          <w:u w:val="none"/>
          <w:vertAlign w:val="baseline"/>
          <w:lang w:val="ru-RU" w:eastAsia="ru-RU"/>
        </w:rPr>
        <w:t>[15</w:t>
      </w:r>
      <w:r>
        <w:rPr>
          <w:rFonts w:ascii="Times New Roman" w:hAnsi="Times New Roman"/>
          <w:b w:val="false"/>
          <w:i w:val="false"/>
          <w:caps w:val="false"/>
          <w:smallCaps w:val="false"/>
          <w:position w:val="0"/>
          <w:sz w:val="24"/>
          <w:sz w:val="24"/>
          <w:u w:val="none"/>
          <w:vertAlign w:val="baseline"/>
        </w:rPr>
        <w:t>–17]</w:t>
      </w:r>
      <w:r>
        <w:rPr>
          <w:rFonts w:eastAsia="Times New Roman" w:cs="Times New Roman" w:ascii="Times New Roman" w:hAnsi="Times New Roman"/>
          <w:b w:val="false"/>
          <w:bCs w:val="false"/>
          <w:sz w:val="28"/>
          <w:szCs w:val="28"/>
          <w:lang w:val="ru-RU" w:eastAsia="ru-RU"/>
        </w:rPr>
        <w:t xml:space="preserve">. Для томата описаны гены, кодирующие белки SlMLO1, SlMLO5 и SlMLO8 как связанные с восприимчивостью к мучнистой росе, вызываемой грибами </w:t>
      </w:r>
      <w:r>
        <w:rPr>
          <w:rFonts w:eastAsia="Times New Roman" w:cs="Times New Roman" w:ascii="Times New Roman" w:hAnsi="Times New Roman"/>
          <w:b w:val="false"/>
          <w:bCs w:val="false"/>
          <w:i/>
          <w:iCs/>
          <w:sz w:val="28"/>
          <w:szCs w:val="28"/>
          <w:lang w:val="ru-RU" w:eastAsia="ru-RU"/>
        </w:rPr>
        <w:t xml:space="preserve">Oidium neolycopersici </w:t>
      </w:r>
      <w:r>
        <w:rPr>
          <w:rFonts w:eastAsia="Times New Roman" w:cs="Times New Roman" w:ascii="Times New Roman" w:hAnsi="Times New Roman"/>
          <w:b w:val="false"/>
          <w:bCs w:val="false"/>
          <w:i w:val="false"/>
          <w:iCs w:val="false"/>
          <w:sz w:val="28"/>
          <w:szCs w:val="28"/>
          <w:lang w:val="ru-RU" w:eastAsia="ru-RU"/>
        </w:rPr>
        <w:t xml:space="preserve">и </w:t>
      </w:r>
      <w:r>
        <w:rPr>
          <w:rFonts w:eastAsia="Times New Roman" w:cs="Times New Roman" w:ascii="Times New Roman" w:hAnsi="Times New Roman"/>
          <w:b w:val="false"/>
          <w:bCs w:val="false"/>
          <w:i/>
          <w:iCs/>
          <w:sz w:val="28"/>
          <w:szCs w:val="28"/>
          <w:lang w:val="ru-RU" w:eastAsia="ru-RU"/>
        </w:rPr>
        <w:t xml:space="preserve">Leveillula taurica </w:t>
      </w:r>
      <w:r>
        <w:rPr>
          <w:rFonts w:eastAsia="Times New Roman" w:cs="Times New Roman" w:ascii="Times New Roman" w:hAnsi="Times New Roman"/>
          <w:b w:val="false"/>
          <w:bCs w:val="false"/>
          <w:i/>
          <w:iCs w:val="false"/>
          <w:sz w:val="28"/>
          <w:szCs w:val="28"/>
          <w:lang w:val="ru-RU" w:eastAsia="ru-RU"/>
        </w:rPr>
        <w:t>[18,19]</w:t>
      </w:r>
      <w:r>
        <w:rPr>
          <w:rFonts w:eastAsia="Times New Roman" w:cs="Times New Roman" w:ascii="Times New Roman" w:hAnsi="Times New Roman"/>
          <w:b w:val="false"/>
          <w:bCs w:val="false"/>
          <w:i w:val="false"/>
          <w:iCs w:val="false"/>
          <w:sz w:val="28"/>
          <w:szCs w:val="28"/>
          <w:lang w:val="ru-RU" w:eastAsia="ru-RU"/>
        </w:rPr>
        <w:t xml:space="preserve">. Внесение в эти гены мутаций, нарушающих функцию белков, рассматривается как перспективный способ достижения устойчивости к мучнистой росе. Ранее технология CRIPSR/cas9 была успешно использована для инактивации гена белка SlMLO1 [20]. Использование в настоящей работе одновременного редактирования генов белков </w:t>
        <w:tab/>
        <w:t>SlMLO1, SlMLO5 и SlMLO8 проводится впервые, позволит добиться более сильной устойчивости и избежать преодоление устойчивости патогенами. Скрининг селекционной коллекции сортов томата казахстанской и зарубежной селекции позволит выбрать наиболее перспективные кандидаты для геномного редактирования с цель достижения множественной устойчивости к болезням.</w:t>
      </w:r>
    </w:p>
    <w:p>
      <w:pPr>
        <w:pStyle w:val="Normal"/>
        <w:ind w:firstLine="720" w:start="0" w:end="0"/>
        <w:jc w:val="both"/>
        <w:rPr>
          <w:rFonts w:ascii="Times New Roman" w:hAnsi="Times New Roman"/>
        </w:rPr>
      </w:pPr>
      <w:r>
        <w:rPr>
          <w:rFonts w:ascii="Times New Roman" w:hAnsi="Times New Roman"/>
          <w:b/>
          <w:bCs/>
          <w:sz w:val="28"/>
          <w:szCs w:val="28"/>
          <w:lang w:val="ru-RU"/>
        </w:rPr>
        <w:t>Объект исследования.</w:t>
      </w:r>
      <w:r>
        <w:rPr>
          <w:rFonts w:ascii="Times New Roman" w:hAnsi="Times New Roman"/>
          <w:sz w:val="28"/>
          <w:szCs w:val="28"/>
          <w:lang w:val="ru-RU"/>
        </w:rPr>
        <w:t xml:space="preserve"> Томат </w:t>
      </w:r>
      <w:r>
        <w:rPr>
          <w:rFonts w:ascii="Times New Roman" w:hAnsi="Times New Roman"/>
          <w:i/>
          <w:iCs/>
          <w:sz w:val="28"/>
          <w:szCs w:val="28"/>
          <w:lang w:val="ru-RU"/>
        </w:rPr>
        <w:t>Solanum lycopersicum</w:t>
      </w:r>
      <w:r>
        <w:rPr>
          <w:rFonts w:ascii="Times New Roman" w:hAnsi="Times New Roman"/>
          <w:sz w:val="28"/>
          <w:szCs w:val="28"/>
          <w:lang w:val="ru-RU"/>
        </w:rPr>
        <w:t xml:space="preserve"> L. Мучнистая роса томата </w:t>
      </w:r>
      <w:r>
        <w:rPr>
          <w:rFonts w:ascii="Times New Roman" w:hAnsi="Times New Roman"/>
          <w:i/>
          <w:iCs/>
          <w:sz w:val="28"/>
          <w:szCs w:val="28"/>
          <w:lang w:val="ru-RU"/>
        </w:rPr>
        <w:t xml:space="preserve">Oidium neolycopersici </w:t>
      </w:r>
      <w:r>
        <w:rPr>
          <w:rFonts w:ascii="Times New Roman" w:hAnsi="Times New Roman"/>
          <w:i w:val="false"/>
          <w:iCs w:val="false"/>
          <w:sz w:val="28"/>
          <w:szCs w:val="28"/>
          <w:lang w:val="ru-RU"/>
        </w:rPr>
        <w:t>L. Kiss, 2001</w:t>
      </w:r>
      <w:r>
        <w:rPr>
          <w:rFonts w:ascii="Times New Roman" w:hAnsi="Times New Roman"/>
          <w:i/>
          <w:iCs/>
          <w:sz w:val="28"/>
          <w:szCs w:val="28"/>
          <w:lang w:val="ru-RU"/>
        </w:rPr>
        <w:t xml:space="preserve">. </w:t>
      </w:r>
    </w:p>
    <w:p>
      <w:pPr>
        <w:pStyle w:val="Normal"/>
        <w:ind w:firstLine="720" w:start="0" w:end="0"/>
        <w:jc w:val="both"/>
        <w:rPr>
          <w:rFonts w:ascii="Times New Roman" w:hAnsi="Times New Roman"/>
        </w:rPr>
      </w:pPr>
      <w:r>
        <w:rPr>
          <w:rFonts w:ascii="Times New Roman" w:hAnsi="Times New Roman"/>
          <w:b/>
          <w:bCs/>
          <w:sz w:val="28"/>
          <w:szCs w:val="28"/>
          <w:lang w:val="ru-RU"/>
        </w:rPr>
        <w:t>Предмет исследования.</w:t>
      </w:r>
      <w:r>
        <w:rPr>
          <w:rFonts w:ascii="Times New Roman" w:hAnsi="Times New Roman"/>
          <w:sz w:val="28"/>
          <w:szCs w:val="28"/>
          <w:lang w:val="ru-RU"/>
        </w:rPr>
        <w:t xml:space="preserve"> Резистентность растений томата к мучнистой росе и/или другим грибковым и бактериальным заболеваниям путем инактивации Mlo-подобных белков.. </w:t>
      </w:r>
    </w:p>
    <w:p>
      <w:pPr>
        <w:pStyle w:val="Normal"/>
        <w:ind w:firstLine="720" w:start="0" w:end="0"/>
        <w:jc w:val="both"/>
        <w:rPr>
          <w:rFonts w:ascii="Times New Roman" w:hAnsi="Times New Roman"/>
        </w:rPr>
      </w:pPr>
      <w:r>
        <w:rPr>
          <w:rFonts w:ascii="Times New Roman" w:hAnsi="Times New Roman"/>
          <w:b/>
          <w:bCs/>
          <w:sz w:val="28"/>
          <w:szCs w:val="28"/>
          <w:lang w:val="ru-RU"/>
        </w:rPr>
        <w:t>Цель и задачи работы.</w:t>
      </w:r>
      <w:r>
        <w:rPr>
          <w:rFonts w:ascii="Times New Roman" w:hAnsi="Times New Roman"/>
          <w:sz w:val="28"/>
          <w:szCs w:val="28"/>
          <w:lang w:val="ru-RU"/>
        </w:rPr>
        <w:t xml:space="preserve"> Цель работы – </w:t>
      </w:r>
      <w:r>
        <w:rPr>
          <w:rFonts w:ascii="Times New Roman" w:hAnsi="Times New Roman"/>
          <w:b w:val="false"/>
          <w:sz w:val="28"/>
          <w:szCs w:val="28"/>
          <w:lang w:val="ru-RU"/>
        </w:rPr>
        <w:t>молекулярно-генетический анализ сортов томата казахстанской селекции, отбор и редактирование генома перспективных сортов для получения растений, устойчивых к грибковым заболеваниям.</w:t>
      </w:r>
    </w:p>
    <w:p>
      <w:pPr>
        <w:pStyle w:val="Normal"/>
        <w:ind w:firstLine="720" w:start="0" w:end="0"/>
        <w:jc w:val="both"/>
        <w:rPr>
          <w:rFonts w:ascii="Times New Roman" w:hAnsi="Times New Roman"/>
        </w:rPr>
      </w:pPr>
      <w:r>
        <w:rPr>
          <w:rFonts w:ascii="Times New Roman" w:hAnsi="Times New Roman"/>
          <w:b w:val="false"/>
          <w:bCs w:val="false"/>
          <w:sz w:val="28"/>
          <w:szCs w:val="28"/>
          <w:lang w:val="ru-RU"/>
        </w:rPr>
        <w:t>Задачи исследования:</w:t>
      </w:r>
    </w:p>
    <w:p>
      <w:pPr>
        <w:pStyle w:val="Normal"/>
        <w:ind w:firstLine="720" w:start="0" w:end="0"/>
        <w:jc w:val="both"/>
        <w:rPr>
          <w:rFonts w:ascii="Times New Roman" w:hAnsi="Times New Roman"/>
        </w:rPr>
      </w:pPr>
      <w:r>
        <w:rPr>
          <w:rFonts w:ascii="Times New Roman" w:hAnsi="Times New Roman"/>
          <w:sz w:val="28"/>
          <w:szCs w:val="28"/>
          <w:lang w:val="ru-RU"/>
        </w:rPr>
        <w:t>1. Изучить генетическое разнообразие сортов томата казахстанской селекции с использованием микросателлитных маркеров и известных маркеров устойчивости к грибковым и вирусным патогенам.</w:t>
      </w:r>
    </w:p>
    <w:p>
      <w:pPr>
        <w:pStyle w:val="Normal"/>
        <w:ind w:firstLine="720" w:start="0" w:end="0"/>
        <w:jc w:val="both"/>
        <w:rPr>
          <w:rFonts w:ascii="Times New Roman" w:hAnsi="Times New Roman"/>
        </w:rPr>
      </w:pPr>
      <w:r>
        <w:rPr>
          <w:rFonts w:ascii="Times New Roman" w:hAnsi="Times New Roman"/>
          <w:sz w:val="28"/>
          <w:szCs w:val="28"/>
          <w:lang w:val="ru-RU"/>
        </w:rPr>
        <w:t>2. Провести CRISPR/Cas9 редактирование генов группы Mlo в отобранных сортах томата для получения растений, устойчивых к грибковым заболеваниям.</w:t>
      </w:r>
    </w:p>
    <w:p>
      <w:pPr>
        <w:pStyle w:val="Normal"/>
        <w:ind w:firstLine="720" w:start="0" w:end="0"/>
        <w:jc w:val="both"/>
        <w:rPr>
          <w:rFonts w:ascii="Times New Roman" w:hAnsi="Times New Roman"/>
        </w:rPr>
      </w:pPr>
      <w:r>
        <w:rPr>
          <w:rFonts w:ascii="Times New Roman" w:hAnsi="Times New Roman"/>
          <w:sz w:val="28"/>
          <w:szCs w:val="28"/>
          <w:lang w:val="ru-RU"/>
        </w:rPr>
        <w:t>3. Провести филогенетический анализа генов группы Mlo в доступных геномах растений для оценки пределов применимости результатов работы к другим видам растений.</w:t>
      </w:r>
    </w:p>
    <w:p>
      <w:pPr>
        <w:pStyle w:val="Normal"/>
        <w:ind w:firstLine="720" w:start="0" w:end="0"/>
        <w:jc w:val="both"/>
        <w:rPr>
          <w:rFonts w:ascii="Times New Roman" w:hAnsi="Times New Roman"/>
        </w:rPr>
      </w:pPr>
      <w:r>
        <w:rPr>
          <w:rFonts w:ascii="Times New Roman" w:hAnsi="Times New Roman"/>
          <w:b/>
          <w:bCs/>
          <w:sz w:val="28"/>
          <w:szCs w:val="28"/>
          <w:lang w:val="ru-RU"/>
        </w:rPr>
        <w:t>Научная новизна исследования</w:t>
      </w:r>
      <w:r>
        <w:rPr>
          <w:rFonts w:ascii="Times New Roman" w:hAnsi="Times New Roman"/>
          <w:sz w:val="28"/>
          <w:szCs w:val="28"/>
          <w:lang w:val="ru-RU"/>
        </w:rPr>
        <w:t xml:space="preserve">. Впервые проведено исследование генетической структуры сортов томата открытого грунта отечественной селекции с использованием SSR маркеров, а также скрининг с использованием маркеров устойчивости к опасным карантинным болезням томата. Впервые проведено редактирование генома методом CRISPR/Cas9 отечественных сортов томата с целью достижения устойчивости </w:t>
      </w:r>
      <w:r>
        <w:rPr>
          <w:rFonts w:ascii="Times New Roman" w:hAnsi="Times New Roman"/>
          <w:b w:val="false"/>
          <w:bCs w:val="false"/>
          <w:sz w:val="28"/>
          <w:szCs w:val="28"/>
          <w:lang w:val="ru-RU"/>
        </w:rPr>
        <w:t xml:space="preserve">к мучнистой росе, вызываемой грибком </w:t>
      </w:r>
      <w:r>
        <w:rPr>
          <w:rFonts w:ascii="Times New Roman" w:hAnsi="Times New Roman"/>
          <w:b w:val="false"/>
          <w:bCs w:val="false"/>
          <w:i/>
          <w:iCs/>
          <w:sz w:val="28"/>
          <w:szCs w:val="28"/>
          <w:lang w:val="ru-RU"/>
        </w:rPr>
        <w:t>Oidium neolycopersici.</w:t>
      </w:r>
      <w:r>
        <w:rPr>
          <w:rFonts w:ascii="Times New Roman" w:hAnsi="Times New Roman"/>
          <w:b w:val="false"/>
          <w:bCs w:val="false"/>
          <w:i w:val="false"/>
          <w:iCs w:val="false"/>
          <w:sz w:val="28"/>
          <w:szCs w:val="28"/>
          <w:lang w:val="ru-RU"/>
        </w:rPr>
        <w:t xml:space="preserve"> Присутствие данного патогена на территории Казахстана подтверждено впервые с использованием морфологической и молекулярной идентификации. Впервые протестированы результаты одновременной инактивации генов </w:t>
      </w:r>
      <w:r>
        <w:rPr>
          <w:rFonts w:ascii="Times New Roman" w:hAnsi="Times New Roman"/>
          <w:b w:val="false"/>
          <w:bCs w:val="false"/>
          <w:i/>
          <w:iCs/>
          <w:sz w:val="28"/>
          <w:szCs w:val="28"/>
          <w:lang w:val="ru-RU"/>
        </w:rPr>
        <w:t>SlMlo1, SlMlo5, SlMlo8</w:t>
      </w:r>
      <w:r>
        <w:rPr>
          <w:rFonts w:ascii="Times New Roman" w:hAnsi="Times New Roman"/>
          <w:b w:val="false"/>
          <w:bCs w:val="false"/>
          <w:i w:val="false"/>
          <w:iCs w:val="false"/>
          <w:sz w:val="28"/>
          <w:szCs w:val="28"/>
          <w:lang w:val="ru-RU"/>
        </w:rPr>
        <w:t xml:space="preserve"> и ее влияние на общую устойчивость томата к мучнистой росе. </w:t>
      </w:r>
    </w:p>
    <w:p>
      <w:pPr>
        <w:pStyle w:val="Normal"/>
        <w:ind w:firstLine="720" w:start="0" w:end="0"/>
        <w:jc w:val="both"/>
        <w:rPr>
          <w:rFonts w:ascii="Times New Roman" w:hAnsi="Times New Roman"/>
        </w:rPr>
      </w:pPr>
      <w:r>
        <w:rPr>
          <w:rFonts w:ascii="Times New Roman" w:hAnsi="Times New Roman"/>
          <w:b/>
          <w:bCs/>
          <w:sz w:val="28"/>
          <w:szCs w:val="28"/>
          <w:lang w:val="ru-RU"/>
        </w:rPr>
        <w:t>Теоретическая значимость работы.</w:t>
      </w:r>
      <w:r>
        <w:rPr>
          <w:rFonts w:ascii="Times New Roman" w:hAnsi="Times New Roman"/>
          <w:sz w:val="28"/>
          <w:szCs w:val="28"/>
          <w:lang w:val="ru-RU"/>
        </w:rPr>
        <w:t xml:space="preserve"> Впервые охарактеризовано генетическое разнообразие сортов томата казахстанской селекции в сравнении с зарубежными сортами. Растения томата местных сортов впервые использованы как исходный объект для достижения устойчивости к инфекционным заболеваниям путем редактирования генома. Внесен вклад в установление гомологических связей между генами белков группы MLO среди доступных геномом покрытосеменных растений, а также предсказан возможный эффект геномного редактирования генов данной группы на достижение устойчивости в различных группах растений.</w:t>
      </w:r>
    </w:p>
    <w:p>
      <w:pPr>
        <w:pStyle w:val="Normal"/>
        <w:ind w:firstLine="720" w:start="0" w:end="0"/>
        <w:jc w:val="both"/>
        <w:rPr>
          <w:rFonts w:ascii="Times New Roman" w:hAnsi="Times New Roman"/>
        </w:rPr>
      </w:pPr>
      <w:r>
        <w:rPr>
          <w:rFonts w:ascii="Times New Roman" w:hAnsi="Times New Roman"/>
          <w:b/>
          <w:bCs/>
          <w:sz w:val="28"/>
          <w:szCs w:val="28"/>
          <w:lang w:val="ru-RU"/>
        </w:rPr>
        <w:t>Практическая ценность исследования.</w:t>
      </w:r>
      <w:r>
        <w:rPr>
          <w:rFonts w:ascii="Times New Roman" w:hAnsi="Times New Roman"/>
          <w:sz w:val="28"/>
          <w:szCs w:val="28"/>
          <w:lang w:val="ru-RU"/>
        </w:rPr>
        <w:t xml:space="preserve"> Геномное редактирование перспективных сортов томата позволит создать формы растений с высокой устойчивостью к мучнистой росе с возможностью последующего получения растений, свободных от трансгенных последовательностей. Работа заложит основу для дальнейших исследований в области редактирования генома растений в ИББР и других научно-исследовательских организациях Республики Казахстан.</w:t>
      </w:r>
    </w:p>
    <w:p>
      <w:pPr>
        <w:pStyle w:val="Normal"/>
        <w:ind w:firstLine="720" w:start="0" w:end="0"/>
        <w:jc w:val="both"/>
        <w:rPr>
          <w:rFonts w:ascii="Times New Roman" w:hAnsi="Times New Roman"/>
        </w:rPr>
      </w:pPr>
      <w:r>
        <w:rPr>
          <w:rFonts w:ascii="Times New Roman" w:hAnsi="Times New Roman"/>
          <w:b/>
          <w:bCs/>
          <w:sz w:val="28"/>
          <w:szCs w:val="28"/>
          <w:lang w:val="ru-RU"/>
        </w:rPr>
        <w:t>Основные положения выносимые на защиту:</w:t>
      </w:r>
    </w:p>
    <w:p>
      <w:pPr>
        <w:pStyle w:val="Normal"/>
        <w:ind w:firstLine="720" w:start="0" w:end="0"/>
        <w:jc w:val="both"/>
        <w:rPr>
          <w:rFonts w:ascii="Times New Roman" w:hAnsi="Times New Roman"/>
        </w:rPr>
      </w:pPr>
      <w:r>
        <w:rPr>
          <w:rFonts w:ascii="Times New Roman" w:hAnsi="Times New Roman"/>
          <w:sz w:val="28"/>
          <w:szCs w:val="28"/>
        </w:rPr>
        <w:t xml:space="preserve">1. Отечественные сорта томата открытого грунта обладают высокой степенью родства и близки к сортам российской селекции. Не выявлено казахстанских сортов, несущих маркеры устойчивости к вирусным заболеваниям.Установлено семь казахстанских сортов, устойчивых к </w:t>
      </w:r>
      <w:r>
        <w:rPr>
          <w:rFonts w:ascii="Times New Roman" w:hAnsi="Times New Roman"/>
          <w:i/>
          <w:iCs/>
          <w:sz w:val="28"/>
          <w:szCs w:val="28"/>
        </w:rPr>
        <w:t>F. oxysporum</w:t>
      </w:r>
      <w:r>
        <w:rPr>
          <w:rFonts w:ascii="Times New Roman" w:hAnsi="Times New Roman"/>
          <w:sz w:val="28"/>
          <w:szCs w:val="28"/>
        </w:rPr>
        <w:t xml:space="preserve">, и два сорта – к </w:t>
      </w:r>
      <w:r>
        <w:rPr>
          <w:rFonts w:ascii="Times New Roman" w:hAnsi="Times New Roman"/>
          <w:i/>
          <w:iCs/>
          <w:sz w:val="28"/>
          <w:szCs w:val="28"/>
        </w:rPr>
        <w:t>P. infestans</w:t>
      </w:r>
      <w:r>
        <w:rPr>
          <w:rFonts w:ascii="Times New Roman" w:hAnsi="Times New Roman"/>
          <w:sz w:val="28"/>
          <w:szCs w:val="28"/>
        </w:rPr>
        <w:t xml:space="preserve">. Сорта Меруерт и Лидер выбраны как перспективные для проведения редактирования генома системой CRISPR/Cas9.  </w:t>
      </w:r>
    </w:p>
    <w:p>
      <w:pPr>
        <w:pStyle w:val="Normal"/>
        <w:ind w:firstLine="720" w:start="0" w:end="0"/>
        <w:jc w:val="both"/>
        <w:rPr>
          <w:rFonts w:ascii="Times New Roman" w:hAnsi="Times New Roman"/>
        </w:rPr>
      </w:pPr>
      <w:r>
        <w:rPr>
          <w:rFonts w:ascii="Times New Roman" w:hAnsi="Times New Roman"/>
          <w:sz w:val="28"/>
          <w:szCs w:val="28"/>
        </w:rPr>
        <w:t>2. Мутации в генах SlMlo5 и SlMlo8 не приводят к увеличению резистентности по сравнению с одним геном SlMlo1. Секвенирование целевых участков редактирования генов SlMlo подтверждает наличие генетического мозаицизма: от 20 до 50% прочтений, покрывающих область делеции, демонстрирует отсутствие делеции. Приобретаемая устойчивость к мучнистой росе сохраняется при мозаицизме.</w:t>
      </w:r>
    </w:p>
    <w:p>
      <w:pPr>
        <w:pStyle w:val="Normal"/>
        <w:ind w:firstLine="720" w:start="0" w:end="0"/>
        <w:jc w:val="both"/>
        <w:rPr>
          <w:rFonts w:ascii="Times New Roman" w:hAnsi="Times New Roman"/>
        </w:rPr>
      </w:pPr>
      <w:r>
        <w:rPr>
          <w:rFonts w:ascii="Times New Roman" w:hAnsi="Times New Roman"/>
          <w:sz w:val="28"/>
          <w:szCs w:val="28"/>
        </w:rPr>
        <w:t xml:space="preserve">3. Выявлен высокий консерватизм последовательностей </w:t>
      </w:r>
      <w:r>
        <w:rPr>
          <w:rFonts w:ascii="Times New Roman" w:hAnsi="Times New Roman"/>
          <w:i/>
          <w:iCs/>
          <w:sz w:val="28"/>
          <w:szCs w:val="28"/>
        </w:rPr>
        <w:t>SlMlo1, SlMlo5, SlMlo8</w:t>
      </w:r>
      <w:r>
        <w:rPr>
          <w:rFonts w:ascii="Times New Roman" w:hAnsi="Times New Roman"/>
          <w:sz w:val="28"/>
          <w:szCs w:val="28"/>
        </w:rPr>
        <w:t xml:space="preserve"> генов, особенно в регионах, комплементарных используемым нРНК, на основе имеющихся данных по геномной изменчивости 166 линий томата. Таким образом, разработанные нРНК могут использоваться на любых сортах и линия томата с высоким шансом на специфичность редактирования.</w:t>
      </w:r>
    </w:p>
    <w:p>
      <w:pPr>
        <w:pStyle w:val="Normal"/>
        <w:ind w:firstLine="720" w:start="0" w:end="0"/>
        <w:jc w:val="both"/>
        <w:rPr>
          <w:rFonts w:ascii="Times New Roman" w:hAnsi="Times New Roman"/>
        </w:rPr>
      </w:pPr>
      <w:r>
        <w:rPr>
          <w:rFonts w:ascii="Times New Roman" w:hAnsi="Times New Roman"/>
          <w:sz w:val="28"/>
          <w:szCs w:val="28"/>
        </w:rPr>
        <w:t xml:space="preserve">4. </w:t>
      </w:r>
      <w:r>
        <w:rPr>
          <w:rFonts w:ascii="Times New Roman" w:hAnsi="Times New Roman"/>
          <w:i w:val="false"/>
          <w:iCs w:val="false"/>
          <w:sz w:val="28"/>
          <w:szCs w:val="28"/>
          <w:lang w:val="ru-RU"/>
        </w:rPr>
        <w:t xml:space="preserve">Разработанные нРНК также потенциально могут использоваться с другими видами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однако точность такого спаривания требует уточнения с учетом доступных геномных данных соответствующих видов.</w:t>
      </w:r>
    </w:p>
    <w:p>
      <w:pPr>
        <w:pStyle w:val="Normal"/>
        <w:ind w:firstLine="720" w:start="0" w:end="0"/>
        <w:jc w:val="both"/>
        <w:rPr>
          <w:rFonts w:ascii="Times New Roman" w:hAnsi="Times New Roman"/>
        </w:rPr>
      </w:pPr>
      <w:r>
        <w:rPr>
          <w:rFonts w:ascii="Times New Roman" w:hAnsi="Times New Roman"/>
          <w:b/>
          <w:bCs/>
          <w:sz w:val="28"/>
          <w:szCs w:val="28"/>
          <w:lang w:val="ru-RU"/>
        </w:rPr>
        <w:t>Связь с планом основных научных работ.</w:t>
      </w:r>
      <w:r>
        <w:rPr>
          <w:rFonts w:ascii="Times New Roman" w:hAnsi="Times New Roman"/>
          <w:sz w:val="28"/>
          <w:szCs w:val="28"/>
          <w:lang w:val="ru-RU"/>
        </w:rPr>
        <w:t xml:space="preserve"> Работа была выполнена в рамках задачи «</w:t>
      </w:r>
      <w:r>
        <w:rPr>
          <w:rFonts w:eastAsia="Calibri" w:cs="Times New Roman" w:ascii="Times New Roman" w:hAnsi="Times New Roman"/>
          <w:spacing w:val="2"/>
          <w:sz w:val="28"/>
          <w:szCs w:val="28"/>
          <w:lang w:val="ru-RU"/>
        </w:rPr>
        <w:t>Получение высокоурожайных линий томата, устойчивых к биотическому и абиотическому стрессу путем геномного редактирования перспективных сортов</w:t>
      </w:r>
      <w:r>
        <w:rPr>
          <w:rFonts w:ascii="Times New Roman" w:hAnsi="Times New Roman"/>
          <w:sz w:val="28"/>
          <w:szCs w:val="28"/>
          <w:lang w:val="ru-RU"/>
        </w:rPr>
        <w:t>» программы целевого финансирования BR18574149 «Создание высокопродуктивных сортов и линий сельскохозяйственных культур на основе инновационных биотехнологий».</w:t>
      </w:r>
    </w:p>
    <w:p>
      <w:pPr>
        <w:pStyle w:val="Normal"/>
        <w:ind w:firstLine="720" w:start="0" w:end="0"/>
        <w:jc w:val="both"/>
        <w:rPr>
          <w:rFonts w:ascii="Times New Roman" w:hAnsi="Times New Roman"/>
        </w:rPr>
      </w:pPr>
      <w:r>
        <w:rPr>
          <w:rFonts w:ascii="Times New Roman" w:hAnsi="Times New Roman"/>
          <w:b/>
          <w:bCs/>
          <w:sz w:val="28"/>
          <w:szCs w:val="28"/>
          <w:lang w:val="ru-RU"/>
        </w:rPr>
        <w:t>Апробация работы</w:t>
      </w:r>
      <w:r>
        <w:rPr>
          <w:rFonts w:ascii="Times New Roman" w:hAnsi="Times New Roman"/>
          <w:sz w:val="28"/>
          <w:szCs w:val="28"/>
          <w:lang w:val="ru-RU"/>
        </w:rPr>
        <w:t>. Результаты работы были представлены на следующих конференциях:</w:t>
      </w:r>
    </w:p>
    <w:p>
      <w:pPr>
        <w:pStyle w:val="Normal"/>
        <w:ind w:firstLine="720" w:start="0" w:end="0"/>
        <w:jc w:val="both"/>
        <w:rPr>
          <w:rFonts w:ascii="Times New Roman" w:hAnsi="Times New Roman"/>
        </w:rPr>
      </w:pPr>
      <w:r>
        <w:rPr>
          <w:rFonts w:ascii="Times New Roman" w:hAnsi="Times New Roman"/>
          <w:sz w:val="28"/>
          <w:szCs w:val="28"/>
          <w:lang w:val="ru-RU"/>
        </w:rPr>
        <w:t>6-я Международная научная конференция «Генетика, геномика, биоинформатика и биотехнология растений» (PlantGen2021), 14-18 июня 2021, г Новосибирск, Россия.</w:t>
      </w:r>
    </w:p>
    <w:p>
      <w:pPr>
        <w:pStyle w:val="Normal"/>
        <w:ind w:firstLine="720" w:start="0" w:end="0"/>
        <w:jc w:val="both"/>
        <w:rPr>
          <w:rFonts w:ascii="Times New Roman" w:hAnsi="Times New Roman"/>
        </w:rPr>
      </w:pPr>
      <w:r>
        <w:rPr>
          <w:rFonts w:ascii="Times New Roman" w:hAnsi="Times New Roman"/>
          <w:sz w:val="28"/>
          <w:szCs w:val="28"/>
          <w:lang w:val="ru-RU"/>
        </w:rPr>
        <w:t>IV. International Agricultural, Biological &amp; Life Science Conference Agbiol 2022 29-31 August, 2022 Edirne, Turkey.</w:t>
      </w:r>
    </w:p>
    <w:p>
      <w:pPr>
        <w:pStyle w:val="Normal"/>
        <w:ind w:firstLine="720" w:start="0" w:end="0"/>
        <w:jc w:val="both"/>
        <w:rPr>
          <w:rFonts w:ascii="Times New Roman" w:hAnsi="Times New Roman"/>
        </w:rPr>
      </w:pPr>
      <w:r>
        <w:rPr>
          <w:rFonts w:ascii="Times New Roman" w:hAnsi="Times New Roman"/>
          <w:sz w:val="28"/>
          <w:szCs w:val="28"/>
          <w:lang w:val="ru-RU"/>
        </w:rPr>
        <w:t>Международный форум «Современные тенденции устойчивого развития биологических наук», посвященный 90-летию КазНУ им. Аль-Фараби, 2024, 27-28 марта, Алматы, Казахстан.</w:t>
      </w:r>
    </w:p>
    <w:p>
      <w:pPr>
        <w:pStyle w:val="Heading2"/>
        <w:ind w:firstLine="720" w:start="0" w:end="0"/>
        <w:jc w:val="both"/>
        <w:rPr>
          <w:rFonts w:ascii="Times New Roman" w:hAnsi="Times New Roman"/>
        </w:rPr>
      </w:pPr>
      <w:r>
        <w:rPr>
          <w:rFonts w:ascii="Times New Roman" w:hAnsi="Times New Roman"/>
          <w:b w:val="false"/>
          <w:bCs w:val="false"/>
          <w:sz w:val="28"/>
          <w:szCs w:val="28"/>
          <w:lang w:val="ru-RU"/>
        </w:rPr>
        <w:t xml:space="preserve">Международная научная конференция по биологии и биотехнологии растений (ICPBB 2024) </w:t>
      </w:r>
      <w:r>
        <w:rPr>
          <w:rFonts w:ascii="Times New Roman" w:hAnsi="Times New Roman"/>
          <w:b w:val="false"/>
          <w:bCs w:val="false"/>
          <w:sz w:val="28"/>
          <w:szCs w:val="28"/>
        </w:rPr>
        <w:t>3-6 июня 2024 года, Алматы, Казахстан.</w:t>
      </w:r>
    </w:p>
    <w:p>
      <w:pPr>
        <w:pStyle w:val="Normal"/>
        <w:ind w:firstLine="720" w:start="0" w:end="0"/>
        <w:jc w:val="both"/>
        <w:rPr>
          <w:rFonts w:ascii="Times New Roman" w:hAnsi="Times New Roman"/>
        </w:rPr>
      </w:pPr>
      <w:r>
        <w:rPr>
          <w:rFonts w:ascii="Times New Roman" w:hAnsi="Times New Roman"/>
          <w:b/>
          <w:bCs/>
          <w:sz w:val="28"/>
          <w:szCs w:val="28"/>
          <w:lang w:val="ru-RU"/>
        </w:rPr>
        <w:t xml:space="preserve">Публикации. </w:t>
      </w:r>
      <w:r>
        <w:rPr>
          <w:rFonts w:ascii="Times New Roman" w:hAnsi="Times New Roman"/>
          <w:sz w:val="28"/>
          <w:szCs w:val="28"/>
          <w:lang w:val="ru-RU"/>
        </w:rPr>
        <w:t>В результате работы были подготовлены и изданы следующие публикации:</w:t>
      </w:r>
    </w:p>
    <w:p>
      <w:pPr>
        <w:pStyle w:val="Normal"/>
        <w:ind w:firstLine="720" w:start="0" w:end="0"/>
        <w:jc w:val="both"/>
        <w:rPr>
          <w:rFonts w:ascii="Times New Roman" w:hAnsi="Times New Roman"/>
        </w:rPr>
      </w:pPr>
      <w:r>
        <w:rPr>
          <w:rFonts w:ascii="Times New Roman" w:hAnsi="Times New Roman"/>
          <w:sz w:val="28"/>
          <w:szCs w:val="28"/>
          <w:lang w:val="ru-RU"/>
        </w:rPr>
        <w:t>1. Статьи в журналах, входящих в базы данных Scopus и Web of Science:</w:t>
      </w:r>
    </w:p>
    <w:p>
      <w:pPr>
        <w:pStyle w:val="Normal"/>
        <w:ind w:firstLine="720" w:start="0" w:end="0"/>
        <w:jc w:val="both"/>
        <w:rPr>
          <w:rFonts w:ascii="Times New Roman" w:hAnsi="Times New Roman"/>
        </w:rPr>
      </w:pPr>
      <w:r>
        <w:rPr>
          <w:rFonts w:ascii="Times New Roman" w:hAnsi="Times New Roman"/>
          <w:sz w:val="28"/>
          <w:szCs w:val="28"/>
          <w:lang w:val="ru-RU"/>
        </w:rPr>
        <w:t>Pozharskiy A. et al. MLO Proteins from Tomato (</w:t>
      </w:r>
      <w:r>
        <w:rPr>
          <w:rFonts w:ascii="Times New Roman" w:hAnsi="Times New Roman"/>
          <w:b w:val="false"/>
          <w:bCs w:val="false"/>
          <w:i/>
          <w:iCs/>
          <w:sz w:val="28"/>
          <w:szCs w:val="28"/>
          <w:lang w:val="ru-RU"/>
        </w:rPr>
        <w:t>Solanum lycopersicum</w:t>
      </w:r>
      <w:r>
        <w:rPr>
          <w:rFonts w:ascii="Times New Roman" w:hAnsi="Times New Roman"/>
          <w:sz w:val="28"/>
          <w:szCs w:val="28"/>
          <w:lang w:val="ru-RU"/>
        </w:rPr>
        <w:t xml:space="preserve"> L.) and Related Species in the Broad Phylogenetic Context: 12 // Plants. Multidisciplinary Digital Publishing Institute, 2022. Vol. 11, № 12. P. 1588.</w:t>
      </w:r>
    </w:p>
    <w:p>
      <w:pPr>
        <w:pStyle w:val="Normal"/>
        <w:ind w:firstLine="737" w:start="0" w:end="0"/>
        <w:jc w:val="both"/>
        <w:rPr>
          <w:rFonts w:ascii="Times New Roman" w:hAnsi="Times New Roman"/>
        </w:rPr>
      </w:pPr>
      <w:r>
        <w:rPr>
          <w:rFonts w:ascii="Times New Roman" w:hAnsi="Times New Roman"/>
          <w:sz w:val="28"/>
          <w:szCs w:val="28"/>
          <w:lang w:val="ru-RU"/>
        </w:rPr>
        <w:t xml:space="preserve">Pozharskiy A. et al. Screening a collection of local and foreign varieties of </w:t>
      </w:r>
      <w:r>
        <w:rPr>
          <w:rFonts w:ascii="Times New Roman" w:hAnsi="Times New Roman"/>
          <w:i/>
          <w:iCs/>
          <w:sz w:val="28"/>
          <w:szCs w:val="28"/>
          <w:lang w:val="ru-RU"/>
        </w:rPr>
        <w:t>Solanum lycopersicum</w:t>
      </w:r>
      <w:r>
        <w:rPr>
          <w:rFonts w:ascii="Times New Roman" w:hAnsi="Times New Roman"/>
          <w:sz w:val="28"/>
          <w:szCs w:val="28"/>
          <w:lang w:val="ru-RU"/>
        </w:rPr>
        <w:t xml:space="preserve"> L. in Kazakhstan for genetic markers of resistance against three tomato viruses // Heliyon. 2022. Vol. 8, № 8. P. e10095.</w:t>
      </w:r>
    </w:p>
    <w:p>
      <w:pPr>
        <w:pStyle w:val="Normal"/>
        <w:ind w:firstLine="720" w:start="0" w:end="0"/>
        <w:jc w:val="both"/>
        <w:rPr>
          <w:rFonts w:ascii="Times New Roman" w:hAnsi="Times New Roman"/>
        </w:rPr>
      </w:pPr>
      <w:r>
        <w:rPr>
          <w:rFonts w:ascii="Times New Roman" w:hAnsi="Times New Roman"/>
          <w:sz w:val="28"/>
          <w:szCs w:val="28"/>
          <w:lang w:val="ru-RU"/>
        </w:rPr>
        <w:t>Pozharskiy A. et al. Genetic diversity of the breeding collection of tomato varieties in Kazakhstan assessed using SSR, SCAR and CAPS markers //PeerJ. – 2023. – Т. 11. – С. e15683.</w:t>
      </w:r>
    </w:p>
    <w:p>
      <w:pPr>
        <w:pStyle w:val="Normal"/>
        <w:ind w:firstLine="720" w:start="0" w:end="0"/>
        <w:jc w:val="both"/>
        <w:rPr>
          <w:rFonts w:ascii="Times New Roman" w:hAnsi="Times New Roman"/>
        </w:rPr>
      </w:pPr>
      <w:r>
        <w:rPr>
          <w:rFonts w:ascii="Times New Roman" w:hAnsi="Times New Roman"/>
          <w:sz w:val="28"/>
          <w:szCs w:val="28"/>
          <w:lang w:val="ru-RU"/>
        </w:rPr>
        <w:t>2. Статьи в журналах, рекомендованных КОКСНВО МНВО РК:</w:t>
      </w:r>
    </w:p>
    <w:p>
      <w:pPr>
        <w:pStyle w:val="Normal"/>
        <w:ind w:firstLine="720" w:start="0" w:end="0"/>
        <w:jc w:val="both"/>
        <w:rPr>
          <w:rFonts w:ascii="Times New Roman" w:hAnsi="Times New Roman"/>
        </w:rPr>
      </w:pPr>
      <w:r>
        <w:rPr>
          <w:rFonts w:ascii="Times New Roman" w:hAnsi="Times New Roman"/>
          <w:sz w:val="28"/>
          <w:szCs w:val="28"/>
          <w:lang w:val="ru-RU"/>
        </w:rPr>
        <w:t>Костюкова В. С., Пожарский А. С. и др. Разработка направляющих РНК для CRISPR/cas9 редактирования генома томата //Gylym ža̋ne bìlìm. – 2024. – Т. 2. – №. 3 (76). – С. 73-84.</w:t>
      </w:r>
    </w:p>
    <w:p>
      <w:pPr>
        <w:pStyle w:val="Normal"/>
        <w:ind w:firstLine="720" w:start="0" w:end="0"/>
        <w:jc w:val="both"/>
        <w:rPr>
          <w:rFonts w:ascii="Times New Roman" w:hAnsi="Times New Roman"/>
        </w:rPr>
      </w:pPr>
      <w:r>
        <w:rPr>
          <w:rFonts w:ascii="Times New Roman" w:hAnsi="Times New Roman"/>
          <w:sz w:val="28"/>
          <w:szCs w:val="28"/>
          <w:lang w:val="ru-RU"/>
        </w:rPr>
        <w:t>3. Тезисы конференций:</w:t>
      </w:r>
    </w:p>
    <w:p>
      <w:pPr>
        <w:pStyle w:val="Normal"/>
        <w:ind w:firstLine="720" w:start="0" w:end="0"/>
        <w:jc w:val="both"/>
        <w:rPr>
          <w:rFonts w:ascii="Times New Roman" w:hAnsi="Times New Roman"/>
        </w:rPr>
      </w:pPr>
      <w:r>
        <w:rPr>
          <w:rFonts w:ascii="Times New Roman" w:hAnsi="Times New Roman"/>
          <w:sz w:val="28"/>
          <w:szCs w:val="28"/>
          <w:lang w:val="ru-RU"/>
        </w:rPr>
        <w:t xml:space="preserve">Pozharskiy A. S., Gritsenko D. A. Evolution of MLO-like proteins in flowering plants //Plant Genetics, Genomics, Bioinformatics, and Biotechnology. – 2021. – С. 178. </w:t>
      </w:r>
    </w:p>
    <w:p>
      <w:pPr>
        <w:pStyle w:val="Normal"/>
        <w:ind w:firstLine="720" w:start="0" w:end="0"/>
        <w:jc w:val="both"/>
        <w:rPr>
          <w:rFonts w:ascii="Times New Roman" w:hAnsi="Times New Roman"/>
        </w:rPr>
      </w:pPr>
      <w:r>
        <w:rPr>
          <w:rFonts w:ascii="Times New Roman" w:hAnsi="Times New Roman"/>
          <w:sz w:val="28"/>
          <w:szCs w:val="28"/>
          <w:lang w:val="ru-RU"/>
        </w:rPr>
        <w:t xml:space="preserve">Pozharskiy A. S., Gritsenko D. A. Prediction of SlMlo1 protein paralogs in </w:t>
      </w:r>
      <w:r>
        <w:rPr>
          <w:rFonts w:ascii="Times New Roman" w:hAnsi="Times New Roman"/>
          <w:i/>
          <w:iCs/>
          <w:sz w:val="28"/>
          <w:szCs w:val="28"/>
          <w:lang w:val="ru-RU"/>
        </w:rPr>
        <w:t>Solanum</w:t>
      </w:r>
      <w:r>
        <w:rPr>
          <w:rFonts w:ascii="Times New Roman" w:hAnsi="Times New Roman"/>
          <w:sz w:val="28"/>
          <w:szCs w:val="28"/>
          <w:lang w:val="ru-RU"/>
        </w:rPr>
        <w:t xml:space="preserve"> L. spp. using partially assembled genomic data // IV. International Agricultural, Biological &amp; Life Science Conference. – 2022. – С. 162. </w:t>
      </w:r>
    </w:p>
    <w:p>
      <w:pPr>
        <w:pStyle w:val="Normal"/>
        <w:ind w:firstLine="720" w:start="0" w:end="0"/>
        <w:jc w:val="both"/>
        <w:rPr>
          <w:rFonts w:ascii="Times New Roman" w:hAnsi="Times New Roman"/>
        </w:rPr>
      </w:pPr>
      <w:r>
        <w:rPr>
          <w:rFonts w:ascii="Times New Roman" w:hAnsi="Times New Roman"/>
          <w:sz w:val="28"/>
          <w:szCs w:val="28"/>
          <w:lang w:val="ru-RU"/>
        </w:rPr>
        <w:t>Pozharskiy A. et al. Molecular identification of Oidium neolycopersici on greenhouse tomato in Kazakhstan //BIO Web of Conferences. – EDP Sciences, 2024. – Т. 100. – С. 03013.</w:t>
      </w:r>
    </w:p>
    <w:p>
      <w:pPr>
        <w:pStyle w:val="Normal"/>
        <w:ind w:firstLine="720" w:start="0" w:end="0"/>
        <w:jc w:val="both"/>
        <w:rPr>
          <w:rFonts w:ascii="Times New Roman" w:hAnsi="Times New Roman"/>
        </w:rPr>
      </w:pPr>
      <w:r>
        <w:rPr>
          <w:rFonts w:ascii="Times New Roman" w:hAnsi="Times New Roman"/>
          <w:sz w:val="28"/>
          <w:szCs w:val="28"/>
          <w:lang w:val="ru-RU"/>
        </w:rPr>
        <w:t xml:space="preserve">Pozharskiy A. S. et al. Sequence variation of </w:t>
      </w:r>
      <w:r>
        <w:rPr>
          <w:rFonts w:ascii="Times New Roman" w:hAnsi="Times New Roman"/>
          <w:i/>
          <w:iCs/>
          <w:sz w:val="28"/>
          <w:szCs w:val="28"/>
          <w:lang w:val="ru-RU"/>
        </w:rPr>
        <w:t>SlMlo</w:t>
      </w:r>
      <w:r>
        <w:rPr>
          <w:rFonts w:ascii="Times New Roman" w:hAnsi="Times New Roman"/>
          <w:sz w:val="28"/>
          <w:szCs w:val="28"/>
          <w:lang w:val="ru-RU"/>
        </w:rPr>
        <w:t xml:space="preserve"> genes in tomato //International Conference On Plant Biology And Biotechnology (ICPBB 2024). – 2024 – С. 182. </w:t>
      </w:r>
    </w:p>
    <w:p>
      <w:pPr>
        <w:pStyle w:val="Normal"/>
        <w:ind w:firstLine="720" w:start="0" w:end="0"/>
        <w:jc w:val="both"/>
        <w:rPr>
          <w:rFonts w:ascii="Times New Roman" w:hAnsi="Times New Roman"/>
        </w:rPr>
      </w:pPr>
      <w:r>
        <w:rPr>
          <w:rFonts w:ascii="Times New Roman" w:hAnsi="Times New Roman"/>
          <w:sz w:val="28"/>
          <w:szCs w:val="28"/>
          <w:lang w:val="ru-RU"/>
        </w:rPr>
        <w:t>4. Методические рекомендации:</w:t>
      </w:r>
    </w:p>
    <w:p>
      <w:pPr>
        <w:pStyle w:val="Normal"/>
        <w:ind w:firstLine="720" w:start="0" w:end="0"/>
        <w:jc w:val="both"/>
        <w:rPr>
          <w:rFonts w:ascii="Times New Roman" w:hAnsi="Times New Roman"/>
        </w:rPr>
      </w:pPr>
      <w:r>
        <w:rPr>
          <w:rFonts w:ascii="Times New Roman" w:hAnsi="Times New Roman"/>
          <w:sz w:val="28"/>
          <w:szCs w:val="28"/>
          <w:lang w:val="ru-RU"/>
        </w:rPr>
        <w:t>Костюкова В.С., Капытина А.И., Пожарский А.С., PhD Гриценко Д.А. Молекулярное редактирования генома томата для придания устойчивости к мучнистой росе/Отпечатано в типографии «Жебе». Алматы, 2024г.-32c. // ISBN 978-601-08-4445-2</w:t>
      </w:r>
    </w:p>
    <w:p>
      <w:pPr>
        <w:pStyle w:val="Normal"/>
        <w:ind w:firstLine="720" w:start="0" w:end="0"/>
        <w:jc w:val="both"/>
        <w:rPr>
          <w:rFonts w:ascii="Times New Roman" w:hAnsi="Times New Roman"/>
        </w:rPr>
      </w:pPr>
      <w:r>
        <w:rPr>
          <w:rFonts w:ascii="Times New Roman" w:hAnsi="Times New Roman"/>
          <w:sz w:val="28"/>
          <w:szCs w:val="28"/>
          <w:lang w:val="ru-RU"/>
        </w:rPr>
        <w:t>5. Патенты:</w:t>
      </w:r>
    </w:p>
    <w:p>
      <w:pPr>
        <w:pStyle w:val="Normal"/>
        <w:ind w:firstLine="720" w:start="0" w:end="0"/>
        <w:jc w:val="both"/>
        <w:rPr>
          <w:rFonts w:ascii="Times New Roman" w:hAnsi="Times New Roman"/>
        </w:rPr>
      </w:pPr>
      <w:r>
        <w:rPr>
          <w:rFonts w:ascii="Times New Roman" w:hAnsi="Times New Roman"/>
          <w:sz w:val="28"/>
          <w:szCs w:val="28"/>
          <w:lang w:val="ru-RU"/>
        </w:rPr>
        <w:t>Патент РК на полезную модель: Гриценко Д.А., Пожарский А.С., Костюкова В.С. Набор субгеномных РНК для придания устойчивости томата к мучнистой росе. № 9311, 2024.</w:t>
      </w:r>
    </w:p>
    <w:p>
      <w:pPr>
        <w:pStyle w:val="Normal"/>
        <w:ind w:firstLine="720" w:start="0" w:end="0"/>
        <w:jc w:val="both"/>
        <w:rPr>
          <w:rFonts w:ascii="Times New Roman" w:hAnsi="Times New Roman"/>
        </w:rPr>
      </w:pPr>
      <w:r>
        <w:rPr>
          <w:rFonts w:ascii="Times New Roman" w:hAnsi="Times New Roman"/>
          <w:b/>
          <w:bCs/>
          <w:sz w:val="28"/>
          <w:szCs w:val="28"/>
          <w:lang w:val="ru-RU"/>
        </w:rPr>
        <w:t xml:space="preserve">Структура диссертации. </w:t>
      </w:r>
      <w:r>
        <w:rPr>
          <w:rFonts w:ascii="Times New Roman" w:hAnsi="Times New Roman"/>
          <w:b w:val="false"/>
          <w:bCs w:val="false"/>
          <w:sz w:val="28"/>
          <w:szCs w:val="28"/>
          <w:lang w:val="ru-RU"/>
        </w:rPr>
        <w:t>Диссертация изложена на 100 страницах и состоит из обозначений и сокращений, введения, обзора литературы, материалов и методов, результатов и обсуждения, заключения и  списка использованных источников из 226 наименований, из них 223 на английском языке; содержит 27 таблиц и 23 рисунка.</w:t>
      </w:r>
      <w:r>
        <w:br w:type="page"/>
      </w:r>
    </w:p>
    <w:p>
      <w:pPr>
        <w:pStyle w:val="Normal"/>
        <w:spacing w:before="0" w:after="0"/>
        <w:ind w:firstLine="720" w:start="0" w:end="0"/>
        <w:jc w:val="center"/>
        <w:rPr>
          <w:rFonts w:ascii="Times New Roman" w:hAnsi="Times New Roman"/>
        </w:rPr>
      </w:pPr>
      <w:r>
        <w:rPr>
          <w:rFonts w:ascii="Times New Roman" w:hAnsi="Times New Roman"/>
          <w:b/>
          <w:bCs/>
          <w:i w:val="false"/>
          <w:iCs w:val="false"/>
          <w:sz w:val="28"/>
          <w:szCs w:val="28"/>
          <w:lang w:val="ru-RU"/>
        </w:rPr>
        <w:t>1 ОБЗОР ЛИТЕРАТУРЫ</w:t>
      </w:r>
    </w:p>
    <w:p>
      <w:pPr>
        <w:pStyle w:val="Normal"/>
        <w:ind w:firstLine="720" w:start="0" w:end="0"/>
        <w:jc w:val="center"/>
        <w:rPr>
          <w:rFonts w:ascii="Times New Roman" w:hAnsi="Times New Roman"/>
          <w:b/>
          <w:bCs/>
          <w:i w:val="false"/>
          <w:i w:val="false"/>
          <w:iCs w:val="false"/>
          <w:sz w:val="28"/>
          <w:szCs w:val="28"/>
          <w:lang w:val="ru-RU"/>
        </w:rPr>
      </w:pPr>
      <w:r>
        <w:rPr>
          <w:rFonts w:ascii="Times New Roman" w:hAnsi="Times New Roman"/>
          <w:b/>
          <w:bCs/>
          <w:i w:val="false"/>
          <w:iCs w:val="false"/>
          <w:sz w:val="28"/>
          <w:szCs w:val="28"/>
          <w:lang w:val="ru-RU"/>
        </w:rPr>
      </w:r>
    </w:p>
    <w:p>
      <w:pPr>
        <w:pStyle w:val="Normal"/>
        <w:ind w:firstLine="720" w:start="0" w:end="0"/>
        <w:jc w:val="both"/>
        <w:rPr>
          <w:rFonts w:ascii="Times New Roman" w:hAnsi="Times New Roman"/>
        </w:rPr>
      </w:pPr>
      <w:r>
        <w:rPr>
          <w:rFonts w:ascii="Times New Roman" w:hAnsi="Times New Roman"/>
          <w:sz w:val="28"/>
          <w:szCs w:val="28"/>
          <w:lang w:val="ru-RU"/>
        </w:rPr>
        <w:t xml:space="preserve">1.1 Томат </w:t>
      </w:r>
      <w:r>
        <w:rPr>
          <w:rFonts w:ascii="Times New Roman" w:hAnsi="Times New Roman"/>
          <w:i/>
          <w:iCs/>
          <w:sz w:val="28"/>
          <w:szCs w:val="28"/>
          <w:lang w:val="ru-RU"/>
        </w:rPr>
        <w:t xml:space="preserve">Solanum lycopersicum </w:t>
      </w:r>
      <w:r>
        <w:rPr>
          <w:rFonts w:ascii="Times New Roman" w:hAnsi="Times New Roman"/>
          <w:i w:val="false"/>
          <w:iCs w:val="false"/>
          <w:sz w:val="28"/>
          <w:szCs w:val="28"/>
          <w:lang w:val="ru-RU"/>
        </w:rPr>
        <w:t>L.</w:t>
      </w:r>
    </w:p>
    <w:p>
      <w:pPr>
        <w:pStyle w:val="Normal"/>
        <w:suppressAutoHyphens w:val="false"/>
        <w:ind w:firstLine="737" w:start="0" w:end="0"/>
        <w:jc w:val="both"/>
        <w:rPr>
          <w:rFonts w:ascii="Times New Roman" w:hAnsi="Times New Roman"/>
        </w:rPr>
      </w:pPr>
      <w:r>
        <w:rPr>
          <w:rFonts w:eastAsia="Times New Roman" w:cs="Times New Roman" w:ascii="Times New Roman" w:hAnsi="Times New Roman"/>
          <w:b w:val="false"/>
          <w:bCs w:val="false"/>
          <w:i w:val="false"/>
          <w:iCs w:val="false"/>
          <w:sz w:val="28"/>
          <w:szCs w:val="28"/>
          <w:lang w:val="ru-RU" w:eastAsia="ru-RU"/>
        </w:rPr>
        <w:t xml:space="preserve">Томат </w:t>
      </w:r>
      <w:r>
        <w:rPr>
          <w:rFonts w:eastAsia="Times New Roman" w:cs="Times New Roman" w:ascii="Times New Roman" w:hAnsi="Times New Roman"/>
          <w:b w:val="false"/>
          <w:bCs w:val="false"/>
          <w:i/>
          <w:iCs/>
          <w:sz w:val="28"/>
          <w:szCs w:val="28"/>
          <w:lang w:val="ru-RU" w:eastAsia="ru-RU"/>
        </w:rPr>
        <w:t>Solanum lycopersicum</w:t>
      </w:r>
      <w:r>
        <w:rPr>
          <w:rFonts w:eastAsia="Times New Roman" w:cs="Times New Roman" w:ascii="Times New Roman" w:hAnsi="Times New Roman"/>
          <w:b w:val="false"/>
          <w:bCs w:val="false"/>
          <w:i w:val="false"/>
          <w:iCs w:val="false"/>
          <w:sz w:val="28"/>
          <w:szCs w:val="28"/>
          <w:lang w:val="ru-RU" w:eastAsia="ru-RU"/>
        </w:rPr>
        <w:t xml:space="preserve"> L. (традиционно классифицируемый также как </w:t>
      </w:r>
      <w:r>
        <w:rPr>
          <w:rFonts w:eastAsia="Times New Roman" w:cs="Times New Roman" w:ascii="Times New Roman" w:hAnsi="Times New Roman"/>
          <w:b w:val="false"/>
          <w:bCs w:val="false"/>
          <w:i/>
          <w:iCs/>
          <w:sz w:val="28"/>
          <w:szCs w:val="28"/>
          <w:lang w:val="ru-RU" w:eastAsia="ru-RU"/>
        </w:rPr>
        <w:t xml:space="preserve">Lycopersicon esculentum </w:t>
      </w:r>
      <w:r>
        <w:rPr>
          <w:rFonts w:eastAsia="Times New Roman" w:cs="Times New Roman" w:ascii="Times New Roman" w:hAnsi="Times New Roman"/>
          <w:b w:val="false"/>
          <w:bCs w:val="false"/>
          <w:i/>
          <w:iCs w:val="false"/>
          <w:sz w:val="28"/>
          <w:szCs w:val="28"/>
          <w:lang w:val="ru-RU" w:eastAsia="ru-RU"/>
        </w:rPr>
        <w:t>[21]</w:t>
      </w:r>
      <w:r>
        <w:rPr>
          <w:rFonts w:eastAsia="Times New Roman" w:cs="Times New Roman" w:ascii="Times New Roman" w:hAnsi="Times New Roman"/>
          <w:b w:val="false"/>
          <w:bCs w:val="false"/>
          <w:i w:val="false"/>
          <w:iCs w:val="false"/>
          <w:sz w:val="28"/>
          <w:szCs w:val="28"/>
          <w:lang w:val="ru-RU" w:eastAsia="ru-RU"/>
        </w:rPr>
        <w:t xml:space="preserve">) – один из важнейших представителей культурных растений семейства </w:t>
      </w:r>
      <w:r>
        <w:rPr>
          <w:rFonts w:eastAsia="Times New Roman" w:cs="Times New Roman" w:ascii="Times New Roman" w:hAnsi="Times New Roman"/>
          <w:b w:val="false"/>
          <w:bCs w:val="false"/>
          <w:i/>
          <w:iCs/>
          <w:sz w:val="28"/>
          <w:szCs w:val="28"/>
          <w:lang w:val="ru-RU" w:eastAsia="ru-RU"/>
        </w:rPr>
        <w:t xml:space="preserve">Solanaceae, </w:t>
      </w:r>
      <w:r>
        <w:rPr>
          <w:rFonts w:eastAsia="Times New Roman" w:cs="Times New Roman" w:ascii="Times New Roman" w:hAnsi="Times New Roman"/>
          <w:b w:val="false"/>
          <w:bCs w:val="false"/>
          <w:i w:val="false"/>
          <w:iCs w:val="false"/>
          <w:sz w:val="28"/>
          <w:szCs w:val="28"/>
          <w:lang w:val="ru-RU" w:eastAsia="ru-RU"/>
        </w:rPr>
        <w:t xml:space="preserve">наряду с такими видами как картофель </w:t>
      </w:r>
      <w:r>
        <w:rPr>
          <w:rFonts w:eastAsia="Times New Roman" w:cs="Times New Roman" w:ascii="Times New Roman" w:hAnsi="Times New Roman"/>
          <w:b w:val="false"/>
          <w:bCs w:val="false"/>
          <w:i/>
          <w:iCs/>
          <w:sz w:val="28"/>
          <w:szCs w:val="28"/>
          <w:lang w:val="ru-RU" w:eastAsia="ru-RU"/>
        </w:rPr>
        <w:t xml:space="preserve">S. tuberosum, </w:t>
      </w:r>
      <w:r>
        <w:rPr>
          <w:rFonts w:eastAsia="Times New Roman" w:cs="Times New Roman" w:ascii="Times New Roman" w:hAnsi="Times New Roman"/>
          <w:b w:val="false"/>
          <w:bCs w:val="false"/>
          <w:i w:val="false"/>
          <w:iCs w:val="false"/>
          <w:sz w:val="28"/>
          <w:szCs w:val="28"/>
          <w:lang w:val="ru-RU" w:eastAsia="ru-RU"/>
        </w:rPr>
        <w:t xml:space="preserve">перец </w:t>
      </w:r>
      <w:r>
        <w:rPr>
          <w:rFonts w:eastAsia="Times New Roman" w:cs="Times New Roman" w:ascii="Times New Roman" w:hAnsi="Times New Roman"/>
          <w:b w:val="false"/>
          <w:bCs w:val="false"/>
          <w:i/>
          <w:iCs/>
          <w:sz w:val="28"/>
          <w:szCs w:val="28"/>
          <w:lang w:val="ru-RU" w:eastAsia="ru-RU"/>
        </w:rPr>
        <w:t xml:space="preserve">Caspsicum annuum </w:t>
      </w:r>
      <w:r>
        <w:rPr>
          <w:rFonts w:eastAsia="Times New Roman" w:cs="Times New Roman" w:ascii="Times New Roman" w:hAnsi="Times New Roman"/>
          <w:b w:val="false"/>
          <w:bCs w:val="false"/>
          <w:i w:val="false"/>
          <w:iCs w:val="false"/>
          <w:sz w:val="28"/>
          <w:szCs w:val="28"/>
          <w:lang w:val="ru-RU" w:eastAsia="ru-RU"/>
        </w:rPr>
        <w:t xml:space="preserve">и </w:t>
      </w:r>
      <w:r>
        <w:rPr>
          <w:rFonts w:eastAsia="Times New Roman" w:cs="Times New Roman" w:ascii="Times New Roman" w:hAnsi="Times New Roman"/>
          <w:b w:val="false"/>
          <w:bCs w:val="false"/>
          <w:i/>
          <w:iCs/>
          <w:sz w:val="28"/>
          <w:szCs w:val="28"/>
          <w:lang w:val="ru-RU" w:eastAsia="ru-RU"/>
        </w:rPr>
        <w:t xml:space="preserve">C. сhinense, </w:t>
      </w:r>
      <w:r>
        <w:rPr>
          <w:rFonts w:eastAsia="Times New Roman" w:cs="Times New Roman" w:ascii="Times New Roman" w:hAnsi="Times New Roman"/>
          <w:b w:val="false"/>
          <w:bCs w:val="false"/>
          <w:i w:val="false"/>
          <w:iCs w:val="false"/>
          <w:sz w:val="28"/>
          <w:szCs w:val="28"/>
          <w:lang w:val="ru-RU" w:eastAsia="ru-RU"/>
        </w:rPr>
        <w:t xml:space="preserve">табак </w:t>
      </w:r>
      <w:r>
        <w:rPr>
          <w:rFonts w:eastAsia="Times New Roman" w:cs="Times New Roman" w:ascii="Times New Roman" w:hAnsi="Times New Roman"/>
          <w:b w:val="false"/>
          <w:bCs w:val="false"/>
          <w:i/>
          <w:iCs/>
          <w:sz w:val="28"/>
          <w:szCs w:val="28"/>
          <w:lang w:val="ru-RU" w:eastAsia="ru-RU"/>
        </w:rPr>
        <w:t xml:space="preserve">Nicotiana tabacum </w:t>
      </w:r>
      <w:r>
        <w:rPr>
          <w:rFonts w:eastAsia="Times New Roman" w:cs="Times New Roman" w:ascii="Times New Roman" w:hAnsi="Times New Roman"/>
          <w:b w:val="false"/>
          <w:bCs w:val="false"/>
          <w:i w:val="false"/>
          <w:iCs w:val="false"/>
          <w:sz w:val="28"/>
          <w:szCs w:val="28"/>
          <w:lang w:val="ru-RU" w:eastAsia="ru-RU"/>
        </w:rPr>
        <w:t>и др.. Томаты входят в число наиболее популярных овощных культур во всем мире, имеющих широкое применение в кулинарии и пищевой промышленности, как в свежем виде, так и в форме переработанных продуктов. Благодаря высокому содержанию в плодах таких биологически-активных соединений как ликопин, аскорбиновая кислота, флавоноиды, антоцианы и др., а также микроэлементов, хорошо сохраняющихся при переработке, томаты считаются одним из наиболее полезным для здоровья пищевым продуктом [22].</w:t>
      </w:r>
    </w:p>
    <w:p>
      <w:pPr>
        <w:pStyle w:val="Normal"/>
        <w:suppressAutoHyphens w:val="false"/>
        <w:ind w:firstLine="737" w:start="0" w:end="0"/>
        <w:jc w:val="both"/>
        <w:rPr>
          <w:rFonts w:ascii="Times New Roman" w:hAnsi="Times New Roman"/>
        </w:rPr>
      </w:pPr>
      <w:r>
        <w:rPr>
          <w:rFonts w:eastAsia="Times New Roman" w:cs="Times New Roman" w:ascii="Times New Roman" w:hAnsi="Times New Roman"/>
          <w:b w:val="false"/>
          <w:bCs w:val="false"/>
          <w:i w:val="false"/>
          <w:iCs w:val="false"/>
          <w:sz w:val="28"/>
          <w:szCs w:val="28"/>
          <w:lang w:val="ru-RU" w:eastAsia="ru-RU"/>
        </w:rPr>
        <w:t xml:space="preserve">Томат представляет собой однолетнее травянистое растение с ограниченным, до 8 м (детерминант), или неограниченным (индетерминант) ростом стебля. Листья томата очередные, варьируют по степени рассечённости, форме, размеру, окраске. Наиболее характерен сильнорассечённый лист с гладкой поверхностью. Цветки обоеполые, с жёлтым венчиком из 5 лепестков. Цветки томата самоопыляющиеся, остаются открытыми 3–4 дня, собраны в соцветие кисть. Плод – мясистая многогнёздная ягода разнообразной формы (округлая, удлиненная и т.д.) и окраски (от желтой, оранжевой или красной до темно-фиолетовой). Семена сплюснутые, серовато-жёлтой окраски, опушённые, 200–250 семян на 1 г [23]. </w:t>
      </w:r>
    </w:p>
    <w:p>
      <w:pPr>
        <w:pStyle w:val="Normal"/>
        <w:suppressAutoHyphens w:val="false"/>
        <w:ind w:firstLine="737" w:start="0" w:end="0"/>
        <w:jc w:val="both"/>
        <w:rPr>
          <w:rFonts w:ascii="Times New Roman" w:hAnsi="Times New Roman"/>
        </w:rPr>
      </w:pPr>
      <w:r>
        <w:rPr>
          <w:rFonts w:eastAsia="Times New Roman" w:cs="Times New Roman" w:ascii="Times New Roman" w:hAnsi="Times New Roman"/>
          <w:b w:val="false"/>
          <w:bCs w:val="false"/>
          <w:i w:val="false"/>
          <w:iCs w:val="false"/>
          <w:sz w:val="28"/>
          <w:szCs w:val="28"/>
          <w:lang w:val="ru-RU" w:eastAsia="ru-RU"/>
        </w:rPr>
        <w:t>Томаты составляют важную часть общего производства овощей в Казахстане: Согласно данным Продовольственной и Сельскохозяйственной Организации (FAO) Объединенных наций в 2022 году с 28,9 тыс. га было собрано 792 359,76 тонн, при удельном сборе 27, 4 т/га [1]. Однако, в динамике производства томатов в стране наблюдается преобладание экстенсивного развития: за последние 30 лет зарегистрировано увеличение площади выращивания в два раза, при отсутствии улучшения удельной урожайности на гектар посевной площади [1]. Кроме того, по данным Комитета государственных доходов Министерства финансов Республики Казахстан, значительная доля местного рынка томатов приходится на импорт: 2020 году было импортировано около 58 636 тонн томатов, в основном из стран Центральной Азии [2], что соответствует примерно 7,4% от объема местного производства. Отечественные томатные хозяйства также полагаются на импорт семенного материала из-за рубежа (в 2020 году было импортировано 57,3 тонны семян овощных культур, хотя конкретная культура не учитывалась). Импорт растительной продукции и посадочного материала связан с риском завоза и распространения патогенов растений, что создает потенциальные угрозы пищевой безопасности в виде эпифитотий. Различные инфекции (бактерии, грибы, вирусы и простейшие) могут привести к значительным потерям урожая, при этом их распространение сложно контролировать. Современные практики борьбы с подобными угрозами включают в себя не только методы детекции и мониторинга патогенов, но и внедрение новых технологий увеличения устойчивости культур. В Казахстане селекция томата, особенно в отношении устойчивости к патогенам и вредителям, носит ограниченный характер и базируется на традиционных методиках. Таким образом, использование новых наукоемких подходов является особенно актуальным для республики.</w:t>
      </w:r>
    </w:p>
    <w:p>
      <w:pPr>
        <w:pStyle w:val="Normal"/>
        <w:ind w:firstLine="720" w:start="0" w:end="0"/>
        <w:jc w:val="both"/>
        <w:rPr>
          <w:sz w:val="28"/>
          <w:szCs w:val="28"/>
          <w:lang w:val="ru-RU"/>
        </w:rPr>
      </w:pPr>
      <w:r>
        <w:rPr>
          <w:sz w:val="28"/>
          <w:szCs w:val="28"/>
          <w:lang w:val="ru-RU"/>
        </w:rPr>
      </w:r>
    </w:p>
    <w:p>
      <w:pPr>
        <w:pStyle w:val="Normal"/>
        <w:ind w:firstLine="720" w:start="0" w:end="0"/>
        <w:jc w:val="both"/>
        <w:rPr>
          <w:rFonts w:ascii="Times New Roman" w:hAnsi="Times New Roman"/>
        </w:rPr>
      </w:pPr>
      <w:r>
        <w:rPr>
          <w:rFonts w:ascii="Times New Roman" w:hAnsi="Times New Roman"/>
          <w:sz w:val="28"/>
          <w:szCs w:val="28"/>
          <w:lang w:val="ru-RU"/>
        </w:rPr>
        <w:t>1.2 Мучнистая роса томата</w:t>
      </w:r>
    </w:p>
    <w:p>
      <w:pPr>
        <w:pStyle w:val="Normal"/>
        <w:ind w:firstLine="720" w:start="0" w:end="0"/>
        <w:jc w:val="both"/>
        <w:rPr>
          <w:rFonts w:ascii="Times New Roman" w:hAnsi="Times New Roman"/>
        </w:rPr>
      </w:pPr>
      <w:r>
        <w:rPr>
          <w:rFonts w:ascii="Times New Roman" w:hAnsi="Times New Roman"/>
          <w:i w:val="false"/>
          <w:iCs w:val="false"/>
          <w:sz w:val="28"/>
          <w:szCs w:val="28"/>
          <w:lang w:val="ru-RU"/>
        </w:rPr>
        <w:t xml:space="preserve">Мучнистая роса (PM) относится к числу наиболее распространенных заболеваний растений во всем мире. Более 900 видов грибов, принадлежащих к семейству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способны поражать около 10 000 – 16 000 видов растений [24], угрожая, таким образом, большинству экономически важных сельскохозяйственных культур [11], лесов [25] и городских древесных растений [26,27]. Семейство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относится к классу </w:t>
      </w:r>
      <w:r>
        <w:rPr>
          <w:rFonts w:ascii="Times New Roman" w:hAnsi="Times New Roman"/>
          <w:i/>
          <w:iCs/>
          <w:sz w:val="28"/>
          <w:szCs w:val="28"/>
          <w:lang w:val="ru-RU"/>
        </w:rPr>
        <w:t>Leotiomycetes</w:t>
      </w:r>
      <w:r>
        <w:rPr>
          <w:rFonts w:ascii="Times New Roman" w:hAnsi="Times New Roman"/>
          <w:i w:val="false"/>
          <w:iCs w:val="false"/>
          <w:sz w:val="28"/>
          <w:szCs w:val="28"/>
          <w:lang w:val="ru-RU"/>
        </w:rPr>
        <w:t xml:space="preserve"> отряда </w:t>
      </w:r>
      <w:r>
        <w:rPr>
          <w:rFonts w:ascii="Times New Roman" w:hAnsi="Times New Roman"/>
          <w:i/>
          <w:iCs/>
          <w:sz w:val="28"/>
          <w:szCs w:val="28"/>
          <w:lang w:val="ru-RU"/>
        </w:rPr>
        <w:t>Ascomycota</w:t>
      </w:r>
      <w:r>
        <w:rPr>
          <w:rFonts w:ascii="Times New Roman" w:hAnsi="Times New Roman"/>
          <w:i w:val="false"/>
          <w:iCs w:val="false"/>
          <w:sz w:val="28"/>
          <w:szCs w:val="28"/>
          <w:lang w:val="ru-RU"/>
        </w:rPr>
        <w:t xml:space="preserve">; хотя оно традиционно классифицировалось как единственное семейство самостоятельного порядка </w:t>
      </w:r>
      <w:r>
        <w:rPr>
          <w:rFonts w:ascii="Times New Roman" w:hAnsi="Times New Roman"/>
          <w:i/>
          <w:iCs/>
          <w:sz w:val="28"/>
          <w:szCs w:val="28"/>
          <w:lang w:val="ru-RU"/>
        </w:rPr>
        <w:t>Erysiphales</w:t>
      </w:r>
      <w:r>
        <w:rPr>
          <w:rFonts w:ascii="Times New Roman" w:hAnsi="Times New Roman"/>
          <w:i w:val="false"/>
          <w:iCs w:val="false"/>
          <w:sz w:val="28"/>
          <w:szCs w:val="28"/>
          <w:lang w:val="ru-RU"/>
        </w:rPr>
        <w:t xml:space="preserve"> [10], результаты молекулярно-филогенетических исследований ставят вопрос о его принадлежности к порядку </w:t>
      </w:r>
      <w:r>
        <w:rPr>
          <w:rFonts w:ascii="Times New Roman" w:hAnsi="Times New Roman"/>
          <w:i/>
          <w:iCs/>
          <w:sz w:val="28"/>
          <w:szCs w:val="28"/>
          <w:lang w:val="ru-RU"/>
        </w:rPr>
        <w:t>Helotiales</w:t>
      </w:r>
      <w:r>
        <w:rPr>
          <w:rFonts w:ascii="Times New Roman" w:hAnsi="Times New Roman"/>
          <w:i w:val="false"/>
          <w:iCs w:val="false"/>
          <w:sz w:val="28"/>
          <w:szCs w:val="28"/>
          <w:lang w:val="ru-RU"/>
        </w:rPr>
        <w:t xml:space="preserve"> [28,29]. Как и другие высшие грибы,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имеют сложную классификацию из-за их жизненных циклов с асексуальной (анаморфной) и сексуальной (телеоморфной) фазами, отличающимися морфологическими особенностями. Анаморфные и телеоморфные стадии традиционно имеют двойную таксономию [30] из-за ограничений традиционных методов видовой идентификации грибов [31,32]. После Амстердамской декларации, принявшей принцип «один гриб – одно название» [33], современная таксономия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была пересмотрена, чтобы обеспечить однозначную видовую (голоморфную) классификацию, основанную на телеоморфах как обладающих более характерными признаками; анаморфные названия должны рассматриваться как синонимы [34,35]. Тем не менее, классификация грибов мучнистой росы остается сложной и требует постоянного обновления с учетом новых данных, таких как мультилокусные филогенетические [36,37] и сравнительные геномные исследования.</w:t>
      </w:r>
    </w:p>
    <w:p>
      <w:pPr>
        <w:pStyle w:val="Normal"/>
        <w:ind w:firstLine="720" w:start="0" w:end="0"/>
        <w:jc w:val="both"/>
        <w:rPr>
          <w:rFonts w:ascii="Times New Roman" w:hAnsi="Times New Roman"/>
        </w:rPr>
      </w:pPr>
      <w:r>
        <w:rPr>
          <w:rFonts w:ascii="Times New Roman" w:hAnsi="Times New Roman"/>
          <w:i w:val="false"/>
          <w:iCs w:val="false"/>
          <w:sz w:val="28"/>
          <w:szCs w:val="28"/>
          <w:lang w:val="ru-RU"/>
        </w:rPr>
        <w:t xml:space="preserve">Характерные симптомы мучнистой росы на различных видах хозяев включают появление и разрастание белых мучнистых пятен, покрывающих вегетативные части растения [38]. Все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являются облигатными паразитами, колонизирующими эпидермальные клетки растений [12], и не могут быть выращены в культуре</w:t>
      </w:r>
      <w:r>
        <w:rPr>
          <w:rFonts w:ascii="Times New Roman" w:hAnsi="Times New Roman"/>
          <w:i/>
          <w:iCs/>
          <w:sz w:val="28"/>
          <w:szCs w:val="28"/>
          <w:lang w:val="ru-RU"/>
        </w:rPr>
        <w:t xml:space="preserve"> in vitro</w:t>
      </w:r>
      <w:r>
        <w:rPr>
          <w:rFonts w:ascii="Times New Roman" w:hAnsi="Times New Roman"/>
          <w:i w:val="false"/>
          <w:iCs w:val="false"/>
          <w:sz w:val="28"/>
          <w:szCs w:val="28"/>
          <w:lang w:val="ru-RU"/>
        </w:rPr>
        <w:t xml:space="preserve"> [11]. Большинство видов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имеют эпифитную локализацию мицелия; только представители трибы </w:t>
      </w:r>
      <w:r>
        <w:rPr>
          <w:rFonts w:ascii="Times New Roman" w:hAnsi="Times New Roman"/>
          <w:i/>
          <w:iCs/>
          <w:sz w:val="28"/>
          <w:szCs w:val="28"/>
          <w:lang w:val="ru-RU"/>
        </w:rPr>
        <w:t>Phyllactinieae</w:t>
      </w:r>
      <w:r>
        <w:rPr>
          <w:rFonts w:ascii="Times New Roman" w:hAnsi="Times New Roman"/>
          <w:i w:val="false"/>
          <w:iCs w:val="false"/>
          <w:sz w:val="28"/>
          <w:szCs w:val="28"/>
          <w:lang w:val="ru-RU"/>
        </w:rPr>
        <w:t xml:space="preserve">, включая род </w:t>
      </w:r>
      <w:r>
        <w:rPr>
          <w:rFonts w:ascii="Times New Roman" w:hAnsi="Times New Roman"/>
          <w:i/>
          <w:iCs/>
          <w:sz w:val="28"/>
          <w:szCs w:val="28"/>
          <w:lang w:val="ru-RU"/>
        </w:rPr>
        <w:t>Leveillula</w:t>
      </w:r>
      <w:r>
        <w:rPr>
          <w:rFonts w:ascii="Times New Roman" w:hAnsi="Times New Roman"/>
          <w:i w:val="false"/>
          <w:iCs w:val="false"/>
          <w:sz w:val="28"/>
          <w:szCs w:val="28"/>
          <w:lang w:val="ru-RU"/>
        </w:rPr>
        <w:t xml:space="preserve">, являются гемиэндофитами с частичным поверхностным ростом гиф [39]. </w:t>
      </w:r>
    </w:p>
    <w:p>
      <w:pPr>
        <w:pStyle w:val="Normal"/>
        <w:tabs>
          <w:tab w:val="clear" w:pos="709"/>
          <w:tab w:val="left" w:pos="1077" w:leader="none"/>
        </w:tabs>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Несколько видов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были зарегистрированы в качестве возбудителей мучнистой росы томата [13,40] , наиболее известными из которых являются </w:t>
      </w:r>
      <w:r>
        <w:rPr>
          <w:rFonts w:ascii="Times New Roman" w:hAnsi="Times New Roman"/>
          <w:i/>
          <w:iCs/>
          <w:sz w:val="28"/>
          <w:szCs w:val="28"/>
          <w:lang w:val="ru-RU"/>
        </w:rPr>
        <w:t>Leveillula taurica</w:t>
      </w:r>
      <w:r>
        <w:rPr>
          <w:rFonts w:ascii="Times New Roman" w:hAnsi="Times New Roman"/>
          <w:i w:val="false"/>
          <w:iCs w:val="false"/>
          <w:sz w:val="28"/>
          <w:szCs w:val="28"/>
          <w:lang w:val="ru-RU"/>
        </w:rPr>
        <w:t xml:space="preserve"> (анаморф </w:t>
      </w:r>
      <w:r>
        <w:rPr>
          <w:rFonts w:ascii="Times New Roman" w:hAnsi="Times New Roman"/>
          <w:i/>
          <w:iCs/>
          <w:sz w:val="28"/>
          <w:szCs w:val="28"/>
          <w:lang w:val="ru-RU"/>
        </w:rPr>
        <w:t>Oidiopsis taurica</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Erysiphe neolycopersici</w:t>
      </w:r>
      <w:r>
        <w:rPr>
          <w:rFonts w:ascii="Times New Roman" w:hAnsi="Times New Roman"/>
          <w:i w:val="false"/>
          <w:iCs w:val="false"/>
          <w:sz w:val="28"/>
          <w:szCs w:val="28"/>
          <w:lang w:val="ru-RU"/>
        </w:rPr>
        <w:t xml:space="preserve"> (анаморф </w:t>
      </w:r>
      <w:r>
        <w:rPr>
          <w:rFonts w:ascii="Times New Roman" w:hAnsi="Times New Roman"/>
          <w:i/>
          <w:iCs/>
          <w:sz w:val="28"/>
          <w:szCs w:val="28"/>
          <w:lang w:val="ru-RU"/>
        </w:rPr>
        <w:t>Pseudoidium neolycopersici</w:t>
      </w:r>
      <w:r>
        <w:rPr>
          <w:rFonts w:ascii="Times New Roman" w:hAnsi="Times New Roman"/>
          <w:i w:val="false"/>
          <w:iCs w:val="false"/>
          <w:sz w:val="28"/>
          <w:szCs w:val="28"/>
          <w:lang w:val="ru-RU"/>
        </w:rPr>
        <w:t xml:space="preserve">, или </w:t>
      </w:r>
      <w:r>
        <w:rPr>
          <w:rFonts w:ascii="Times New Roman" w:hAnsi="Times New Roman"/>
          <w:i/>
          <w:iCs/>
          <w:sz w:val="28"/>
          <w:szCs w:val="28"/>
          <w:lang w:val="ru-RU"/>
        </w:rPr>
        <w:t>Oidium neolycopersici</w:t>
      </w:r>
      <w:r>
        <w:rPr>
          <w:rFonts w:ascii="Times New Roman" w:hAnsi="Times New Roman"/>
          <w:i w:val="false"/>
          <w:iCs w:val="false"/>
          <w:sz w:val="28"/>
          <w:szCs w:val="28"/>
          <w:lang w:val="ru-RU"/>
        </w:rPr>
        <w:t xml:space="preserve">; также ранее классифицировался как </w:t>
      </w:r>
      <w:r>
        <w:rPr>
          <w:rFonts w:ascii="Times New Roman" w:hAnsi="Times New Roman"/>
          <w:i/>
          <w:iCs/>
          <w:sz w:val="28"/>
          <w:szCs w:val="28"/>
          <w:lang w:val="ru-RU"/>
        </w:rPr>
        <w:t>Erysiphe orontii</w:t>
      </w:r>
      <w:r>
        <w:rPr>
          <w:rFonts w:ascii="Times New Roman" w:hAnsi="Times New Roman"/>
          <w:i w:val="false"/>
          <w:iCs w:val="false"/>
          <w:sz w:val="28"/>
          <w:szCs w:val="28"/>
          <w:lang w:val="ru-RU"/>
        </w:rPr>
        <w:t xml:space="preserve"> [41] , или </w:t>
      </w:r>
      <w:r>
        <w:rPr>
          <w:rFonts w:ascii="Times New Roman" w:hAnsi="Times New Roman"/>
          <w:i/>
          <w:iCs/>
          <w:sz w:val="28"/>
          <w:szCs w:val="28"/>
          <w:lang w:val="ru-RU"/>
        </w:rPr>
        <w:t xml:space="preserve">Golovinomyces orontii </w:t>
      </w:r>
      <w:r>
        <w:rPr>
          <w:rFonts w:ascii="Times New Roman" w:hAnsi="Times New Roman"/>
          <w:i/>
          <w:iCs w:val="false"/>
          <w:sz w:val="28"/>
          <w:szCs w:val="28"/>
          <w:lang w:val="ru-RU"/>
        </w:rPr>
        <w:t>[42]</w:t>
      </w:r>
      <w:r>
        <w:rPr>
          <w:rFonts w:ascii="Times New Roman" w:hAnsi="Times New Roman"/>
          <w:i w:val="false"/>
          <w:iCs w:val="false"/>
          <w:sz w:val="28"/>
          <w:szCs w:val="28"/>
          <w:lang w:val="ru-RU"/>
        </w:rPr>
        <w:t xml:space="preserve"> (таблица 1, рисунок 1). Третий известный вид,</w:t>
      </w:r>
      <w:r>
        <w:rPr>
          <w:rFonts w:ascii="Times New Roman" w:hAnsi="Times New Roman"/>
          <w:i/>
          <w:iCs/>
          <w:sz w:val="28"/>
          <w:szCs w:val="28"/>
          <w:lang w:val="ru-RU"/>
        </w:rPr>
        <w:t xml:space="preserve"> Oidium lycopersici,</w:t>
      </w:r>
      <w:r>
        <w:rPr>
          <w:rFonts w:ascii="Times New Roman" w:hAnsi="Times New Roman"/>
          <w:i w:val="false"/>
          <w:iCs w:val="false"/>
          <w:sz w:val="28"/>
          <w:szCs w:val="28"/>
          <w:lang w:val="ru-RU"/>
        </w:rPr>
        <w:t xml:space="preserve"> является эндемиком Австралии и, таким образом, представляет преимущественно локальный интерес [42,43].</w:t>
      </w:r>
    </w:p>
    <w:p>
      <w:pPr>
        <w:pStyle w:val="Normal"/>
        <w:tabs>
          <w:tab w:val="clear" w:pos="709"/>
          <w:tab w:val="left" w:pos="1077" w:leader="none"/>
        </w:tabs>
        <w:suppressAutoHyphens w:val="false"/>
        <w:ind w:firstLine="737" w:start="0" w:end="0"/>
        <w:jc w:val="both"/>
        <w:rPr>
          <w:rFonts w:ascii="Times New Roman" w:hAnsi="Times New Roman"/>
        </w:rPr>
      </w:pPr>
      <w:r>
        <w:rPr>
          <w:rFonts w:ascii="Times New Roman" w:hAnsi="Times New Roman"/>
          <w:i/>
          <w:iCs/>
          <w:sz w:val="28"/>
          <w:szCs w:val="28"/>
          <w:lang w:val="ru-RU"/>
        </w:rPr>
        <w:t>Oidium neolycopersici</w:t>
      </w:r>
      <w:r>
        <w:rPr>
          <w:rFonts w:ascii="Times New Roman" w:hAnsi="Times New Roman"/>
          <w:i w:val="false"/>
          <w:iCs w:val="false"/>
          <w:sz w:val="28"/>
          <w:szCs w:val="28"/>
          <w:lang w:val="ru-RU"/>
        </w:rPr>
        <w:t xml:space="preserve"> – относительно недавно обнаруженный патоген, впервые выявлен в Нидерландах в 1986 году ([44], по [45]) и в Великобритании, предположительно из того же голландского источника [46]. Первоначально этот вид был идентифицирован как </w:t>
      </w:r>
      <w:r>
        <w:rPr>
          <w:rFonts w:ascii="Times New Roman" w:hAnsi="Times New Roman"/>
          <w:i/>
          <w:iCs/>
          <w:sz w:val="28"/>
          <w:szCs w:val="28"/>
          <w:lang w:val="ru-RU"/>
        </w:rPr>
        <w:t>Oidium lycopersicum</w:t>
      </w:r>
      <w:r>
        <w:rPr>
          <w:rFonts w:ascii="Times New Roman" w:hAnsi="Times New Roman"/>
          <w:i w:val="false"/>
          <w:iCs w:val="false"/>
          <w:sz w:val="28"/>
          <w:szCs w:val="28"/>
          <w:lang w:val="ru-RU"/>
        </w:rPr>
        <w:t xml:space="preserve"> Cooke &amp; Mass, вид, ранее описанный в Австралии [47]; однако морфологические и молекулярные данные обосновали разделение двух видов: исправленное название</w:t>
      </w:r>
      <w:r>
        <w:rPr>
          <w:rFonts w:ascii="Times New Roman" w:hAnsi="Times New Roman"/>
          <w:i/>
          <w:iCs/>
          <w:sz w:val="28"/>
          <w:szCs w:val="28"/>
          <w:lang w:val="ru-RU"/>
        </w:rPr>
        <w:t xml:space="preserve"> O. lycopersici</w:t>
      </w:r>
      <w:r>
        <w:rPr>
          <w:rFonts w:ascii="Times New Roman" w:hAnsi="Times New Roman"/>
          <w:i w:val="false"/>
          <w:iCs w:val="false"/>
          <w:sz w:val="28"/>
          <w:szCs w:val="28"/>
          <w:lang w:val="ru-RU"/>
        </w:rPr>
        <w:t xml:space="preserve"> было сохранено для австралийских изолятов, тогда как гриб, распространенный за пределами Австралии, было предложено назвать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[42,48]; таким образом, все исследования, опубликованные до 2000 года, и некоторые более поздние работы упоминают этот вид как </w:t>
      </w:r>
      <w:r>
        <w:rPr>
          <w:rFonts w:ascii="Times New Roman" w:hAnsi="Times New Roman"/>
          <w:i/>
          <w:iCs/>
          <w:sz w:val="28"/>
          <w:szCs w:val="28"/>
          <w:lang w:val="ru-RU"/>
        </w:rPr>
        <w:t>O. lycopersicum/lycopersici</w:t>
      </w:r>
      <w:r>
        <w:rPr>
          <w:rFonts w:ascii="Times New Roman" w:hAnsi="Times New Roman"/>
          <w:i w:val="false"/>
          <w:iCs w:val="false"/>
          <w:sz w:val="28"/>
          <w:szCs w:val="28"/>
          <w:lang w:val="ru-RU"/>
        </w:rPr>
        <w:t xml:space="preserve">. Хотя до настоящего времени телеоморфная фаза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не наблюдалась, на основании известных телеоморф из рода </w:t>
      </w:r>
      <w:r>
        <w:rPr>
          <w:rFonts w:ascii="Times New Roman" w:hAnsi="Times New Roman"/>
          <w:i/>
          <w:iCs/>
          <w:sz w:val="28"/>
          <w:szCs w:val="28"/>
          <w:lang w:val="ru-RU"/>
        </w:rPr>
        <w:t>Erysiphe</w:t>
      </w:r>
      <w:r>
        <w:rPr>
          <w:rFonts w:ascii="Times New Roman" w:hAnsi="Times New Roman"/>
          <w:i w:val="false"/>
          <w:iCs w:val="false"/>
          <w:sz w:val="28"/>
          <w:szCs w:val="28"/>
          <w:lang w:val="ru-RU"/>
        </w:rPr>
        <w:t xml:space="preserve">, соответствующих анаморфам из рода </w:t>
      </w:r>
      <w:r>
        <w:rPr>
          <w:rFonts w:ascii="Times New Roman" w:hAnsi="Times New Roman"/>
          <w:i/>
          <w:iCs/>
          <w:sz w:val="28"/>
          <w:szCs w:val="28"/>
          <w:lang w:val="ru-RU"/>
        </w:rPr>
        <w:t>(Pseud)oidium</w:t>
      </w:r>
      <w:r>
        <w:rPr>
          <w:rFonts w:ascii="Times New Roman" w:hAnsi="Times New Roman"/>
          <w:i w:val="false"/>
          <w:iCs w:val="false"/>
          <w:sz w:val="28"/>
          <w:szCs w:val="28"/>
          <w:lang w:val="ru-RU"/>
        </w:rPr>
        <w:t xml:space="preserve">, и их молекулярной систематики [36,49], название гипотетического телеоморфа </w:t>
      </w:r>
      <w:r>
        <w:rPr>
          <w:rFonts w:ascii="Times New Roman" w:hAnsi="Times New Roman"/>
          <w:i/>
          <w:iCs/>
          <w:sz w:val="28"/>
          <w:szCs w:val="28"/>
          <w:lang w:val="ru-RU"/>
        </w:rPr>
        <w:t>Erysiphe neolycopersici</w:t>
      </w:r>
      <w:r>
        <w:rPr>
          <w:rFonts w:ascii="Times New Roman" w:hAnsi="Times New Roman"/>
          <w:i w:val="false"/>
          <w:iCs w:val="false"/>
          <w:sz w:val="28"/>
          <w:szCs w:val="28"/>
          <w:lang w:val="ru-RU"/>
        </w:rPr>
        <w:t xml:space="preserve"> (NCBI:txid212602 [50]) было недавно предложено в качестве основного названия таксона [51]. Однако название анаморфа остается общеупотребительным синонимом. В настоящей работе названия </w:t>
      </w:r>
      <w:r>
        <w:rPr>
          <w:rFonts w:ascii="Times New Roman" w:hAnsi="Times New Roman"/>
          <w:i/>
          <w:iCs/>
          <w:sz w:val="28"/>
          <w:szCs w:val="28"/>
          <w:lang w:val="ru-RU"/>
        </w:rPr>
        <w:t>Oidium neolycopersici</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 xml:space="preserve">Erysiphe neolycopersici </w:t>
      </w:r>
      <w:r>
        <w:rPr>
          <w:rFonts w:ascii="Times New Roman" w:hAnsi="Times New Roman"/>
          <w:i w:val="false"/>
          <w:iCs w:val="false"/>
          <w:sz w:val="28"/>
          <w:szCs w:val="28"/>
          <w:lang w:val="ru-RU"/>
        </w:rPr>
        <w:t xml:space="preserve"> в дальнейшем будут использоваться как взаимозаменяемые. Хотя этот гриб присутствует среди растений томата уже давно, о чем свидетельствуют старые гербарные образцы и существующие устойчивые генотипы томатов [14], вспышка, зарегистрированная в Нидерландах в 1986 году, была первой значительной эпифитотией; с тех пор патоген распространился по всему миру [52]. </w:t>
      </w:r>
      <w:r>
        <w:rPr>
          <w:rFonts w:ascii="Times New Roman" w:hAnsi="Times New Roman"/>
          <w:i/>
          <w:iCs/>
          <w:sz w:val="28"/>
          <w:szCs w:val="28"/>
          <w:lang w:val="ru-RU"/>
        </w:rPr>
        <w:t>Oidium neolycopersici</w:t>
      </w:r>
      <w:r>
        <w:rPr>
          <w:rFonts w:ascii="Times New Roman" w:hAnsi="Times New Roman"/>
          <w:i w:val="false"/>
          <w:iCs w:val="false"/>
          <w:sz w:val="28"/>
          <w:szCs w:val="28"/>
          <w:lang w:val="ru-RU"/>
        </w:rPr>
        <w:t xml:space="preserve"> развивается в теплых и умеренно влажных условиях [53,54], что делает этот гриб значительной проблемой для томата в тепличных условиях </w:t>
      </w:r>
      <w:r>
        <w:rPr>
          <w:rFonts w:ascii="Times New Roman" w:hAnsi="Times New Roman"/>
          <w:b w:val="false"/>
          <w:i w:val="false"/>
          <w:iCs w:val="false"/>
          <w:caps w:val="false"/>
          <w:smallCaps w:val="false"/>
          <w:position w:val="0"/>
          <w:sz w:val="28"/>
          <w:sz w:val="28"/>
          <w:szCs w:val="28"/>
          <w:u w:val="none"/>
          <w:vertAlign w:val="baseline"/>
          <w:lang w:val="ru-RU"/>
        </w:rPr>
        <w:t>[55</w:t>
      </w:r>
      <w:r>
        <w:rPr>
          <w:rFonts w:ascii="Times New Roman" w:hAnsi="Times New Roman"/>
          <w:b w:val="false"/>
          <w:i w:val="false"/>
          <w:caps w:val="false"/>
          <w:smallCaps w:val="false"/>
          <w:position w:val="0"/>
          <w:sz w:val="24"/>
          <w:sz w:val="24"/>
          <w:u w:val="none"/>
          <w:vertAlign w:val="baseline"/>
        </w:rPr>
        <w:t>–57]</w:t>
      </w:r>
      <w:r>
        <w:rPr>
          <w:rFonts w:ascii="Times New Roman" w:hAnsi="Times New Roman"/>
          <w:i w:val="false"/>
          <w:iCs w:val="false"/>
          <w:sz w:val="28"/>
          <w:szCs w:val="28"/>
          <w:lang w:val="ru-RU"/>
        </w:rPr>
        <w:t>. O</w:t>
      </w:r>
      <w:r>
        <w:rPr>
          <w:rFonts w:ascii="Times New Roman" w:hAnsi="Times New Roman"/>
          <w:i/>
          <w:iCs/>
          <w:sz w:val="28"/>
          <w:szCs w:val="28"/>
          <w:lang w:val="ru-RU"/>
        </w:rPr>
        <w:t>idium neolycopersici</w:t>
      </w:r>
      <w:r>
        <w:rPr>
          <w:rFonts w:ascii="Times New Roman" w:hAnsi="Times New Roman"/>
          <w:i w:val="false"/>
          <w:iCs w:val="false"/>
          <w:sz w:val="28"/>
          <w:szCs w:val="28"/>
          <w:lang w:val="ru-RU"/>
        </w:rPr>
        <w:t xml:space="preserve"> вызывает типичные симптомы мучнистой росы с преимущественной локализацией мучнистых пятен на верхней поверхности листьев на широком спектре видов-хозяев, в основном из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а также </w:t>
      </w:r>
      <w:r>
        <w:rPr>
          <w:rFonts w:ascii="Times New Roman" w:hAnsi="Times New Roman"/>
          <w:i/>
          <w:iCs/>
          <w:sz w:val="28"/>
          <w:szCs w:val="28"/>
          <w:lang w:val="ru-RU"/>
        </w:rPr>
        <w:t>Cucurbitaceae</w:t>
      </w:r>
      <w:r>
        <w:rPr>
          <w:rFonts w:ascii="Times New Roman" w:hAnsi="Times New Roman"/>
          <w:i w:val="false"/>
          <w:iCs w:val="false"/>
          <w:sz w:val="28"/>
          <w:szCs w:val="28"/>
          <w:lang w:val="ru-RU"/>
        </w:rPr>
        <w:t xml:space="preserve"> и других семейств [13]. Для </w:t>
      </w:r>
      <w:r>
        <w:rPr>
          <w:rFonts w:ascii="Times New Roman" w:hAnsi="Times New Roman"/>
          <w:i/>
          <w:iCs/>
          <w:sz w:val="28"/>
          <w:szCs w:val="28"/>
          <w:lang w:val="ru-RU"/>
        </w:rPr>
        <w:t xml:space="preserve">O. neolycopersici </w:t>
      </w:r>
      <w:r>
        <w:rPr>
          <w:rFonts w:ascii="Times New Roman" w:hAnsi="Times New Roman"/>
          <w:i w:val="false"/>
          <w:iCs w:val="false"/>
          <w:sz w:val="28"/>
          <w:szCs w:val="28"/>
          <w:lang w:val="ru-RU"/>
        </w:rPr>
        <w:t xml:space="preserve">характерно отсутствие в жизненном цикле фазы полового размножения (телеоморфа). Конидии имеют яйцевидно-продолговатую форму, мономорфны, длиной ок. 50 мкл. Конидии на конидиофорах одиночные либо, во влажных условиях с низким уровнем движения воздуха, формируют псевдоцепочки, отсюда классификация подрода </w:t>
      </w:r>
      <w:r>
        <w:rPr>
          <w:rFonts w:ascii="Times New Roman" w:hAnsi="Times New Roman"/>
          <w:i/>
          <w:iCs/>
          <w:sz w:val="28"/>
          <w:szCs w:val="28"/>
          <w:lang w:val="ru-RU"/>
        </w:rPr>
        <w:t>Pseudoidium</w:t>
      </w:r>
      <w:r>
        <w:rPr>
          <w:rFonts w:ascii="Times New Roman" w:hAnsi="Times New Roman"/>
          <w:i w:val="false"/>
          <w:iCs w:val="false"/>
          <w:sz w:val="28"/>
          <w:szCs w:val="28"/>
          <w:lang w:val="ru-RU"/>
        </w:rPr>
        <w:t xml:space="preserve"> в роде </w:t>
      </w:r>
      <w:r>
        <w:rPr>
          <w:rFonts w:ascii="Times New Roman" w:hAnsi="Times New Roman"/>
          <w:i/>
          <w:iCs/>
          <w:sz w:val="28"/>
          <w:szCs w:val="28"/>
          <w:lang w:val="ru-RU"/>
        </w:rPr>
        <w:t>Oidium</w:t>
      </w:r>
      <w:r>
        <w:rPr>
          <w:rFonts w:ascii="Times New Roman" w:hAnsi="Times New Roman"/>
          <w:i w:val="false"/>
          <w:iCs w:val="false"/>
          <w:sz w:val="28"/>
          <w:szCs w:val="28"/>
          <w:lang w:val="ru-RU"/>
        </w:rPr>
        <w:t xml:space="preserve"> [58]. </w:t>
      </w:r>
    </w:p>
    <w:p>
      <w:pPr>
        <w:pStyle w:val="Normal"/>
        <w:widowControl/>
        <w:suppressAutoHyphens w:val="false"/>
        <w:overflowPunct w:val="false"/>
        <w:bidi w:val="0"/>
        <w:spacing w:before="0" w:after="0"/>
        <w:ind w:firstLine="737" w:start="0" w:end="0"/>
        <w:jc w:val="both"/>
        <w:rPr>
          <w:rFonts w:ascii="Times New Roman" w:hAnsi="Times New Roman"/>
        </w:rPr>
      </w:pPr>
      <w:r>
        <w:rPr>
          <w:rFonts w:ascii="Times New Roman" w:hAnsi="Times New Roman"/>
          <w:i/>
          <w:iCs/>
          <w:sz w:val="28"/>
          <w:szCs w:val="28"/>
          <w:lang w:val="ru-RU"/>
        </w:rPr>
        <w:t>Leveillula taurica</w:t>
      </w:r>
      <w:r>
        <w:rPr>
          <w:rFonts w:ascii="Times New Roman" w:hAnsi="Times New Roman"/>
          <w:i w:val="false"/>
          <w:iCs w:val="false"/>
          <w:sz w:val="28"/>
          <w:szCs w:val="28"/>
          <w:lang w:val="ru-RU"/>
        </w:rPr>
        <w:t xml:space="preserve"> - гриб мучнистой росы с широким ареалом обитания, поражающий большинство видов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и других овощных культур [59]. В отличие от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и большинства других видов </w:t>
      </w:r>
      <w:r>
        <w:rPr>
          <w:rFonts w:ascii="Times New Roman" w:hAnsi="Times New Roman"/>
          <w:i/>
          <w:iCs/>
          <w:sz w:val="28"/>
          <w:szCs w:val="28"/>
          <w:lang w:val="ru-RU"/>
        </w:rPr>
        <w:t>Erysyphaceae</w:t>
      </w:r>
      <w:r>
        <w:rPr>
          <w:rFonts w:ascii="Times New Roman" w:hAnsi="Times New Roman"/>
          <w:i w:val="false"/>
          <w:iCs w:val="false"/>
          <w:sz w:val="28"/>
          <w:szCs w:val="28"/>
          <w:lang w:val="ru-RU"/>
        </w:rPr>
        <w:t xml:space="preserve">, это гемиэндофитный гриб с частичным присутствием на поверхности листа; преобладающее место видимых симптомов - нижняя поверхность листа [13]. Мицелий локализуется преимущественно в тканях растений; конидиеносцы прорастают через устьица растений и несут крупные продолговатые конидии, одиночные или объединенные в короткие псевдоцепочки; конидии диморфные, первые конидии с конидиеносцев заостренные наверху, последующие симметричные со следами отделения с двух сторон [60]. Клейстотеции имеют мицелоидные придатки и содержат многочисленные аски с двумя аскоспорами [11]. Этот вид распространен преимущественно в жарких регионах, включая юг США и Мексики [59], Узбекистан [61], Таиланд [62] и др. Из-за преимущественного распространения в жарких и засушливых регионах он обычно считается менее значительной угрозой для томата по сравнению с </w:t>
      </w:r>
      <w:r>
        <w:rPr>
          <w:rFonts w:ascii="Times New Roman" w:hAnsi="Times New Roman"/>
          <w:i/>
          <w:iCs/>
          <w:sz w:val="28"/>
          <w:szCs w:val="28"/>
          <w:lang w:val="ru-RU"/>
        </w:rPr>
        <w:t>О. neolycopersici</w:t>
      </w:r>
      <w:r>
        <w:rPr>
          <w:rFonts w:ascii="Times New Roman" w:hAnsi="Times New Roman"/>
          <w:i w:val="false"/>
          <w:iCs w:val="false"/>
          <w:sz w:val="28"/>
          <w:szCs w:val="28"/>
          <w:lang w:val="ru-RU"/>
        </w:rPr>
        <w:t xml:space="preserve">. Однако широкий ареал обитания, круг потенциальных хозяев и физиологические свойства делают его потенциально опасным. </w:t>
      </w:r>
      <w:r>
        <w:rPr>
          <w:rFonts w:ascii="Times New Roman" w:hAnsi="Times New Roman"/>
          <w:i/>
          <w:iCs/>
          <w:sz w:val="28"/>
          <w:szCs w:val="28"/>
          <w:lang w:val="ru-RU"/>
        </w:rPr>
        <w:t>Leveillula taurica</w:t>
      </w:r>
      <w:r>
        <w:rPr>
          <w:rFonts w:ascii="Times New Roman" w:hAnsi="Times New Roman"/>
          <w:i w:val="false"/>
          <w:iCs w:val="false"/>
          <w:sz w:val="28"/>
          <w:szCs w:val="28"/>
          <w:lang w:val="ru-RU"/>
        </w:rPr>
        <w:t xml:space="preserve"> демонстрирует высокий уровень генетической изменчивости, что ставит вопрос о существовании многочисленных рас или даже видов, объединенных в видовой комплекс </w:t>
      </w:r>
      <w:r>
        <w:rPr>
          <w:rFonts w:ascii="Times New Roman" w:hAnsi="Times New Roman"/>
          <w:i/>
          <w:iCs/>
          <w:sz w:val="28"/>
          <w:szCs w:val="28"/>
          <w:lang w:val="ru-RU"/>
        </w:rPr>
        <w:t>L. taurica</w:t>
      </w:r>
      <w:r>
        <w:rPr>
          <w:rFonts w:ascii="Times New Roman" w:hAnsi="Times New Roman"/>
          <w:i w:val="false"/>
          <w:iCs w:val="false"/>
          <w:sz w:val="28"/>
          <w:szCs w:val="28"/>
          <w:lang w:val="ru-RU"/>
        </w:rPr>
        <w:t xml:space="preserve">; отсюда и широкий ареал обитания [63]. </w:t>
      </w:r>
    </w:p>
    <w:p>
      <w:pPr>
        <w:pStyle w:val="Normal"/>
        <w:ind w:firstLine="72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rPr>
          <w:rFonts w:ascii="Times New Roman" w:hAnsi="Times New Roman"/>
        </w:rPr>
      </w:pPr>
      <w:r>
        <w:rPr>
          <w:rFonts w:ascii="Times New Roman" w:hAnsi="Times New Roman"/>
          <w:i w:val="false"/>
          <w:iCs w:val="false"/>
          <w:sz w:val="28"/>
          <w:szCs w:val="28"/>
          <w:lang w:val="ru-RU"/>
        </w:rPr>
        <w:t xml:space="preserve">Таблица 1 – Сравнительная характеристика основных возбудителей мучнистой росы томата </w:t>
      </w:r>
      <w:r>
        <w:rPr>
          <w:rFonts w:ascii="Times New Roman" w:hAnsi="Times New Roman"/>
          <w:i w:val="false"/>
          <w:iCs w:val="false"/>
          <w:sz w:val="28"/>
          <w:szCs w:val="28"/>
          <w:u w:val="none"/>
          <w:lang w:val="ru-RU"/>
        </w:rPr>
        <w:t>(на основе данных [11,13,64]).</w:t>
      </w:r>
    </w:p>
    <w:p>
      <w:pPr>
        <w:pStyle w:val="Normal"/>
        <w:rPr>
          <w:rFonts w:ascii="Times New Roman" w:hAnsi="Times New Roman"/>
          <w:i w:val="false"/>
          <w:i w:val="false"/>
          <w:iCs w:val="false"/>
          <w:sz w:val="28"/>
          <w:szCs w:val="28"/>
          <w:u w:val="none"/>
          <w:lang w:val="ru-RU"/>
        </w:rPr>
      </w:pPr>
      <w:r>
        <w:rPr>
          <w:rFonts w:ascii="Times New Roman" w:hAnsi="Times New Roman"/>
          <w:i w:val="false"/>
          <w:iCs w:val="false"/>
          <w:sz w:val="28"/>
          <w:szCs w:val="28"/>
          <w:u w:val="none"/>
          <w:lang w:val="ru-RU"/>
        </w:rPr>
      </w:r>
    </w:p>
    <w:tbl>
      <w:tblPr>
        <w:bidiVisual w:val="true"/>
        <w:tblW w:w="9641" w:type="dxa"/>
        <w:jc w:val="start"/>
        <w:tblInd w:w="-5" w:type="dxa"/>
        <w:tblLayout w:type="fixed"/>
        <w:tblCellMar>
          <w:top w:w="55" w:type="dxa"/>
          <w:start w:w="55" w:type="dxa"/>
          <w:bottom w:w="55" w:type="dxa"/>
          <w:end w:w="55" w:type="dxa"/>
        </w:tblCellMar>
      </w:tblPr>
      <w:tblGrid>
        <w:gridCol w:w="3968"/>
        <w:gridCol w:w="4023"/>
        <w:gridCol w:w="1650"/>
      </w:tblGrid>
      <w:tr>
        <w:trPr/>
        <w:tc>
          <w:tcPr>
            <w:tcW w:w="7991" w:type="dxa"/>
            <w:gridSpan w:val="2"/>
            <w:tcBorders>
              <w:top w:val="single" w:sz="4" w:space="0" w:color="000000"/>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
                <w:bCs/>
                <w:sz w:val="24"/>
                <w:szCs w:val="24"/>
                <w:lang w:val="ru-RU"/>
              </w:rPr>
              <w:t>Вид мучнистой росы</w:t>
            </w:r>
          </w:p>
        </w:tc>
        <w:tc>
          <w:tcPr>
            <w:tcW w:w="1650" w:type="dxa"/>
            <w:vMerge w:val="restart"/>
            <w:tcBorders>
              <w:top w:val="single" w:sz="4" w:space="0" w:color="000000"/>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eastAsia="宋体" w:ascii="Times New Roman" w:hAnsi="Times New Roman"/>
                <w:b/>
                <w:bCs/>
                <w:color w:val="000000"/>
                <w:sz w:val="24"/>
                <w:szCs w:val="24"/>
                <w:lang w:val="ru-RU"/>
              </w:rPr>
              <w:t>Свойства патогена</w:t>
            </w:r>
          </w:p>
        </w:tc>
      </w:tr>
      <w:tr>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
                <w:bCs/>
                <w:i/>
                <w:iCs/>
                <w:sz w:val="24"/>
                <w:szCs w:val="24"/>
                <w:lang w:val="ru-RU"/>
              </w:rPr>
              <w:t xml:space="preserve">Erysiphe neolycopersici </w:t>
            </w:r>
            <w:r>
              <w:rPr>
                <w:rFonts w:ascii="Times New Roman" w:hAnsi="Times New Roman"/>
                <w:b/>
                <w:bCs/>
                <w:sz w:val="24"/>
                <w:szCs w:val="24"/>
                <w:lang w:val="ru-RU"/>
              </w:rPr>
              <w:t xml:space="preserve">(syn. </w:t>
            </w:r>
            <w:r>
              <w:rPr>
                <w:rFonts w:ascii="Times New Roman" w:hAnsi="Times New Roman"/>
                <w:b/>
                <w:bCs/>
                <w:i/>
                <w:iCs/>
                <w:sz w:val="24"/>
                <w:szCs w:val="24"/>
                <w:lang w:val="ru-RU"/>
              </w:rPr>
              <w:t>Oidium neolycopersici)</w:t>
            </w:r>
          </w:p>
        </w:tc>
        <w:tc>
          <w:tcPr>
            <w:tcW w:w="4023" w:type="dxa"/>
            <w:tcBorders>
              <w:start w:val="single" w:sz="4" w:space="0" w:color="000000"/>
              <w:bottom w:val="single" w:sz="4" w:space="0" w:color="000000"/>
            </w:tcBorders>
            <w:vAlign w:val="center"/>
          </w:tcPr>
          <w:p>
            <w:pPr>
              <w:pStyle w:val="Normal"/>
              <w:jc w:val="both"/>
              <w:rPr>
                <w:rFonts w:ascii="Times New Roman" w:hAnsi="Times New Roman"/>
              </w:rPr>
            </w:pPr>
            <w:r>
              <w:rPr>
                <w:rFonts w:ascii="Times New Roman" w:hAnsi="Times New Roman"/>
                <w:b/>
                <w:bCs/>
                <w:i/>
                <w:iCs/>
                <w:sz w:val="24"/>
                <w:szCs w:val="24"/>
                <w:lang w:val="ru-RU"/>
              </w:rPr>
              <w:t>Leveillula taurica</w:t>
            </w:r>
          </w:p>
        </w:tc>
        <w:tc>
          <w:tcPr>
            <w:tcW w:w="1650" w:type="dxa"/>
            <w:vMerge w:val="continue"/>
            <w:tcBorders>
              <w:top w:val="single" w:sz="4" w:space="0" w:color="000000"/>
              <w:start w:val="single" w:sz="4" w:space="0" w:color="000000"/>
              <w:bottom w:val="single" w:sz="4" w:space="0" w:color="000000"/>
              <w:end w:val="single" w:sz="4" w:space="0" w:color="000000"/>
            </w:tcBorders>
            <w:vAlign w:val="center"/>
          </w:tcPr>
          <w:p>
            <w:pPr>
              <w:pStyle w:val="Normal"/>
              <w:rPr>
                <w:rFonts w:ascii="Times New Roman" w:hAnsi="Times New Roman"/>
              </w:rPr>
            </w:pPr>
            <w:r>
              <w:rPr>
                <w:rFonts w:ascii="Times New Roman" w:hAnsi="Times New Roman"/>
              </w:rPr>
            </w:r>
          </w:p>
        </w:tc>
      </w:tr>
      <w:tr>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Белые порошистые пятна (пустулы) преимущественно на верхней поверхности листа, хлороз, некроз листьев</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Белые порошистые пятна (пустулы) на нижней поверхности листа, хлороз, некроз листьев</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Симптомы</w:t>
            </w:r>
          </w:p>
        </w:tc>
      </w:tr>
      <w:tr>
        <w:trPr>
          <w:trHeight w:val="326" w:hRule="atLeast"/>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Эпифит</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Гемиэндофит – мицелий располагается внутри тканей растений, с частичным прорастанием структур на поверхности</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Локализация мицелия</w:t>
            </w:r>
          </w:p>
        </w:tc>
      </w:tr>
      <w:tr>
        <w:trPr>
          <w:trHeight w:val="326" w:hRule="atLeast"/>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Только анаморф</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Анаморф и телеоморф</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Фазы жизненного цикла</w:t>
            </w:r>
          </w:p>
        </w:tc>
      </w:tr>
      <w:tr>
        <w:trPr>
          <w:trHeight w:val="326" w:hRule="atLeast"/>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Конидиофоры неразветвленные, с одиночными продолговатыми мономорфными конидиями; во влажных и ветренных условиях образует короткие псевдоцепочки конидий</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Анаморф: разветвленные конидиофоры с одиночными конидиями или псевдоцепочками конидий прорастают пучками через устьица листа; конидии продолговатые, диморфные (заостренные или цилиндрические), бесцветные.</w:t>
            </w:r>
          </w:p>
          <w:p>
            <w:pPr>
              <w:pStyle w:val="TableContents"/>
              <w:jc w:val="both"/>
              <w:rPr>
                <w:rFonts w:ascii="Times New Roman" w:hAnsi="Times New Roman"/>
              </w:rPr>
            </w:pPr>
            <w:r>
              <w:rPr>
                <w:rFonts w:ascii="Times New Roman" w:hAnsi="Times New Roman"/>
                <w:sz w:val="24"/>
                <w:szCs w:val="24"/>
                <w:lang w:val="ru-RU"/>
              </w:rPr>
              <w:t>Телеоморф: хазмотеки с мицелиальными придатками, аски с двумя аскоспорами</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Морфология структур для размножения</w:t>
            </w:r>
          </w:p>
        </w:tc>
      </w:tr>
      <w:tr>
        <w:trPr>
          <w:trHeight w:val="326" w:hRule="atLeast"/>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По всему миру</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Теплые и засушливые регионы Евразии, Африки, Америки</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Географическое расположение</w:t>
            </w:r>
          </w:p>
        </w:tc>
      </w:tr>
      <w:tr>
        <w:trPr>
          <w:trHeight w:val="326" w:hRule="atLeast"/>
        </w:trPr>
        <w:tc>
          <w:tcPr>
            <w:tcW w:w="3968"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i/>
                <w:iCs/>
                <w:sz w:val="24"/>
                <w:szCs w:val="24"/>
                <w:lang w:val="ru-RU"/>
              </w:rPr>
              <w:t>Solanaceae, Cucurbitaceae</w:t>
            </w:r>
            <w:r>
              <w:rPr>
                <w:rFonts w:ascii="Times New Roman" w:hAnsi="Times New Roman"/>
                <w:sz w:val="24"/>
                <w:szCs w:val="24"/>
                <w:lang w:val="ru-RU"/>
              </w:rPr>
              <w:t xml:space="preserve"> и 11 других семейств</w:t>
            </w:r>
          </w:p>
        </w:tc>
        <w:tc>
          <w:tcPr>
            <w:tcW w:w="402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60 семейств покрытосеменных растений</w:t>
            </w:r>
          </w:p>
        </w:tc>
        <w:tc>
          <w:tcPr>
            <w:tcW w:w="1650" w:type="dxa"/>
            <w:tcBorders>
              <w:start w:val="single" w:sz="4" w:space="0" w:color="000000"/>
              <w:bottom w:val="single" w:sz="4" w:space="0" w:color="000000"/>
              <w:end w:val="single" w:sz="4" w:space="0" w:color="000000"/>
            </w:tcBorders>
            <w:vAlign w:val="center"/>
          </w:tcPr>
          <w:p>
            <w:pPr>
              <w:pStyle w:val="TableContents"/>
              <w:jc w:val="both"/>
              <w:rPr>
                <w:rFonts w:ascii="Times New Roman" w:hAnsi="Times New Roman"/>
              </w:rPr>
            </w:pPr>
            <w:r>
              <w:rPr>
                <w:rFonts w:ascii="Times New Roman" w:hAnsi="Times New Roman"/>
                <w:sz w:val="24"/>
                <w:szCs w:val="24"/>
                <w:lang w:val="ru-RU"/>
              </w:rPr>
              <w:t>Возможные хозяева</w:t>
            </w:r>
          </w:p>
        </w:tc>
      </w:tr>
    </w:tbl>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2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13">
            <wp:simplePos x="0" y="0"/>
            <wp:positionH relativeFrom="column">
              <wp:posOffset>491490</wp:posOffset>
            </wp:positionH>
            <wp:positionV relativeFrom="paragraph">
              <wp:posOffset>187325</wp:posOffset>
            </wp:positionV>
            <wp:extent cx="4859655" cy="7369810"/>
            <wp:effectExtent l="0" t="0" r="0" b="0"/>
            <wp:wrapTopAndBottom/>
            <wp:docPr id="1"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2" descr="" title=""/>
                    <pic:cNvPicPr>
                      <a:picLocks noChangeAspect="1" noChangeArrowheads="1"/>
                    </pic:cNvPicPr>
                  </pic:nvPicPr>
                  <pic:blipFill>
                    <a:blip r:embed="rId2"/>
                    <a:stretch>
                      <a:fillRect/>
                    </a:stretch>
                  </pic:blipFill>
                  <pic:spPr bwMode="auto">
                    <a:xfrm>
                      <a:off x="0" y="0"/>
                      <a:ext cx="4859655" cy="7369810"/>
                    </a:xfrm>
                    <a:prstGeom prst="rect">
                      <a:avLst/>
                    </a:prstGeom>
                  </pic:spPr>
                </pic:pic>
              </a:graphicData>
            </a:graphic>
          </wp:anchor>
        </w:drawing>
      </w:r>
    </w:p>
    <w:p>
      <w:pPr>
        <w:pStyle w:val="Normal"/>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jc w:val="center"/>
        <w:rPr>
          <w:rFonts w:ascii="Times New Roman" w:hAnsi="Times New Roman"/>
        </w:rPr>
      </w:pPr>
      <w:r>
        <w:rPr>
          <w:rFonts w:ascii="Times New Roman" w:hAnsi="Times New Roman"/>
          <w:i w:val="false"/>
          <w:iCs w:val="false"/>
          <w:sz w:val="28"/>
          <w:szCs w:val="28"/>
          <w:lang w:val="ru-RU"/>
        </w:rPr>
        <w:t xml:space="preserve">Рисунок 1 – Симптомы и микроморфология </w:t>
      </w:r>
      <w:r>
        <w:rPr>
          <w:rFonts w:ascii="Times New Roman" w:hAnsi="Times New Roman"/>
          <w:i/>
          <w:iCs/>
          <w:sz w:val="28"/>
          <w:szCs w:val="28"/>
          <w:lang w:val="ru-RU"/>
        </w:rPr>
        <w:t xml:space="preserve">Leveillula taurica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Oidium neolycopersici</w:t>
      </w:r>
      <w:r>
        <w:rPr>
          <w:rFonts w:eastAsia="Times New Roman" w:cs="Times New Roman" w:ascii="Times New Roman" w:hAnsi="Times New Roman"/>
          <w:b w:val="false"/>
          <w:bCs w:val="false"/>
          <w:i w:val="false"/>
          <w:iCs w:val="false"/>
          <w:sz w:val="28"/>
          <w:szCs w:val="28"/>
          <w:lang w:val="ru-RU" w:eastAsia="ru-RU"/>
        </w:rPr>
        <w:t xml:space="preserve">: A) симптомы, вызванные </w:t>
      </w:r>
      <w:r>
        <w:rPr>
          <w:rFonts w:eastAsia="Times New Roman" w:cs="Times New Roman" w:ascii="Times New Roman" w:hAnsi="Times New Roman"/>
          <w:b w:val="false"/>
          <w:bCs w:val="false"/>
          <w:i/>
          <w:iCs/>
          <w:sz w:val="28"/>
          <w:szCs w:val="28"/>
          <w:lang w:val="ru-RU" w:eastAsia="ru-RU"/>
        </w:rPr>
        <w:t>Leveillula taurica</w:t>
      </w:r>
      <w:r>
        <w:rPr>
          <w:rFonts w:eastAsia="Times New Roman" w:cs="Times New Roman" w:ascii="Times New Roman" w:hAnsi="Times New Roman"/>
          <w:b w:val="false"/>
          <w:bCs w:val="false"/>
          <w:i w:val="false"/>
          <w:iCs w:val="false"/>
          <w:sz w:val="28"/>
          <w:szCs w:val="28"/>
          <w:lang w:val="ru-RU" w:eastAsia="ru-RU"/>
        </w:rPr>
        <w:t xml:space="preserve"> на листе томата; B) симптомы, вызванные </w:t>
      </w:r>
      <w:r>
        <w:rPr>
          <w:rFonts w:eastAsia="Times New Roman" w:cs="Times New Roman" w:ascii="Times New Roman" w:hAnsi="Times New Roman"/>
          <w:b w:val="false"/>
          <w:bCs w:val="false"/>
          <w:i/>
          <w:iCs/>
          <w:sz w:val="28"/>
          <w:szCs w:val="28"/>
          <w:lang w:val="ru-RU" w:eastAsia="ru-RU"/>
        </w:rPr>
        <w:t>Oidium neolycopersici</w:t>
      </w:r>
      <w:r>
        <w:rPr>
          <w:rFonts w:eastAsia="Times New Roman" w:cs="Times New Roman" w:ascii="Times New Roman" w:hAnsi="Times New Roman"/>
          <w:b w:val="false"/>
          <w:bCs w:val="false"/>
          <w:i w:val="false"/>
          <w:iCs w:val="false"/>
          <w:sz w:val="28"/>
          <w:szCs w:val="28"/>
          <w:lang w:val="ru-RU" w:eastAsia="ru-RU"/>
        </w:rPr>
        <w:t xml:space="preserve"> на листе томата; C) микроморфология </w:t>
      </w:r>
      <w:r>
        <w:rPr>
          <w:rFonts w:eastAsia="Times New Roman" w:cs="Times New Roman" w:ascii="Times New Roman" w:hAnsi="Times New Roman"/>
          <w:b w:val="false"/>
          <w:bCs w:val="false"/>
          <w:i/>
          <w:iCs/>
          <w:sz w:val="28"/>
          <w:szCs w:val="28"/>
          <w:lang w:val="ru-RU" w:eastAsia="ru-RU"/>
        </w:rPr>
        <w:t>Leveillula taurica</w:t>
      </w:r>
      <w:r>
        <w:rPr>
          <w:rFonts w:eastAsia="Times New Roman" w:cs="Times New Roman" w:ascii="Times New Roman" w:hAnsi="Times New Roman"/>
          <w:b w:val="false"/>
          <w:bCs w:val="false"/>
          <w:i w:val="false"/>
          <w:iCs w:val="false"/>
          <w:sz w:val="28"/>
          <w:szCs w:val="28"/>
          <w:lang w:val="ru-RU" w:eastAsia="ru-RU"/>
        </w:rPr>
        <w:t xml:space="preserve">; D) микроморфология </w:t>
      </w:r>
      <w:r>
        <w:rPr>
          <w:rFonts w:eastAsia="Times New Roman" w:cs="Times New Roman" w:ascii="Times New Roman" w:hAnsi="Times New Roman"/>
          <w:b w:val="false"/>
          <w:bCs w:val="false"/>
          <w:i/>
          <w:iCs/>
          <w:sz w:val="28"/>
          <w:szCs w:val="28"/>
          <w:lang w:val="ru-RU" w:eastAsia="ru-RU"/>
        </w:rPr>
        <w:t>Oidium neolycopersici</w:t>
      </w:r>
      <w:r>
        <w:rPr>
          <w:rFonts w:ascii="Times New Roman" w:hAnsi="Times New Roman"/>
          <w:i w:val="false"/>
          <w:iCs w:val="false"/>
          <w:sz w:val="28"/>
          <w:szCs w:val="28"/>
          <w:lang w:val="ru-RU"/>
        </w:rPr>
        <w:t xml:space="preserve"> [65]</w:t>
      </w:r>
    </w:p>
    <w:p>
      <w:pPr>
        <w:pStyle w:val="Normal"/>
        <w:ind w:firstLine="720" w:start="0" w:end="0"/>
        <w:jc w:val="both"/>
        <w:rPr>
          <w:rFonts w:ascii="Times New Roman" w:hAnsi="Times New Roman"/>
        </w:rPr>
      </w:pPr>
      <w:r>
        <w:rPr>
          <w:rFonts w:ascii="Times New Roman" w:hAnsi="Times New Roman"/>
        </w:rPr>
      </w:r>
    </w:p>
    <w:p>
      <w:pPr>
        <w:pStyle w:val="Normal"/>
        <w:ind w:firstLine="720" w:start="0" w:end="0"/>
        <w:jc w:val="both"/>
        <w:rPr>
          <w:rFonts w:ascii="Times New Roman" w:hAnsi="Times New Roman"/>
        </w:rPr>
      </w:pPr>
      <w:r>
        <w:rPr>
          <w:rFonts w:ascii="Times New Roman" w:hAnsi="Times New Roman"/>
          <w:i w:val="false"/>
          <w:iCs w:val="false"/>
          <w:sz w:val="28"/>
          <w:szCs w:val="28"/>
          <w:lang w:val="ru-RU"/>
        </w:rPr>
        <w:t>1.3 Генетические маркеры устойчивости томата к патогенам</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Чтобы противостоять потенциально опасным патогенам растений, необходимо не только своевременно выявлять и уничтожать зараженные растения, но и повышать потенциал устойчивости возделываемых культур к болезням путем селекции и отбора сортов с генетическими факторами устойчивости. Современная практика требует широкого использования молекулярных методов для решения обеих этих задач. Молекулярные маркеры, связанные с устойчивостью растений к болезням, играют важнейшую роль в современных селекционных программах, поскольку их использование в маркерном отборе (MAS) позволяет значительно сократить время и трудозатраты на выведение новых устойчивых сортов [7,8]. Такой подход использует молекулярные маркеры с известной связью с целевыми признаками для управления селекцией без необходимости прямого контроля фенотипа, например, на ранних стадиях развития; практика MAS широко используется в селекции томата на устойчивость к патогенам [9]. Однако в Казахстане внедрение подобных передовых методов селекции томата ограничено относительно низким экономическим и научным интересом. До настоящего времени не предпринималось систематических усилий по созданию молекулярно-генетической основы для селекционных программ для томатных культур. Для сравнения, молекулярная генетика пшеницы, культуры, играющей исключительно важную роль как во внутреннем продовольственном рынке страны, так и в международной торговле, на протяжении многих лет привлекает значительное внимание исследователей [66,67].</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 фокусе настоящей работы находятся известные локусы устойчивости к распространенным патогенам томата: оомицету </w:t>
      </w:r>
      <w:r>
        <w:rPr>
          <w:rFonts w:ascii="Times New Roman" w:hAnsi="Times New Roman"/>
          <w:i/>
          <w:iCs/>
          <w:sz w:val="28"/>
          <w:szCs w:val="28"/>
          <w:lang w:val="ru-RU"/>
        </w:rPr>
        <w:t>Phytophthora infestans</w:t>
      </w:r>
      <w:r>
        <w:rPr>
          <w:rFonts w:ascii="Times New Roman" w:hAnsi="Times New Roman"/>
          <w:i w:val="false"/>
          <w:iCs w:val="false"/>
          <w:sz w:val="28"/>
          <w:szCs w:val="28"/>
          <w:lang w:val="ru-RU"/>
        </w:rPr>
        <w:t xml:space="preserve">, грибу </w:t>
      </w:r>
      <w:r>
        <w:rPr>
          <w:rFonts w:ascii="Times New Roman" w:hAnsi="Times New Roman"/>
          <w:i/>
          <w:iCs/>
          <w:sz w:val="28"/>
          <w:szCs w:val="28"/>
          <w:lang w:val="ru-RU"/>
        </w:rPr>
        <w:t>Fusarium oxysporum</w:t>
      </w:r>
      <w:r>
        <w:rPr>
          <w:rFonts w:ascii="Times New Roman" w:hAnsi="Times New Roman"/>
          <w:i w:val="false"/>
          <w:iCs w:val="false"/>
          <w:sz w:val="28"/>
          <w:szCs w:val="28"/>
          <w:lang w:val="ru-RU"/>
        </w:rPr>
        <w:t xml:space="preserve">, вирусу мозаики томата (ToMV), вирусу пятнистого увядания томата (TSWV) и вирусу желтой курчавости листьев томата (TYLCV). За исключением </w:t>
      </w:r>
      <w:r>
        <w:rPr>
          <w:rFonts w:ascii="Times New Roman" w:hAnsi="Times New Roman"/>
          <w:i/>
          <w:iCs/>
          <w:sz w:val="28"/>
          <w:szCs w:val="28"/>
          <w:lang w:val="ru-RU"/>
        </w:rPr>
        <w:t>F. oxysporum</w:t>
      </w:r>
      <w:r>
        <w:rPr>
          <w:rFonts w:ascii="Times New Roman" w:hAnsi="Times New Roman"/>
          <w:i w:val="false"/>
          <w:iCs w:val="false"/>
          <w:sz w:val="28"/>
          <w:szCs w:val="28"/>
          <w:lang w:val="ru-RU"/>
        </w:rPr>
        <w:t xml:space="preserve">, эти патогены были включены в список карантинных объектов, инвазивных видов и опасных организмов Министерством сельского хозяйства Республики Казахстан [68]. Три вируса – ToMV, TSMV и TYLCV – являются одними из самых опасных патогенов томата, наносящих значительный ущерб, потенциально достигающий общей потери урожая </w:t>
      </w:r>
      <w:r>
        <w:rPr>
          <w:rFonts w:ascii="Times New Roman" w:hAnsi="Times New Roman"/>
          <w:b w:val="false"/>
          <w:i w:val="false"/>
          <w:iCs w:val="false"/>
          <w:caps w:val="false"/>
          <w:smallCaps w:val="false"/>
          <w:position w:val="0"/>
          <w:sz w:val="28"/>
          <w:sz w:val="28"/>
          <w:szCs w:val="28"/>
          <w:u w:val="none"/>
          <w:vertAlign w:val="baseline"/>
          <w:lang w:val="ru-RU"/>
        </w:rPr>
        <w:t>[69</w:t>
      </w:r>
      <w:r>
        <w:rPr>
          <w:rFonts w:ascii="Times New Roman" w:hAnsi="Times New Roman"/>
          <w:b w:val="false"/>
          <w:i w:val="false"/>
          <w:caps w:val="false"/>
          <w:smallCaps w:val="false"/>
          <w:position w:val="0"/>
          <w:sz w:val="24"/>
          <w:sz w:val="24"/>
          <w:u w:val="none"/>
          <w:vertAlign w:val="baseline"/>
        </w:rPr>
        <w:t>–71]</w:t>
      </w:r>
      <w:r>
        <w:rPr>
          <w:rFonts w:ascii="Times New Roman" w:hAnsi="Times New Roman"/>
          <w:i w:val="false"/>
          <w:iCs w:val="false"/>
          <w:sz w:val="28"/>
          <w:szCs w:val="28"/>
          <w:lang w:val="ru-RU"/>
        </w:rPr>
        <w:t xml:space="preserve">. Широкая специфичность этих вирусов к различным видам растений-хозяев </w:t>
      </w:r>
      <w:r>
        <w:rPr>
          <w:rFonts w:ascii="Times New Roman" w:hAnsi="Times New Roman"/>
          <w:b w:val="false"/>
          <w:i w:val="false"/>
          <w:iCs w:val="false"/>
          <w:caps w:val="false"/>
          <w:smallCaps w:val="false"/>
          <w:position w:val="0"/>
          <w:sz w:val="28"/>
          <w:sz w:val="28"/>
          <w:szCs w:val="28"/>
          <w:u w:val="none"/>
          <w:vertAlign w:val="baseline"/>
          <w:lang w:val="ru-RU"/>
        </w:rPr>
        <w:t>[72</w:t>
      </w:r>
      <w:r>
        <w:rPr>
          <w:rFonts w:ascii="Times New Roman" w:hAnsi="Times New Roman"/>
          <w:b w:val="false"/>
          <w:i w:val="false"/>
          <w:caps w:val="false"/>
          <w:smallCaps w:val="false"/>
          <w:position w:val="0"/>
          <w:sz w:val="24"/>
          <w:sz w:val="24"/>
          <w:u w:val="none"/>
          <w:vertAlign w:val="baseline"/>
        </w:rPr>
        <w:t>–74]</w:t>
      </w:r>
      <w:r>
        <w:rPr>
          <w:rFonts w:ascii="Times New Roman" w:hAnsi="Times New Roman"/>
          <w:i w:val="false"/>
          <w:iCs w:val="false"/>
          <w:sz w:val="28"/>
          <w:szCs w:val="28"/>
          <w:lang w:val="ru-RU"/>
        </w:rPr>
        <w:t xml:space="preserve"> расширяет потенциальные риски распространения вирусов за пределы культуры томатов и делает борьбу с болезнями более сложной. Хотя из-за отсутствия систематических молекулярных исследований вирусов томата их присутствие в Казахстане до сих пор не обнаружено, они считаются потенциально опасными карантинными объектами, как уже упоминалось выше. Таким образом, учет генетических факторов устойчивости является необходимой частью селекционной практики, так как борьба с вирусными инфекциями растений затруднена отсутствием эффективных методов борьбы кроме уничтожения пораженных растений, что влечет за собой значительные финансовые потери. Для указанных вирусов известны молекулярные маркеры, ассоциированные с известными локусами томата, обеспечивающих качественную устойчивость к вирусам. Ген </w:t>
      </w:r>
      <w:r>
        <w:rPr>
          <w:rFonts w:ascii="Times New Roman" w:hAnsi="Times New Roman"/>
          <w:i/>
          <w:iCs/>
          <w:sz w:val="28"/>
          <w:szCs w:val="28"/>
          <w:lang w:val="ru-RU"/>
        </w:rPr>
        <w:t>Tm2</w:t>
      </w:r>
      <w:r>
        <w:rPr>
          <w:rFonts w:ascii="Times New Roman" w:hAnsi="Times New Roman"/>
          <w:i w:val="false"/>
          <w:iCs w:val="false"/>
          <w:sz w:val="28"/>
          <w:szCs w:val="28"/>
          <w:lang w:val="ru-RU"/>
        </w:rPr>
        <w:t xml:space="preserve"> имеет два аллеля, наделяющих устойчивостью к ToMV: </w:t>
      </w:r>
      <w:r>
        <w:rPr>
          <w:rFonts w:ascii="Times New Roman" w:hAnsi="Times New Roman"/>
          <w:i/>
          <w:iCs/>
          <w:sz w:val="28"/>
          <w:szCs w:val="28"/>
          <w:lang w:val="ru-RU"/>
        </w:rPr>
        <w:t>Tm-2</w:t>
      </w:r>
      <w:r>
        <w:rPr>
          <w:rFonts w:ascii="Times New Roman" w:hAnsi="Times New Roman"/>
          <w:i w:val="false"/>
          <w:iCs w:val="false"/>
          <w:sz w:val="28"/>
          <w:szCs w:val="28"/>
          <w:lang w:val="ru-RU"/>
        </w:rPr>
        <w:t xml:space="preserve"> и более устойчивый </w:t>
      </w:r>
      <w:r>
        <w:rPr>
          <w:rFonts w:ascii="Times New Roman" w:hAnsi="Times New Roman"/>
          <w:i/>
          <w:iCs/>
          <w:sz w:val="28"/>
          <w:szCs w:val="28"/>
          <w:lang w:val="ru-RU"/>
        </w:rPr>
        <w:t>Tm-2</w:t>
      </w:r>
      <w:r>
        <w:rPr>
          <w:rFonts w:ascii="Times New Roman" w:hAnsi="Times New Roman"/>
          <w:i/>
          <w:iCs/>
          <w:sz w:val="28"/>
          <w:szCs w:val="28"/>
          <w:vertAlign w:val="superscript"/>
          <w:lang w:val="ru-RU"/>
        </w:rPr>
        <w:t>2</w:t>
      </w:r>
      <w:r>
        <w:rPr>
          <w:rFonts w:ascii="Times New Roman" w:hAnsi="Times New Roman"/>
          <w:i w:val="false"/>
          <w:iCs w:val="false"/>
          <w:sz w:val="28"/>
          <w:szCs w:val="28"/>
          <w:lang w:val="ru-RU"/>
        </w:rPr>
        <w:t xml:space="preserve">, интрогрессированный из дикого томата </w:t>
      </w:r>
      <w:r>
        <w:rPr>
          <w:rFonts w:ascii="Times New Roman" w:hAnsi="Times New Roman"/>
          <w:i/>
          <w:iCs/>
          <w:sz w:val="28"/>
          <w:szCs w:val="28"/>
          <w:lang w:val="ru-RU"/>
        </w:rPr>
        <w:t>S. peruvianum</w:t>
      </w:r>
      <w:r>
        <w:rPr>
          <w:rFonts w:ascii="Times New Roman" w:hAnsi="Times New Roman"/>
          <w:i w:val="false"/>
          <w:iCs w:val="false"/>
          <w:sz w:val="28"/>
          <w:szCs w:val="28"/>
          <w:lang w:val="ru-RU"/>
        </w:rPr>
        <w:t xml:space="preserve"> [75,76]. Маркер PrRuG86-151 с полиморфным сайтом, усиленным расщеплением (CAPS), использует рестрикцию для дифференциации этих аллелей от рецессивного восприимчивого варианта </w:t>
      </w:r>
      <w:r>
        <w:rPr>
          <w:rFonts w:ascii="Times New Roman" w:hAnsi="Times New Roman"/>
          <w:i/>
          <w:iCs/>
          <w:sz w:val="28"/>
          <w:szCs w:val="28"/>
          <w:lang w:val="ru-RU"/>
        </w:rPr>
        <w:t>Tm-2;</w:t>
      </w:r>
      <w:r>
        <w:rPr>
          <w:rFonts w:ascii="Times New Roman" w:hAnsi="Times New Roman"/>
          <w:i w:val="false"/>
          <w:iCs w:val="false"/>
          <w:sz w:val="28"/>
          <w:szCs w:val="28"/>
          <w:lang w:val="ru-RU"/>
        </w:rPr>
        <w:t xml:space="preserve"> однако для дискриминации между </w:t>
      </w:r>
      <w:r>
        <w:rPr>
          <w:rFonts w:ascii="Times New Roman" w:hAnsi="Times New Roman"/>
          <w:i/>
          <w:iCs/>
          <w:sz w:val="28"/>
          <w:szCs w:val="28"/>
          <w:lang w:val="ru-RU"/>
        </w:rPr>
        <w:t>Tm-2</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Tm-2</w:t>
      </w:r>
      <w:r>
        <w:rPr>
          <w:rFonts w:ascii="Times New Roman" w:hAnsi="Times New Roman"/>
          <w:i/>
          <w:iCs/>
          <w:sz w:val="28"/>
          <w:szCs w:val="28"/>
          <w:vertAlign w:val="superscript"/>
          <w:lang w:val="ru-RU"/>
        </w:rPr>
        <w:t>2</w:t>
      </w:r>
      <w:r>
        <w:rPr>
          <w:rFonts w:ascii="Times New Roman" w:hAnsi="Times New Roman"/>
          <w:i w:val="false"/>
          <w:iCs w:val="false"/>
          <w:sz w:val="28"/>
          <w:szCs w:val="28"/>
          <w:lang w:val="ru-RU"/>
        </w:rPr>
        <w:t xml:space="preserve"> требуется использование дополнительных маркеров [77]. Устойчивость к TSWV у томата связана с серией локусов, обнаруженных в основном у следующих диких видов томата: </w:t>
      </w:r>
      <w:r>
        <w:rPr>
          <w:rFonts w:ascii="Times New Roman" w:hAnsi="Times New Roman"/>
          <w:i/>
          <w:iCs/>
          <w:sz w:val="28"/>
          <w:szCs w:val="28"/>
          <w:lang w:val="ru-RU"/>
        </w:rPr>
        <w:t>Sw-1a, Sw-1b, Sw-2, Sw-3, Sw-4, Sw-5, Sw-6</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Sw-7</w:t>
      </w:r>
      <w:r>
        <w:rPr>
          <w:rFonts w:ascii="Times New Roman" w:hAnsi="Times New Roman"/>
          <w:i w:val="false"/>
          <w:iCs w:val="false"/>
          <w:sz w:val="28"/>
          <w:szCs w:val="28"/>
          <w:lang w:val="ru-RU"/>
        </w:rPr>
        <w:t xml:space="preserve"> [78]. Локус </w:t>
      </w:r>
      <w:r>
        <w:rPr>
          <w:rFonts w:ascii="Times New Roman" w:hAnsi="Times New Roman"/>
          <w:i/>
          <w:iCs/>
          <w:sz w:val="28"/>
          <w:szCs w:val="28"/>
          <w:lang w:val="ru-RU"/>
        </w:rPr>
        <w:t>Sw-5</w:t>
      </w:r>
      <w:r>
        <w:rPr>
          <w:rFonts w:ascii="Times New Roman" w:hAnsi="Times New Roman"/>
          <w:i w:val="false"/>
          <w:iCs w:val="false"/>
          <w:sz w:val="28"/>
          <w:szCs w:val="28"/>
          <w:lang w:val="ru-RU"/>
        </w:rPr>
        <w:t xml:space="preserve">, выражающий самый высокий уровень устойчивости, был интрогрессирован в культурные сорта томата [79]. Была разработана и рекомендована для использования в MAS серия из четырех маркеров, демонстрирующих тесную связь с этим локусом, включая маркеры NCSw03 и NCSw12, характеризующиеся последовательностью амплифицированных областей (SCAR), и CAPS-маркеры NCSw07 и NCSw11 [80]. Локусы Ty-2 и Ty-3 были описаны и картированы как гены устойчивости к TYLCV, интрогрессированные из дикого вида томата [81,82]. Серии маркеров SCAR и CAPS были разработаны для описания вариаций последовательностей, различающих восприимчивые и устойчивые аллельные варианты [83].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Оомицеты рода </w:t>
      </w:r>
      <w:r>
        <w:rPr>
          <w:rFonts w:ascii="Times New Roman" w:hAnsi="Times New Roman"/>
          <w:i/>
          <w:iCs/>
          <w:sz w:val="28"/>
          <w:szCs w:val="28"/>
          <w:lang w:val="ru-RU"/>
        </w:rPr>
        <w:t>Phytophthora</w:t>
      </w:r>
      <w:r>
        <w:rPr>
          <w:rFonts w:ascii="Times New Roman" w:hAnsi="Times New Roman"/>
          <w:i w:val="false"/>
          <w:iCs w:val="false"/>
          <w:sz w:val="28"/>
          <w:szCs w:val="28"/>
          <w:lang w:val="ru-RU"/>
        </w:rPr>
        <w:t xml:space="preserve"> относятся к наиболее разрушительным патогенам растений, а </w:t>
      </w:r>
      <w:r>
        <w:rPr>
          <w:rFonts w:ascii="Times New Roman" w:hAnsi="Times New Roman"/>
          <w:i/>
          <w:iCs/>
          <w:sz w:val="28"/>
          <w:szCs w:val="28"/>
          <w:lang w:val="ru-RU"/>
        </w:rPr>
        <w:t>P. infestans</w:t>
      </w:r>
      <w:r>
        <w:rPr>
          <w:rFonts w:ascii="Times New Roman" w:hAnsi="Times New Roman"/>
          <w:i w:val="false"/>
          <w:iCs w:val="false"/>
          <w:sz w:val="28"/>
          <w:szCs w:val="28"/>
          <w:lang w:val="ru-RU"/>
        </w:rPr>
        <w:t xml:space="preserve"> является наиболее опасным патогеном картофеля и томата, способным вызывать катастрофические потери урожая на региональном уровне </w:t>
      </w:r>
      <w:r>
        <w:rPr>
          <w:rFonts w:ascii="Times New Roman" w:hAnsi="Times New Roman"/>
          <w:b w:val="false"/>
          <w:i w:val="false"/>
          <w:iCs w:val="false"/>
          <w:caps w:val="false"/>
          <w:smallCaps w:val="false"/>
          <w:position w:val="0"/>
          <w:sz w:val="28"/>
          <w:sz w:val="28"/>
          <w:szCs w:val="28"/>
          <w:u w:val="none"/>
          <w:vertAlign w:val="baseline"/>
          <w:lang w:val="ru-RU"/>
        </w:rPr>
        <w:t>[84</w:t>
      </w:r>
      <w:r>
        <w:rPr>
          <w:rFonts w:ascii="Times New Roman" w:hAnsi="Times New Roman"/>
          <w:b w:val="false"/>
          <w:i w:val="false"/>
          <w:caps w:val="false"/>
          <w:smallCaps w:val="false"/>
          <w:position w:val="0"/>
          <w:sz w:val="24"/>
          <w:sz w:val="24"/>
          <w:u w:val="none"/>
          <w:vertAlign w:val="baseline"/>
        </w:rPr>
        <w:t>–88]</w:t>
      </w:r>
      <w:r>
        <w:rPr>
          <w:rFonts w:ascii="Times New Roman" w:hAnsi="Times New Roman"/>
          <w:i w:val="false"/>
          <w:iCs w:val="false"/>
          <w:sz w:val="28"/>
          <w:szCs w:val="28"/>
          <w:lang w:val="ru-RU"/>
        </w:rPr>
        <w:t xml:space="preserve">. В Казахстане </w:t>
      </w:r>
      <w:r>
        <w:rPr>
          <w:rFonts w:ascii="Times New Roman" w:hAnsi="Times New Roman"/>
          <w:i/>
          <w:iCs/>
          <w:sz w:val="28"/>
          <w:szCs w:val="28"/>
          <w:lang w:val="ru-RU"/>
        </w:rPr>
        <w:t>P. infestans</w:t>
      </w:r>
      <w:r>
        <w:rPr>
          <w:rFonts w:ascii="Times New Roman" w:hAnsi="Times New Roman"/>
          <w:i w:val="false"/>
          <w:iCs w:val="false"/>
          <w:sz w:val="28"/>
          <w:szCs w:val="28"/>
          <w:lang w:val="ru-RU"/>
        </w:rPr>
        <w:t xml:space="preserve"> является одной из наиболее распространенных инфекций томатов, вызываемых грибами и грибоподобными организмами [86]. Из-за высокой генетической изменчивости этого патогена известные локусы устойчивости у томата обладают лишь ограниченным защитным действием, специфичным для конкретных изолятов </w:t>
      </w:r>
      <w:r>
        <w:rPr>
          <w:rFonts w:ascii="Times New Roman" w:hAnsi="Times New Roman"/>
          <w:i/>
          <w:iCs/>
          <w:sz w:val="28"/>
          <w:szCs w:val="28"/>
          <w:lang w:val="ru-RU"/>
        </w:rPr>
        <w:t>Phytophthora</w:t>
      </w:r>
      <w:r>
        <w:rPr>
          <w:rFonts w:ascii="Times New Roman" w:hAnsi="Times New Roman"/>
          <w:i w:val="false"/>
          <w:iCs w:val="false"/>
          <w:sz w:val="28"/>
          <w:szCs w:val="28"/>
          <w:lang w:val="ru-RU"/>
        </w:rPr>
        <w:t xml:space="preserve"> [87]. Используемые здесь CAPS-маркеры TG328 и Ph3-gsm связаны с локусом устойчивости </w:t>
      </w:r>
      <w:r>
        <w:rPr>
          <w:rFonts w:ascii="Times New Roman" w:hAnsi="Times New Roman"/>
          <w:i/>
          <w:iCs/>
          <w:sz w:val="28"/>
          <w:szCs w:val="28"/>
          <w:lang w:val="ru-RU"/>
        </w:rPr>
        <w:t>Ph-3</w:t>
      </w:r>
      <w:r>
        <w:rPr>
          <w:rFonts w:ascii="Times New Roman" w:hAnsi="Times New Roman"/>
          <w:i w:val="false"/>
          <w:iCs w:val="false"/>
          <w:sz w:val="28"/>
          <w:szCs w:val="28"/>
          <w:lang w:val="ru-RU"/>
        </w:rPr>
        <w:t xml:space="preserve"> [89,90], который обеспечивает частичную устойчивость к целому ряду изолятов </w:t>
      </w:r>
      <w:r>
        <w:rPr>
          <w:rFonts w:ascii="Times New Roman" w:hAnsi="Times New Roman"/>
          <w:i/>
          <w:iCs/>
          <w:sz w:val="28"/>
          <w:szCs w:val="28"/>
          <w:lang w:val="ru-RU"/>
        </w:rPr>
        <w:t>Phytophthora</w:t>
      </w:r>
      <w:r>
        <w:rPr>
          <w:rFonts w:ascii="Times New Roman" w:hAnsi="Times New Roman"/>
          <w:i w:val="false"/>
          <w:iCs w:val="false"/>
          <w:sz w:val="28"/>
          <w:szCs w:val="28"/>
          <w:lang w:val="ru-RU"/>
        </w:rPr>
        <w:t xml:space="preserve"> и широко используется в селекционной практике [88].</w:t>
      </w:r>
    </w:p>
    <w:p>
      <w:pPr>
        <w:pStyle w:val="Normal"/>
        <w:ind w:firstLine="737" w:start="0" w:end="0"/>
        <w:jc w:val="both"/>
        <w:rPr>
          <w:rFonts w:ascii="Times New Roman" w:hAnsi="Times New Roman"/>
        </w:rPr>
      </w:pPr>
      <w:r>
        <w:rPr>
          <w:rFonts w:ascii="Times New Roman" w:hAnsi="Times New Roman"/>
          <w:i/>
          <w:iCs/>
          <w:sz w:val="28"/>
          <w:szCs w:val="28"/>
          <w:lang w:val="ru-RU"/>
        </w:rPr>
        <w:t>Fusarium oxysporum</w:t>
      </w:r>
      <w:r>
        <w:rPr>
          <w:rFonts w:ascii="Times New Roman" w:hAnsi="Times New Roman"/>
          <w:i w:val="false"/>
          <w:iCs w:val="false"/>
          <w:sz w:val="28"/>
          <w:szCs w:val="28"/>
          <w:lang w:val="ru-RU"/>
        </w:rPr>
        <w:t xml:space="preserve"> – почвенный гриб, способный вызывать оппортунистическую инфекцию у широкого спектра восприимчивых растений, включая томат; гифы гриба могут проникать в корни и колонизировать сосуды ксилемы, вызывая системное увядание растения [91]. Подвид </w:t>
      </w:r>
      <w:r>
        <w:rPr>
          <w:rFonts w:ascii="Times New Roman" w:hAnsi="Times New Roman"/>
          <w:i/>
          <w:iCs/>
          <w:sz w:val="28"/>
          <w:szCs w:val="28"/>
          <w:lang w:val="ru-RU"/>
        </w:rPr>
        <w:t>F. oxysporum</w:t>
      </w:r>
      <w:r>
        <w:rPr>
          <w:rFonts w:ascii="Times New Roman" w:hAnsi="Times New Roman"/>
          <w:i w:val="false"/>
          <w:iCs w:val="false"/>
          <w:sz w:val="28"/>
          <w:szCs w:val="28"/>
          <w:lang w:val="ru-RU"/>
        </w:rPr>
        <w:t xml:space="preserve"> f.sp. </w:t>
      </w:r>
      <w:r>
        <w:rPr>
          <w:rFonts w:ascii="Times New Roman" w:hAnsi="Times New Roman"/>
          <w:i/>
          <w:iCs/>
          <w:sz w:val="28"/>
          <w:szCs w:val="28"/>
          <w:lang w:val="ru-RU"/>
        </w:rPr>
        <w:t>lycopersici</w:t>
      </w:r>
      <w:r>
        <w:rPr>
          <w:rFonts w:ascii="Times New Roman" w:hAnsi="Times New Roman"/>
          <w:i w:val="false"/>
          <w:iCs w:val="false"/>
          <w:sz w:val="28"/>
          <w:szCs w:val="28"/>
          <w:lang w:val="ru-RU"/>
        </w:rPr>
        <w:t xml:space="preserve"> (Fol) является основным возбудителем сосудистого увядания томата; известны три расы, и для каждой из них описаны соответствующие генетические факторы устойчивости [92]. Несмотря на отсутствие данного патогена в утвержденном списке карантинных объектов в республике, наличие  </w:t>
      </w:r>
      <w:r>
        <w:rPr>
          <w:rFonts w:ascii="Times New Roman" w:hAnsi="Times New Roman"/>
          <w:i/>
          <w:iCs/>
          <w:sz w:val="28"/>
          <w:szCs w:val="28"/>
          <w:lang w:val="ru-RU"/>
        </w:rPr>
        <w:t>F. oxysporum</w:t>
      </w:r>
      <w:r>
        <w:rPr>
          <w:rFonts w:ascii="Times New Roman" w:hAnsi="Times New Roman"/>
          <w:i w:val="false"/>
          <w:iCs w:val="false"/>
          <w:sz w:val="28"/>
          <w:szCs w:val="28"/>
          <w:lang w:val="ru-RU"/>
        </w:rPr>
        <w:t xml:space="preserve"> f.sp. </w:t>
      </w:r>
      <w:r>
        <w:rPr>
          <w:rFonts w:ascii="Times New Roman" w:hAnsi="Times New Roman"/>
          <w:i/>
          <w:iCs/>
          <w:sz w:val="28"/>
          <w:szCs w:val="28"/>
          <w:lang w:val="ru-RU"/>
        </w:rPr>
        <w:t>lycopersici</w:t>
      </w:r>
      <w:r>
        <w:rPr>
          <w:rFonts w:ascii="Times New Roman" w:hAnsi="Times New Roman"/>
          <w:i w:val="false"/>
          <w:iCs w:val="false"/>
          <w:sz w:val="28"/>
          <w:szCs w:val="28"/>
          <w:lang w:val="ru-RU"/>
        </w:rPr>
        <w:t xml:space="preserve"> в Казахстане было подтверждено на многочисленных изолятах [93,94]. Известны SCAR-маркеры At2 и Z1063, связанные с локусами устойчивости </w:t>
      </w:r>
      <w:r>
        <w:rPr>
          <w:rFonts w:ascii="Times New Roman" w:hAnsi="Times New Roman"/>
          <w:i/>
          <w:iCs/>
          <w:sz w:val="28"/>
          <w:szCs w:val="28"/>
          <w:lang w:val="ru-RU"/>
        </w:rPr>
        <w:t>I</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 xml:space="preserve">I-2, </w:t>
      </w:r>
      <w:r>
        <w:rPr>
          <w:rFonts w:ascii="Times New Roman" w:hAnsi="Times New Roman"/>
          <w:i w:val="false"/>
          <w:iCs w:val="false"/>
          <w:sz w:val="28"/>
          <w:szCs w:val="28"/>
          <w:lang w:val="ru-RU"/>
        </w:rPr>
        <w:t>соответственно [95], связанными с устойчивостью к наиболее распространенным расам Fol-1 и Fol-2 [92].</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Вышеописанные молекулярные маркеры характеризуются значительным вкладом в соответствующие признаки резистентности у томата, а также сравнительной простотой анализа и интерпретации, что делает их удобным методом скрининга растений томата на устойчивость к соответствующим патогенам.</w:t>
      </w:r>
    </w:p>
    <w:p>
      <w:pPr>
        <w:pStyle w:val="Normal"/>
        <w:ind w:firstLine="720" w:start="0" w:end="0"/>
        <w:jc w:val="both"/>
        <w:rPr>
          <w:rFonts w:ascii="Times New Roman" w:hAnsi="Times New Roman"/>
        </w:rPr>
      </w:pPr>
      <w:r>
        <w:rPr>
          <w:rFonts w:ascii="Times New Roman" w:hAnsi="Times New Roman"/>
          <w:i w:val="false"/>
          <w:iCs w:val="false"/>
          <w:sz w:val="28"/>
          <w:szCs w:val="28"/>
          <w:lang w:val="ru-RU"/>
        </w:rPr>
        <w:t>1.4 Генетика устойчивости томата к мучнистой росе</w:t>
      </w:r>
    </w:p>
    <w:p>
      <w:pPr>
        <w:pStyle w:val="Normal"/>
        <w:ind w:firstLine="720" w:start="0" w:end="0"/>
        <w:jc w:val="both"/>
        <w:rPr>
          <w:rFonts w:ascii="Times New Roman" w:hAnsi="Times New Roman"/>
        </w:rPr>
      </w:pPr>
      <w:r>
        <w:rPr>
          <w:rFonts w:ascii="Times New Roman" w:hAnsi="Times New Roman"/>
          <w:i w:val="false"/>
          <w:iCs w:val="false"/>
          <w:sz w:val="28"/>
          <w:szCs w:val="28"/>
          <w:lang w:val="ru-RU"/>
        </w:rPr>
        <w:t xml:space="preserve">Как и в случае с другими микроорганизмами, лечение развившейся инфекции мучнистой росы у растений осложняется потенциальными экологическими рисками [96,97] и неизбежной эволюцией патогена в сторону устойчивости к противогрибковым химическим препаратам [98], что обусловливает важность селекции и отбора устойчивых сортов культур в качестве первой линии защиты от PM. Идентификация локусов, передающих устойчивость, является важнейшей предпосылкой успешного процесса селекции. Отсутствие литературных источников по селекции томатов на устойчивость к PM до глобальной вспышки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в конце 1980-х годов указывает на то, что эта болезнь не считалась значительной угрозой и, следовательно, не представляла большого интереса для традиционных селекционных программ. Исследования устойчивости томатов к PM показали, что практически все коммерчески доступные сорта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были умеренно или высоко восприимчивы [99]. Поэтому в последующих селекционных исследованиях использовались генотипы диких видов томатов как потенциальный источник генов устойчивости [100]. У диких видов томатов была выявлена серия локусов, связанных с устойчивостью к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эта серия локусов устойчивости была обозначена как </w:t>
      </w:r>
      <w:r>
        <w:rPr>
          <w:rFonts w:ascii="Times New Roman" w:hAnsi="Times New Roman"/>
          <w:i/>
          <w:iCs/>
          <w:sz w:val="28"/>
          <w:szCs w:val="28"/>
          <w:lang w:val="ru-RU"/>
        </w:rPr>
        <w:t>Ol-X</w:t>
      </w:r>
      <w:r>
        <w:rPr>
          <w:rFonts w:ascii="Times New Roman" w:hAnsi="Times New Roman"/>
          <w:i w:val="false"/>
          <w:iCs w:val="false"/>
          <w:sz w:val="28"/>
          <w:szCs w:val="28"/>
          <w:lang w:val="ru-RU"/>
        </w:rPr>
        <w:t xml:space="preserve">, что является сокращением от старого названия патогена – </w:t>
      </w:r>
      <w:r>
        <w:rPr>
          <w:rFonts w:ascii="Times New Roman" w:hAnsi="Times New Roman"/>
          <w:i/>
          <w:iCs/>
          <w:sz w:val="28"/>
          <w:szCs w:val="28"/>
          <w:lang w:val="ru-RU"/>
        </w:rPr>
        <w:t xml:space="preserve">O. lycopersicum/lycopersici </w:t>
      </w:r>
      <w:r>
        <w:rPr>
          <w:rFonts w:ascii="Times New Roman" w:hAnsi="Times New Roman"/>
          <w:i/>
          <w:iCs w:val="false"/>
          <w:sz w:val="28"/>
          <w:szCs w:val="28"/>
          <w:lang w:val="ru-RU"/>
        </w:rPr>
        <w:t>[52]</w:t>
      </w:r>
      <w:r>
        <w:rPr>
          <w:rFonts w:ascii="Times New Roman" w:hAnsi="Times New Roman"/>
          <w:i w:val="false"/>
          <w:iCs w:val="false"/>
          <w:sz w:val="28"/>
          <w:szCs w:val="28"/>
          <w:lang w:val="ru-RU"/>
        </w:rPr>
        <w:t xml:space="preserve">. </w:t>
      </w:r>
    </w:p>
    <w:p>
      <w:pPr>
        <w:pStyle w:val="Normal"/>
        <w:jc w:val="both"/>
        <w:rPr>
          <w:rFonts w:ascii="Times New Roman" w:hAnsi="Times New Roman"/>
        </w:rPr>
      </w:pPr>
      <w:r>
        <w:rPr>
          <w:rFonts w:ascii="Times New Roman" w:hAnsi="Times New Roman"/>
          <w:i w:val="false"/>
          <w:iCs w:val="false"/>
          <w:sz w:val="28"/>
          <w:szCs w:val="28"/>
          <w:lang w:val="ru-RU"/>
        </w:rPr>
        <w:tab/>
        <w:t xml:space="preserve">Доминантные локусы устойчивости </w:t>
      </w:r>
      <w:r>
        <w:rPr>
          <w:rFonts w:ascii="Times New Roman" w:hAnsi="Times New Roman"/>
          <w:i/>
          <w:iCs/>
          <w:sz w:val="28"/>
          <w:szCs w:val="28"/>
          <w:lang w:val="ru-RU"/>
        </w:rPr>
        <w:t>Ol-1, Ol-3, Ol-4, Ol-5</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Ol-6</w:t>
      </w:r>
      <w:r>
        <w:rPr>
          <w:rFonts w:ascii="Times New Roman" w:hAnsi="Times New Roman"/>
          <w:i w:val="false"/>
          <w:iCs w:val="false"/>
          <w:sz w:val="28"/>
          <w:szCs w:val="28"/>
          <w:lang w:val="ru-RU"/>
        </w:rPr>
        <w:t xml:space="preserve">, происходящие от различных диких видов томата и картированные на хромосоме 6 томата, обеспечивают изоляционно-специфическую устойчивость (R-гены) [101] (таблица 2). В отличие от S-генов, R-гены. </w:t>
      </w:r>
      <w:r>
        <w:rPr>
          <w:rFonts w:ascii="Times New Roman" w:hAnsi="Times New Roman"/>
          <w:i/>
          <w:iCs/>
          <w:sz w:val="28"/>
          <w:szCs w:val="28"/>
          <w:lang w:val="ru-RU"/>
        </w:rPr>
        <w:t>Ol-1, Ol-3</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Ol-5</w:t>
      </w:r>
      <w:r>
        <w:rPr>
          <w:rFonts w:ascii="Times New Roman" w:hAnsi="Times New Roman"/>
          <w:i w:val="false"/>
          <w:iCs w:val="false"/>
          <w:sz w:val="28"/>
          <w:szCs w:val="28"/>
          <w:lang w:val="ru-RU"/>
        </w:rPr>
        <w:t xml:space="preserve"> были получены из </w:t>
      </w:r>
      <w:r>
        <w:rPr>
          <w:rFonts w:ascii="Times New Roman" w:hAnsi="Times New Roman"/>
          <w:i/>
          <w:iCs/>
          <w:sz w:val="28"/>
          <w:szCs w:val="28"/>
          <w:lang w:val="ru-RU"/>
        </w:rPr>
        <w:t>S. habrochaites</w:t>
      </w:r>
      <w:r>
        <w:rPr>
          <w:rFonts w:ascii="Times New Roman" w:hAnsi="Times New Roman"/>
          <w:i w:val="false"/>
          <w:iCs w:val="false"/>
          <w:sz w:val="28"/>
          <w:szCs w:val="28"/>
          <w:lang w:val="ru-RU"/>
        </w:rPr>
        <w:t xml:space="preserve"> G1.1560 и идентифицированы как ответственные за медленный, или многоклеточный, гиперчувствительный ответ против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локусы </w:t>
      </w:r>
      <w:r>
        <w:rPr>
          <w:rFonts w:ascii="Times New Roman" w:hAnsi="Times New Roman"/>
          <w:i/>
          <w:iCs/>
          <w:sz w:val="28"/>
          <w:szCs w:val="28"/>
          <w:lang w:val="ru-RU"/>
        </w:rPr>
        <w:t>Ol-4</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Ol-6</w:t>
      </w:r>
      <w:r>
        <w:rPr>
          <w:rFonts w:ascii="Times New Roman" w:hAnsi="Times New Roman"/>
          <w:i w:val="false"/>
          <w:iCs w:val="false"/>
          <w:sz w:val="28"/>
          <w:szCs w:val="28"/>
          <w:lang w:val="ru-RU"/>
        </w:rPr>
        <w:t xml:space="preserve"> были связаны с быстрым, или одноклеточным, гиперчувствительным ответом [102]. Все пять доминант сгруппированы на хромосоме 6 томата; их близость коррелирует с их специфичностью к расе патогена: </w:t>
      </w:r>
      <w:r>
        <w:rPr>
          <w:rFonts w:ascii="Times New Roman" w:hAnsi="Times New Roman"/>
          <w:i/>
          <w:iCs/>
          <w:sz w:val="28"/>
          <w:szCs w:val="28"/>
          <w:lang w:val="ru-RU"/>
        </w:rPr>
        <w:t>Ol-1, Ol-3</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Ol-5</w:t>
      </w:r>
      <w:r>
        <w:rPr>
          <w:rFonts w:ascii="Times New Roman" w:hAnsi="Times New Roman"/>
          <w:i w:val="false"/>
          <w:iCs w:val="false"/>
          <w:sz w:val="28"/>
          <w:szCs w:val="28"/>
          <w:lang w:val="ru-RU"/>
        </w:rPr>
        <w:t xml:space="preserve"> наделяют устойчивостью к более широкому спектру изолятов </w:t>
      </w:r>
      <w:r>
        <w:rPr>
          <w:rFonts w:ascii="Times New Roman" w:hAnsi="Times New Roman"/>
          <w:i/>
          <w:iCs/>
          <w:sz w:val="28"/>
          <w:szCs w:val="28"/>
          <w:lang w:val="ru-RU"/>
        </w:rPr>
        <w:t>O</w:t>
      </w:r>
      <w:r>
        <w:rPr>
          <w:rFonts w:ascii="Times New Roman" w:hAnsi="Times New Roman"/>
          <w:i w:val="false"/>
          <w:iCs w:val="false"/>
          <w:sz w:val="28"/>
          <w:szCs w:val="28"/>
          <w:lang w:val="ru-RU"/>
        </w:rPr>
        <w:t>.</w:t>
      </w:r>
      <w:r>
        <w:rPr>
          <w:rFonts w:ascii="Times New Roman" w:hAnsi="Times New Roman"/>
          <w:i/>
          <w:iCs/>
          <w:sz w:val="28"/>
          <w:szCs w:val="28"/>
          <w:lang w:val="ru-RU"/>
        </w:rPr>
        <w:t> neolycopersici</w:t>
      </w:r>
      <w:r>
        <w:rPr>
          <w:rFonts w:ascii="Times New Roman" w:hAnsi="Times New Roman"/>
          <w:i w:val="false"/>
          <w:iCs w:val="false"/>
          <w:sz w:val="28"/>
          <w:szCs w:val="28"/>
          <w:lang w:val="ru-RU"/>
        </w:rPr>
        <w:t xml:space="preserve"> [101]. Было показано, что локусы</w:t>
      </w:r>
      <w:r>
        <w:rPr>
          <w:rFonts w:ascii="Times New Roman" w:hAnsi="Times New Roman"/>
          <w:i/>
          <w:iCs/>
          <w:sz w:val="28"/>
          <w:szCs w:val="28"/>
          <w:lang w:val="ru-RU"/>
        </w:rPr>
        <w:t xml:space="preserve"> Ol-1</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Ol-4</w:t>
      </w:r>
      <w:r>
        <w:rPr>
          <w:rFonts w:ascii="Times New Roman" w:hAnsi="Times New Roman"/>
          <w:i w:val="false"/>
          <w:iCs w:val="false"/>
          <w:sz w:val="28"/>
          <w:szCs w:val="28"/>
          <w:lang w:val="ru-RU"/>
        </w:rPr>
        <w:t xml:space="preserve"> связаны с отложением каллозы в ответ на инфекцию [103]. Локусы </w:t>
      </w:r>
      <w:r>
        <w:rPr>
          <w:rFonts w:ascii="Times New Roman" w:hAnsi="Times New Roman"/>
          <w:i/>
          <w:iCs/>
          <w:sz w:val="28"/>
          <w:szCs w:val="28"/>
          <w:lang w:val="ru-RU"/>
        </w:rPr>
        <w:t>Ol-4</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Ol-6</w:t>
      </w:r>
      <w:r>
        <w:rPr>
          <w:rFonts w:ascii="Times New Roman" w:hAnsi="Times New Roman"/>
          <w:i w:val="false"/>
          <w:iCs w:val="false"/>
          <w:sz w:val="28"/>
          <w:szCs w:val="28"/>
          <w:lang w:val="ru-RU"/>
        </w:rPr>
        <w:t xml:space="preserve"> были также обнаружены гомологичными локусу </w:t>
      </w:r>
      <w:r>
        <w:rPr>
          <w:rFonts w:ascii="Times New Roman" w:hAnsi="Times New Roman"/>
          <w:i/>
          <w:iCs/>
          <w:sz w:val="28"/>
          <w:szCs w:val="28"/>
          <w:lang w:val="ru-RU"/>
        </w:rPr>
        <w:t>Mi-1</w:t>
      </w:r>
      <w:r>
        <w:rPr>
          <w:rFonts w:ascii="Times New Roman" w:hAnsi="Times New Roman"/>
          <w:i w:val="false"/>
          <w:iCs w:val="false"/>
          <w:sz w:val="28"/>
          <w:szCs w:val="28"/>
          <w:lang w:val="ru-RU"/>
        </w:rPr>
        <w:t xml:space="preserve">, передающему устойчивость к корневым нематодам, и таким образом представляли собой устойчивость к нескольким патогенам [104]. Также были идентифицированы три локуса качественных признаков (QTL): Ol-qtl1, связанный с локусом </w:t>
      </w:r>
      <w:r>
        <w:rPr>
          <w:rFonts w:ascii="Times New Roman" w:hAnsi="Times New Roman"/>
          <w:i/>
          <w:iCs/>
          <w:sz w:val="28"/>
          <w:szCs w:val="28"/>
          <w:lang w:val="ru-RU"/>
        </w:rPr>
        <w:t>Ol-1</w:t>
      </w:r>
      <w:r>
        <w:rPr>
          <w:rFonts w:ascii="Times New Roman" w:hAnsi="Times New Roman"/>
          <w:i w:val="false"/>
          <w:iCs w:val="false"/>
          <w:sz w:val="28"/>
          <w:szCs w:val="28"/>
          <w:lang w:val="ru-RU"/>
        </w:rPr>
        <w:t xml:space="preserve"> на хромосоме 6, </w:t>
      </w:r>
      <w:r>
        <w:rPr>
          <w:rFonts w:ascii="Times New Roman" w:hAnsi="Times New Roman"/>
          <w:i/>
          <w:iCs/>
          <w:sz w:val="28"/>
          <w:szCs w:val="28"/>
          <w:lang w:val="ru-RU"/>
        </w:rPr>
        <w:t>Ol-qtl2</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Ol-qtl3</w:t>
      </w:r>
      <w:r>
        <w:rPr>
          <w:rFonts w:ascii="Times New Roman" w:hAnsi="Times New Roman"/>
          <w:i w:val="false"/>
          <w:iCs w:val="false"/>
          <w:sz w:val="28"/>
          <w:szCs w:val="28"/>
          <w:lang w:val="ru-RU"/>
        </w:rPr>
        <w:t xml:space="preserve">, связанный с локусом </w:t>
      </w:r>
      <w:r>
        <w:rPr>
          <w:rFonts w:ascii="Times New Roman" w:hAnsi="Times New Roman"/>
          <w:i/>
          <w:iCs/>
          <w:sz w:val="28"/>
          <w:szCs w:val="28"/>
          <w:lang w:val="ru-RU"/>
        </w:rPr>
        <w:t>Lv</w:t>
      </w:r>
      <w:r>
        <w:rPr>
          <w:rFonts w:ascii="Times New Roman" w:hAnsi="Times New Roman"/>
          <w:i w:val="false"/>
          <w:iCs w:val="false"/>
          <w:sz w:val="28"/>
          <w:szCs w:val="28"/>
          <w:lang w:val="ru-RU"/>
        </w:rPr>
        <w:t xml:space="preserve"> на хромосоме 12 [45], который является единственным известным локусом, наделяющим устойчивостью к </w:t>
      </w:r>
      <w:r>
        <w:rPr>
          <w:rFonts w:ascii="Times New Roman" w:hAnsi="Times New Roman"/>
          <w:i/>
          <w:iCs/>
          <w:sz w:val="28"/>
          <w:szCs w:val="28"/>
          <w:lang w:val="ru-RU"/>
        </w:rPr>
        <w:t>L. taurica</w:t>
      </w:r>
      <w:r>
        <w:rPr>
          <w:rFonts w:ascii="Times New Roman" w:hAnsi="Times New Roman"/>
          <w:i w:val="false"/>
          <w:iCs w:val="false"/>
          <w:sz w:val="28"/>
          <w:szCs w:val="28"/>
          <w:lang w:val="ru-RU"/>
        </w:rPr>
        <w:t xml:space="preserve"> [105,106]. В сочетании эти три QTL и пять доминантных </w:t>
      </w:r>
      <w:r>
        <w:rPr>
          <w:rFonts w:ascii="Times New Roman" w:hAnsi="Times New Roman"/>
          <w:i/>
          <w:iCs/>
          <w:sz w:val="28"/>
          <w:szCs w:val="28"/>
          <w:lang w:val="ru-RU"/>
        </w:rPr>
        <w:t>Ol</w:t>
      </w:r>
      <w:r>
        <w:rPr>
          <w:rFonts w:ascii="Times New Roman" w:hAnsi="Times New Roman"/>
          <w:i w:val="false"/>
          <w:iCs w:val="false"/>
          <w:sz w:val="28"/>
          <w:szCs w:val="28"/>
          <w:lang w:val="ru-RU"/>
        </w:rPr>
        <w:t xml:space="preserve">-локусов обеспечивают высокий уровень полигенной устойчивости против мучнистой росы [107]. </w:t>
      </w:r>
    </w:p>
    <w:p>
      <w:pPr>
        <w:pStyle w:val="Normal"/>
        <w:jc w:val="both"/>
        <w:rPr>
          <w:rFonts w:ascii="Times New Roman" w:hAnsi="Times New Roman"/>
        </w:rPr>
      </w:pPr>
      <w:r>
        <w:rPr>
          <w:rFonts w:ascii="Times New Roman" w:hAnsi="Times New Roman"/>
          <w:i w:val="false"/>
          <w:iCs w:val="false"/>
          <w:sz w:val="28"/>
          <w:szCs w:val="28"/>
          <w:lang w:val="ru-RU"/>
        </w:rPr>
        <w:tab/>
        <w:t xml:space="preserve">Развитие новых технологий позволяет проводить поиск новых генов устойчивости в более широком масштабе. Методы геномного генотипирования и ассоциации позволяют с высокой точностью получать информацию о картировании потенциальных локусов устойчивости. Park et al. использовали технологию микрочипов и выявили новые QTL-регионы и SNP-маркеры, ассоциированные с устойчивостью [108]. Хотя на сегодняшний день это единственная работа по изучению геномных ассоциаций для устойчивости к мучнистой росе у томата, аналогичные исследования доказали применимость метода на сое [109], фасоли [110], тыкве [111], пшенице [112], винограде [113] и других видах растений. Другим перспективным подходом является сочетание транскриптомного и метаболомного анализов [122]. Перспективным направлением исследований также является изучение регуляторных последовательностей, таких как </w:t>
        <w:br/>
      </w:r>
    </w:p>
    <w:p>
      <w:pPr>
        <w:pStyle w:val="Normal"/>
        <w:jc w:val="both"/>
        <w:rPr>
          <w:rFonts w:ascii="Times New Roman" w:hAnsi="Times New Roman"/>
        </w:rPr>
      </w:pPr>
      <w:r>
        <w:rPr>
          <w:rFonts w:ascii="Times New Roman" w:hAnsi="Times New Roman"/>
          <w:i w:val="false"/>
          <w:iCs w:val="false"/>
          <w:sz w:val="28"/>
          <w:szCs w:val="28"/>
          <w:lang w:val="ru-RU"/>
        </w:rPr>
        <w:t>Таблица 2 – Известные локусы устойчивости к мучнистой росе у томата</w:t>
      </w:r>
    </w:p>
    <w:p>
      <w:pPr>
        <w:pStyle w:val="Normal"/>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tbl>
      <w:tblPr>
        <w:bidiVisual w:val="true"/>
        <w:tblW w:w="9643" w:type="dxa"/>
        <w:jc w:val="start"/>
        <w:tblInd w:w="7" w:type="dxa"/>
        <w:tblLayout w:type="fixed"/>
        <w:tblCellMar>
          <w:top w:w="55" w:type="dxa"/>
          <w:start w:w="55" w:type="dxa"/>
          <w:bottom w:w="55" w:type="dxa"/>
          <w:end w:w="55" w:type="dxa"/>
        </w:tblCellMar>
      </w:tblPr>
      <w:tblGrid>
        <w:gridCol w:w="1593"/>
        <w:gridCol w:w="2671"/>
        <w:gridCol w:w="1978"/>
        <w:gridCol w:w="1842"/>
        <w:gridCol w:w="1559"/>
      </w:tblGrid>
      <w:tr>
        <w:trPr/>
        <w:tc>
          <w:tcPr>
            <w:tcW w:w="1593" w:type="dxa"/>
            <w:tcBorders>
              <w:top w:val="single" w:sz="4" w:space="0" w:color="000000"/>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Ссылки</w:t>
            </w:r>
          </w:p>
        </w:tc>
        <w:tc>
          <w:tcPr>
            <w:tcW w:w="2671" w:type="dxa"/>
            <w:tcBorders>
              <w:top w:val="single" w:sz="4" w:space="0" w:color="000000"/>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Генетический источник</w:t>
            </w:r>
          </w:p>
        </w:tc>
        <w:tc>
          <w:tcPr>
            <w:tcW w:w="1978" w:type="dxa"/>
            <w:tcBorders>
              <w:top w:val="single" w:sz="4" w:space="0" w:color="000000"/>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Вид патогена</w:t>
            </w:r>
          </w:p>
        </w:tc>
        <w:tc>
          <w:tcPr>
            <w:tcW w:w="1842" w:type="dxa"/>
            <w:tcBorders>
              <w:top w:val="single" w:sz="4" w:space="0" w:color="000000"/>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Тип устойчивости</w:t>
            </w:r>
          </w:p>
        </w:tc>
        <w:tc>
          <w:tcPr>
            <w:tcW w:w="1559" w:type="dxa"/>
            <w:tcBorders>
              <w:top w:val="single" w:sz="4" w:space="0" w:color="000000"/>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Локус</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[101,114]</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sz w:val="24"/>
                <w:szCs w:val="24"/>
                <w:lang w:val="ru-RU"/>
              </w:rPr>
              <w:t xml:space="preserve">Solanum habrochaites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Lycopersicon hirsutum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Oidium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Ol-1</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[18,20,115,116]</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Solanum lycopersicum, </w:t>
            </w:r>
            <w:r>
              <w:rPr>
                <w:rFonts w:cs="Lohit Devanagari" w:ascii="Times New Roman" w:hAnsi="Times New Roman"/>
                <w:b w:val="false"/>
                <w:bCs w:val="false"/>
                <w:sz w:val="24"/>
                <w:szCs w:val="24"/>
                <w:lang w:val="ru-RU"/>
              </w:rPr>
              <w:t xml:space="preserve">predicted from  </w:t>
            </w:r>
            <w:r>
              <w:rPr>
                <w:rFonts w:cs="Lohit Devanagari" w:ascii="Times New Roman" w:hAnsi="Times New Roman"/>
                <w:b w:val="false"/>
                <w:bCs w:val="false"/>
                <w:i/>
                <w:iCs/>
                <w:sz w:val="24"/>
                <w:szCs w:val="24"/>
                <w:lang w:val="ru-RU"/>
              </w:rPr>
              <w:t xml:space="preserve">Arabidopsis thaliana </w:t>
            </w:r>
            <w:r>
              <w:rPr>
                <w:rFonts w:cs="Lohit Devanagari" w:ascii="Times New Roman" w:hAnsi="Times New Roman"/>
                <w:b w:val="false"/>
                <w:bCs w:val="false"/>
                <w:sz w:val="24"/>
                <w:szCs w:val="24"/>
                <w:lang w:val="ru-RU"/>
              </w:rPr>
              <w:t xml:space="preserve">and </w:t>
            </w:r>
            <w:r>
              <w:rPr>
                <w:rFonts w:cs="Lohit Devanagari" w:ascii="Times New Roman" w:hAnsi="Times New Roman"/>
                <w:b w:val="false"/>
                <w:bCs w:val="false"/>
                <w:i/>
                <w:iCs/>
                <w:sz w:val="24"/>
                <w:szCs w:val="24"/>
                <w:lang w:val="ru-RU"/>
              </w:rPr>
              <w:t>Hordeum vulgare</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 Leveillula. taurica</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S</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ol-2/SlMLO1</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[101]</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sz w:val="24"/>
                <w:szCs w:val="24"/>
                <w:lang w:val="ru-RU"/>
              </w:rPr>
              <w:t xml:space="preserve">S. habrochaites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 hirsutum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Ol-3</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[101,104,117]</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 peruvianum</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Ol-4</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[101]</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sz w:val="24"/>
                <w:szCs w:val="24"/>
                <w:lang w:val="ru-RU"/>
              </w:rPr>
              <w:t xml:space="preserve">S. habrochaites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 hirsutum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Ol-5</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[101,104]</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color w:val="000000"/>
                <w:sz w:val="24"/>
                <w:szCs w:val="24"/>
                <w:lang w:val="ru-RU"/>
              </w:rPr>
              <w:t>Unknown</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Ol-6</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[45,118,119]</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Solanum neorickii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Lycopersicon parviflorum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QTL</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Ol-qtl1</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[45,118,119]</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 neorickii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 parviflorum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QTL</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Ol-qtl2</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[45,118,119]</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 neorickii </w:t>
            </w:r>
            <w:r>
              <w:rPr>
                <w:rFonts w:cs="Lohit Devanagari" w:ascii="Times New Roman" w:hAnsi="Times New Roman"/>
                <w:b w:val="false"/>
                <w:bCs w:val="false"/>
                <w:sz w:val="24"/>
                <w:szCs w:val="24"/>
                <w:lang w:val="ru-RU"/>
              </w:rPr>
              <w:t xml:space="preserve">(syn. </w:t>
            </w:r>
            <w:r>
              <w:rPr>
                <w:rFonts w:cs="Lohit Devanagari" w:ascii="Times New Roman" w:hAnsi="Times New Roman"/>
                <w:b w:val="false"/>
                <w:bCs w:val="false"/>
                <w:i/>
                <w:iCs/>
                <w:sz w:val="24"/>
                <w:szCs w:val="24"/>
                <w:lang w:val="ru-RU"/>
              </w:rPr>
              <w:t>L. parviflorum</w:t>
            </w:r>
            <w:r>
              <w:rPr>
                <w:rFonts w:cs="Lohit Devanagari" w:ascii="Times New Roman" w:hAnsi="Times New Roman"/>
                <w:b w:val="false"/>
                <w:bCs w:val="false"/>
                <w:sz w:val="24"/>
                <w:szCs w:val="24"/>
                <w:lang w:val="ru-RU"/>
              </w:rPr>
              <w:t>)</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QTL</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Ol-qtl3</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[105,106]</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 lycopersicum</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L. taurica</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R</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Lv</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 w:val="false"/>
                <w:bCs w:val="false"/>
                <w:sz w:val="24"/>
                <w:szCs w:val="24"/>
                <w:lang w:val="ru-RU"/>
              </w:rPr>
              <w:t>[19]‍</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 lycopersicum, </w:t>
            </w:r>
            <w:r>
              <w:rPr>
                <w:rFonts w:cs="Lohit Devanagari" w:ascii="Times New Roman" w:hAnsi="Times New Roman"/>
                <w:b w:val="false"/>
                <w:bCs w:val="false"/>
                <w:sz w:val="24"/>
                <w:szCs w:val="24"/>
                <w:lang w:val="ru-RU"/>
              </w:rPr>
              <w:t xml:space="preserve">predicted from  </w:t>
            </w:r>
            <w:r>
              <w:rPr>
                <w:rFonts w:cs="Lohit Devanagari" w:ascii="Times New Roman" w:hAnsi="Times New Roman"/>
                <w:b w:val="false"/>
                <w:bCs w:val="false"/>
                <w:i/>
                <w:iCs/>
                <w:sz w:val="24"/>
                <w:szCs w:val="24"/>
                <w:lang w:val="ru-RU"/>
              </w:rPr>
              <w:t xml:space="preserve">A. thaliana </w:t>
            </w:r>
            <w:r>
              <w:rPr>
                <w:rFonts w:cs="Lohit Devanagari" w:ascii="Times New Roman" w:hAnsi="Times New Roman"/>
                <w:b w:val="false"/>
                <w:bCs w:val="false"/>
                <w:sz w:val="24"/>
                <w:szCs w:val="24"/>
                <w:lang w:val="ru-RU"/>
              </w:rPr>
              <w:t xml:space="preserve">and </w:t>
            </w:r>
            <w:r>
              <w:rPr>
                <w:rFonts w:cs="Lohit Devanagari" w:ascii="Times New Roman" w:hAnsi="Times New Roman"/>
                <w:b w:val="false"/>
                <w:bCs w:val="false"/>
                <w:i/>
                <w:iCs/>
                <w:sz w:val="24"/>
                <w:szCs w:val="24"/>
                <w:lang w:val="ru-RU"/>
              </w:rPr>
              <w:t>H. vulgare</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S</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SlMLO5</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 w:val="false"/>
                <w:bCs w:val="false"/>
                <w:sz w:val="24"/>
                <w:szCs w:val="24"/>
                <w:lang w:val="ru-RU"/>
              </w:rPr>
              <w:t>[19]‍</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 lycopersicum, predicted from  A. thaliana and H. vulgare</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S</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SlMLO8</w:t>
            </w:r>
          </w:p>
        </w:tc>
      </w:tr>
      <w:tr>
        <w:trPr/>
        <w:tc>
          <w:tcPr>
            <w:tcW w:w="1593" w:type="dxa"/>
            <w:tcBorders>
              <w:start w:val="single" w:sz="4" w:space="0" w:color="000000"/>
              <w:bottom w:val="single" w:sz="4" w:space="0" w:color="000000"/>
            </w:tcBorders>
            <w:vAlign w:val="center"/>
          </w:tcPr>
          <w:p>
            <w:pPr>
              <w:pStyle w:val="TableContents"/>
              <w:rPr>
                <w:rFonts w:ascii="Times New Roman" w:hAnsi="Times New Roman"/>
              </w:rPr>
            </w:pPr>
            <w:r>
              <w:rPr>
                <w:rFonts w:ascii="Times New Roman" w:hAnsi="Times New Roman"/>
                <w:bCs w:val="false"/>
                <w:sz w:val="24"/>
                <w:szCs w:val="24"/>
                <w:lang w:val="ru-RU"/>
              </w:rPr>
              <w:t>[120,121]</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 lycopersicum, </w:t>
            </w:r>
            <w:r>
              <w:rPr>
                <w:rFonts w:cs="Lohit Devanagari" w:ascii="Times New Roman" w:hAnsi="Times New Roman"/>
                <w:b w:val="false"/>
                <w:bCs w:val="false"/>
                <w:sz w:val="24"/>
                <w:szCs w:val="24"/>
                <w:lang w:val="ru-RU"/>
              </w:rPr>
              <w:t xml:space="preserve">predicted from  </w:t>
            </w:r>
            <w:r>
              <w:rPr>
                <w:rFonts w:cs="Lohit Devanagari" w:ascii="Times New Roman" w:hAnsi="Times New Roman"/>
                <w:b w:val="false"/>
                <w:bCs w:val="false"/>
                <w:i/>
                <w:iCs/>
                <w:sz w:val="24"/>
                <w:szCs w:val="24"/>
                <w:lang w:val="ru-RU"/>
              </w:rPr>
              <w:t>A. thaliana</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 L. taurica</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S</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SlPMR4</w:t>
            </w:r>
          </w:p>
        </w:tc>
      </w:tr>
      <w:tr>
        <w:trPr/>
        <w:tc>
          <w:tcPr>
            <w:tcW w:w="1593" w:type="dxa"/>
            <w:tcBorders>
              <w:start w:val="single" w:sz="4" w:space="0" w:color="000000"/>
              <w:bottom w:val="single" w:sz="4" w:space="0" w:color="000000"/>
            </w:tcBorders>
            <w:vAlign w:val="center"/>
          </w:tcPr>
          <w:p>
            <w:pPr>
              <w:pStyle w:val="TableContents"/>
              <w:jc w:val="both"/>
              <w:rPr>
                <w:rFonts w:ascii="Times New Roman" w:hAnsi="Times New Roman"/>
              </w:rPr>
            </w:pPr>
            <w:r>
              <w:rPr>
                <w:rFonts w:ascii="Times New Roman" w:hAnsi="Times New Roman"/>
                <w:bCs w:val="false"/>
                <w:sz w:val="24"/>
                <w:szCs w:val="24"/>
                <w:lang w:val="ru-RU"/>
              </w:rPr>
              <w:t>[121]</w:t>
            </w:r>
          </w:p>
        </w:tc>
        <w:tc>
          <w:tcPr>
            <w:tcW w:w="2671"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 xml:space="preserve">S. lycopersicum, </w:t>
            </w:r>
            <w:r>
              <w:rPr>
                <w:rFonts w:cs="Lohit Devanagari" w:ascii="Times New Roman" w:hAnsi="Times New Roman"/>
                <w:b w:val="false"/>
                <w:bCs w:val="false"/>
                <w:sz w:val="24"/>
                <w:szCs w:val="24"/>
                <w:lang w:val="ru-RU"/>
              </w:rPr>
              <w:t xml:space="preserve">predicted from  </w:t>
            </w:r>
            <w:r>
              <w:rPr>
                <w:rFonts w:cs="Lohit Devanagari" w:ascii="Times New Roman" w:hAnsi="Times New Roman"/>
                <w:b w:val="false"/>
                <w:bCs w:val="false"/>
                <w:i/>
                <w:iCs/>
                <w:sz w:val="24"/>
                <w:szCs w:val="24"/>
                <w:lang w:val="ru-RU"/>
              </w:rPr>
              <w:t>A. thaliana</w:t>
            </w:r>
          </w:p>
        </w:tc>
        <w:tc>
          <w:tcPr>
            <w:tcW w:w="1978"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O. neolycopersici, L. taurica</w:t>
            </w:r>
          </w:p>
        </w:tc>
        <w:tc>
          <w:tcPr>
            <w:tcW w:w="1842" w:type="dxa"/>
            <w:tcBorders>
              <w:start w:val="single" w:sz="4" w:space="0" w:color="000000"/>
              <w:bottom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sz w:val="24"/>
                <w:szCs w:val="24"/>
                <w:lang w:val="ru-RU"/>
              </w:rPr>
              <w:t>S</w:t>
            </w:r>
          </w:p>
        </w:tc>
        <w:tc>
          <w:tcPr>
            <w:tcW w:w="1559" w:type="dxa"/>
            <w:tcBorders>
              <w:start w:val="single" w:sz="4" w:space="0" w:color="000000"/>
              <w:bottom w:val="single" w:sz="4" w:space="0" w:color="000000"/>
              <w:end w:val="single" w:sz="4" w:space="0" w:color="000000"/>
            </w:tcBorders>
            <w:vAlign w:val="center"/>
          </w:tcPr>
          <w:p>
            <w:pPr>
              <w:pStyle w:val="TableContents"/>
              <w:snapToGrid w:val="false"/>
              <w:spacing w:lineRule="auto" w:line="240"/>
              <w:jc w:val="both"/>
              <w:rPr>
                <w:rFonts w:ascii="Times New Roman" w:hAnsi="Times New Roman"/>
              </w:rPr>
            </w:pPr>
            <w:r>
              <w:rPr>
                <w:rFonts w:cs="Lohit Devanagari" w:ascii="Times New Roman" w:hAnsi="Times New Roman"/>
                <w:b w:val="false"/>
                <w:bCs w:val="false"/>
                <w:i/>
                <w:iCs/>
                <w:sz w:val="24"/>
                <w:szCs w:val="24"/>
                <w:lang w:val="ru-RU"/>
              </w:rPr>
              <w:t>SlDMR1</w:t>
            </w:r>
          </w:p>
        </w:tc>
      </w:tr>
    </w:tbl>
    <w:p>
      <w:pPr>
        <w:pStyle w:val="Normal"/>
        <w:jc w:val="both"/>
        <w:rPr>
          <w:rFonts w:ascii="Times New Roman" w:hAnsi="Times New Roman"/>
        </w:rPr>
      </w:pPr>
      <w:r>
        <w:rPr>
          <w:rFonts w:ascii="Times New Roman" w:hAnsi="Times New Roman"/>
          <w:i w:val="false"/>
          <w:iCs w:val="false"/>
          <w:sz w:val="28"/>
          <w:szCs w:val="28"/>
          <w:lang w:val="ru-RU"/>
        </w:rPr>
        <w:t xml:space="preserve">транскрипционные факторы, вовлеченных в механизмы устойчивости к мучнистой росе [123]. Уровни транскрипции ряда генов-кандидатов были оценены во взаимодействии с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для выяснения физиологических реакций на заражение мучнистой росой [124]. Эти новые данные, а также последующие подтверждающие эксперименты могут способствовать дальнейшему изучению устойчивости томата к мучнистой росе и предложить новые способы эффективного предотвращения инфекции. </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Как было показано выше, число известных факторов устойчивости к мучнистой росе у томата ограничено. Возможным источником новых генетических данных могут стать локусы, обнаруженные и аннотированные на основе гомологии с другими видами растений. Таким образом можно идентифицировать S-гены, вовлеченные в общие пути взаимодействия растений и патогенов. Например, гены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PMR4</w:t>
      </w:r>
      <w:r>
        <w:rPr>
          <w:rFonts w:ascii="Times New Roman" w:hAnsi="Times New Roman"/>
          <w:i w:val="false"/>
          <w:iCs w:val="false"/>
          <w:sz w:val="28"/>
          <w:szCs w:val="28"/>
          <w:lang w:val="ru-RU"/>
        </w:rPr>
        <w:t xml:space="preserve"> были идентифицированы у томата на основании их гомологии и роли в качестве S-генов мучнистой росы у </w:t>
      </w:r>
      <w:r>
        <w:rPr>
          <w:rFonts w:ascii="Times New Roman" w:hAnsi="Times New Roman"/>
          <w:i/>
          <w:iCs/>
          <w:sz w:val="28"/>
          <w:szCs w:val="28"/>
          <w:lang w:val="ru-RU"/>
        </w:rPr>
        <w:t xml:space="preserve">Hordeum vulgare </w:t>
      </w:r>
      <w:r>
        <w:rPr>
          <w:rFonts w:ascii="Times New Roman" w:hAnsi="Times New Roman"/>
          <w:i w:val="false"/>
          <w:iCs w:val="false"/>
          <w:sz w:val="28"/>
          <w:szCs w:val="28"/>
          <w:lang w:val="ru-RU"/>
        </w:rPr>
        <w:t>(</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PMR4</w:t>
      </w:r>
      <w:r>
        <w:rPr>
          <w:rFonts w:ascii="Times New Roman" w:hAnsi="Times New Roman"/>
          <w:i w:val="false"/>
          <w:iCs w:val="false"/>
          <w:sz w:val="28"/>
          <w:szCs w:val="28"/>
          <w:lang w:val="ru-RU"/>
        </w:rPr>
        <w:t xml:space="preserve">). R-гены, с другой стороны, отвечают за специфический защитный ответ хозяина против определенных патогенов или их рас [125]. </w:t>
      </w:r>
    </w:p>
    <w:p>
      <w:pPr>
        <w:pStyle w:val="Normal"/>
        <w:ind w:firstLine="720" w:start="0" w:end="0"/>
        <w:jc w:val="both"/>
        <w:rPr>
          <w:rFonts w:ascii="Times New Roman" w:hAnsi="Times New Roman"/>
        </w:rPr>
      </w:pPr>
      <w:r>
        <w:rPr>
          <w:rFonts w:ascii="Times New Roman" w:hAnsi="Times New Roman"/>
          <w:i/>
          <w:iCs/>
          <w:sz w:val="28"/>
          <w:szCs w:val="28"/>
          <w:lang w:val="ru-RU"/>
        </w:rPr>
        <w:t>Arabidopsis thaliana</w:t>
      </w:r>
      <w:r>
        <w:rPr>
          <w:rFonts w:ascii="Times New Roman" w:hAnsi="Times New Roman"/>
          <w:i w:val="false"/>
          <w:iCs w:val="false"/>
          <w:sz w:val="28"/>
          <w:szCs w:val="28"/>
          <w:lang w:val="ru-RU"/>
        </w:rPr>
        <w:t xml:space="preserve"> – известное модельное растение с наиболее изученным на сегодняшний день геномом и ценный эталон для предсказания новых функциональных локусов у других цветковых растений, особенно двудольных видов. Например, было показано, что гены </w:t>
      </w:r>
      <w:r>
        <w:rPr>
          <w:rFonts w:ascii="Times New Roman" w:hAnsi="Times New Roman"/>
          <w:i/>
          <w:iCs/>
          <w:sz w:val="28"/>
          <w:szCs w:val="28"/>
          <w:lang w:val="ru-RU"/>
        </w:rPr>
        <w:t>EDR1</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EDR2</w:t>
      </w:r>
      <w:r>
        <w:rPr>
          <w:rFonts w:ascii="Times New Roman" w:hAnsi="Times New Roman"/>
          <w:i w:val="false"/>
          <w:iCs w:val="false"/>
          <w:sz w:val="28"/>
          <w:szCs w:val="28"/>
          <w:lang w:val="ru-RU"/>
        </w:rPr>
        <w:t xml:space="preserve">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кодирующие протеинкиназы, вовлечены в защитные пути, опосредованные абсцизовой и салициловой кислотой соответственно; миссенс-мутации в обоих генах приводят к устойчивости [126,127], аналогично </w:t>
      </w:r>
      <w:r>
        <w:rPr>
          <w:rFonts w:ascii="Times New Roman" w:hAnsi="Times New Roman"/>
          <w:i/>
          <w:iCs/>
          <w:sz w:val="28"/>
          <w:szCs w:val="28"/>
          <w:lang w:val="ru-RU"/>
        </w:rPr>
        <w:t>PMR4</w:t>
      </w:r>
      <w:r>
        <w:rPr>
          <w:rFonts w:ascii="Times New Roman" w:hAnsi="Times New Roman"/>
          <w:i w:val="false"/>
          <w:iCs w:val="false"/>
          <w:sz w:val="28"/>
          <w:szCs w:val="28"/>
          <w:lang w:val="ru-RU"/>
        </w:rPr>
        <w:t xml:space="preserve">. У томата этот ген не тестировался в качестве потенциального S-гена против мучнистой росы, однако экспрессия </w:t>
      </w:r>
      <w:r>
        <w:rPr>
          <w:rFonts w:ascii="Times New Roman" w:hAnsi="Times New Roman"/>
          <w:i/>
          <w:iCs/>
          <w:sz w:val="28"/>
          <w:szCs w:val="28"/>
          <w:lang w:val="ru-RU"/>
        </w:rPr>
        <w:t>EDR2</w:t>
      </w:r>
      <w:r>
        <w:rPr>
          <w:rFonts w:ascii="Times New Roman" w:hAnsi="Times New Roman"/>
          <w:i w:val="false"/>
          <w:iCs w:val="false"/>
          <w:sz w:val="28"/>
          <w:szCs w:val="28"/>
          <w:lang w:val="ru-RU"/>
        </w:rPr>
        <w:t xml:space="preserve"> ассоциирована с устойчивостью к вирусу скручивания листьев томата Бангалор [128]; связь </w:t>
      </w:r>
      <w:r>
        <w:rPr>
          <w:rFonts w:ascii="Times New Roman" w:hAnsi="Times New Roman"/>
          <w:i/>
          <w:iCs/>
          <w:sz w:val="28"/>
          <w:szCs w:val="28"/>
          <w:lang w:val="ru-RU"/>
        </w:rPr>
        <w:t>EDR1</w:t>
      </w:r>
      <w:r>
        <w:rPr>
          <w:rFonts w:ascii="Times New Roman" w:hAnsi="Times New Roman"/>
          <w:i w:val="false"/>
          <w:iCs w:val="false"/>
          <w:sz w:val="28"/>
          <w:szCs w:val="28"/>
          <w:lang w:val="ru-RU"/>
        </w:rPr>
        <w:t xml:space="preserve"> с устойчивостью к мучнистой росе была также показана у </w:t>
      </w:r>
      <w:r>
        <w:rPr>
          <w:rFonts w:ascii="Times New Roman" w:hAnsi="Times New Roman"/>
          <w:i/>
          <w:iCs/>
          <w:sz w:val="28"/>
          <w:szCs w:val="28"/>
          <w:lang w:val="ru-RU"/>
        </w:rPr>
        <w:t>Nicotiana tabacum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[129]. Гены </w:t>
      </w:r>
      <w:r>
        <w:rPr>
          <w:rFonts w:ascii="Times New Roman" w:hAnsi="Times New Roman"/>
          <w:i/>
          <w:iCs/>
          <w:sz w:val="28"/>
          <w:szCs w:val="28"/>
          <w:lang w:val="ru-RU"/>
        </w:rPr>
        <w:t>ATG2</w:t>
      </w:r>
      <w:r>
        <w:rPr>
          <w:rFonts w:ascii="Times New Roman" w:hAnsi="Times New Roman"/>
          <w:i w:val="false"/>
          <w:iCs w:val="false"/>
          <w:sz w:val="28"/>
          <w:szCs w:val="28"/>
          <w:lang w:val="ru-RU"/>
        </w:rPr>
        <w:t xml:space="preserve">, ATG5, ATG7 и ATG10, вовлеченные в процесс аутофагии и клеточной гибели у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были ассоциированы с инфекцией мучнистой росы; рецессивные мутации этих генов с потерей функции повышали устойчивость к патогену [130]. Эти и другие гены </w:t>
      </w:r>
      <w:r>
        <w:rPr>
          <w:rFonts w:ascii="Times New Roman" w:hAnsi="Times New Roman"/>
          <w:i/>
          <w:iCs/>
          <w:sz w:val="28"/>
          <w:szCs w:val="28"/>
          <w:lang w:val="ru-RU"/>
        </w:rPr>
        <w:t>A. thaliana</w:t>
      </w:r>
      <w:r>
        <w:rPr>
          <w:rFonts w:ascii="Times New Roman" w:hAnsi="Times New Roman"/>
          <w:i w:val="false"/>
          <w:iCs w:val="false"/>
          <w:sz w:val="28"/>
          <w:szCs w:val="28"/>
          <w:lang w:val="ru-RU"/>
        </w:rPr>
        <w:t>, известные и которые будут открыты в будущем, являются перспективными кандидатами для изучения устойчивости к мучнистой росе у томата.</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1.5 MLO гены как фактор восприимчивости к мучнистой росе у покрытосеменных растений</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 прошлом веке наблюдения за природными устойчивыми генотипами и серия экспериментов по индуцированному мутагенезу выявили ряд локусов, ассоциированных с устойчивостью к мучнистой росе у ячменя </w:t>
      </w:r>
      <w:r>
        <w:rPr>
          <w:rFonts w:ascii="Times New Roman" w:hAnsi="Times New Roman"/>
          <w:b w:val="false"/>
          <w:i w:val="false"/>
          <w:iCs w:val="false"/>
          <w:caps w:val="false"/>
          <w:smallCaps w:val="false"/>
          <w:position w:val="0"/>
          <w:sz w:val="28"/>
          <w:sz w:val="28"/>
          <w:szCs w:val="28"/>
          <w:u w:val="none"/>
          <w:vertAlign w:val="baseline"/>
          <w:lang w:val="ru-RU"/>
        </w:rPr>
        <w:t>[131</w:t>
      </w:r>
      <w:r>
        <w:rPr>
          <w:rFonts w:ascii="Times New Roman" w:hAnsi="Times New Roman"/>
          <w:b w:val="false"/>
          <w:i w:val="false"/>
          <w:caps w:val="false"/>
          <w:smallCaps w:val="false"/>
          <w:position w:val="0"/>
          <w:sz w:val="24"/>
          <w:sz w:val="24"/>
          <w:u w:val="none"/>
          <w:vertAlign w:val="baseline"/>
        </w:rPr>
        <w:t>–133]</w:t>
      </w:r>
      <w:r>
        <w:rPr>
          <w:rFonts w:ascii="Times New Roman" w:hAnsi="Times New Roman"/>
          <w:i w:val="false"/>
          <w:iCs w:val="false"/>
          <w:sz w:val="28"/>
          <w:szCs w:val="28"/>
          <w:lang w:val="ru-RU"/>
        </w:rPr>
        <w:t xml:space="preserve">. Этот локус, ml-o (Mildew resistance locus o), был позже описан как принадлежащий к семейству генов, кодирующих белки с семью трансмембранными доменами и кальмодулин-связывающим доменом (рисунок 2) </w:t>
      </w:r>
      <w:r>
        <w:rPr>
          <w:rFonts w:ascii="Times New Roman" w:hAnsi="Times New Roman"/>
          <w:b w:val="false"/>
          <w:i w:val="false"/>
          <w:iCs w:val="false"/>
          <w:caps w:val="false"/>
          <w:smallCaps w:val="false"/>
          <w:position w:val="0"/>
          <w:sz w:val="28"/>
          <w:sz w:val="28"/>
          <w:szCs w:val="28"/>
          <w:u w:val="none"/>
          <w:vertAlign w:val="baseline"/>
          <w:lang w:val="ru-RU"/>
        </w:rPr>
        <w:t>[134</w:t>
      </w:r>
      <w:r>
        <w:rPr>
          <w:rFonts w:ascii="Times New Roman" w:hAnsi="Times New Roman"/>
          <w:b w:val="false"/>
          <w:i w:val="false"/>
          <w:caps w:val="false"/>
          <w:smallCaps w:val="false"/>
          <w:position w:val="0"/>
          <w:sz w:val="24"/>
          <w:sz w:val="24"/>
          <w:u w:val="none"/>
          <w:vertAlign w:val="baseline"/>
        </w:rPr>
        <w:t>–136]</w:t>
      </w:r>
      <w:r>
        <w:rPr>
          <w:rFonts w:ascii="Times New Roman" w:hAnsi="Times New Roman"/>
          <w:i w:val="false"/>
          <w:iCs w:val="false"/>
          <w:sz w:val="28"/>
          <w:szCs w:val="28"/>
          <w:lang w:val="ru-RU"/>
        </w:rPr>
        <w:t xml:space="preserve">. Трансмембранная топология с внеклеточным N-концевым и внутриклеточным С-концевым доменами и наличие кальмодулин-связывающего домена вблизи С-конца дают основания предполагать регуляторную функцию белков MLO, однако точные механизмы остаются неясными. Недавние находки намекают на возможное функционирование белков MLO в качестве ионных каналов кальция [137], хотя для выяснения этого вопроса требуются дальнейшие эксперименты. Исследования </w:t>
        <w:br/>
      </w:r>
    </w:p>
    <w:p>
      <w:pPr>
        <w:pStyle w:val="Normal"/>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6120130" cy="3576320"/>
            <wp:effectExtent l="0" t="0" r="0" b="0"/>
            <wp:wrapSquare wrapText="largest"/>
            <wp:docPr id="2"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 descr="" title=""/>
                    <pic:cNvPicPr>
                      <a:picLocks noChangeAspect="1" noChangeArrowheads="1"/>
                    </pic:cNvPicPr>
                  </pic:nvPicPr>
                  <pic:blipFill>
                    <a:blip r:embed="rId3"/>
                    <a:stretch>
                      <a:fillRect/>
                    </a:stretch>
                  </pic:blipFill>
                  <pic:spPr bwMode="auto">
                    <a:xfrm>
                      <a:off x="0" y="0"/>
                      <a:ext cx="6120130" cy="3576320"/>
                    </a:xfrm>
                    <a:prstGeom prst="rect">
                      <a:avLst/>
                    </a:prstGeom>
                  </pic:spPr>
                </pic:pic>
              </a:graphicData>
            </a:graphic>
          </wp:anchor>
        </w:drawing>
      </w:r>
    </w:p>
    <w:p>
      <w:pPr>
        <w:pStyle w:val="Normal"/>
        <w:jc w:val="center"/>
        <w:rPr>
          <w:rFonts w:ascii="Times New Roman" w:hAnsi="Times New Roman"/>
        </w:rPr>
      </w:pPr>
      <w:r>
        <w:rPr>
          <w:rFonts w:ascii="Times New Roman" w:hAnsi="Times New Roman"/>
          <w:i w:val="false"/>
          <w:iCs w:val="false"/>
          <w:sz w:val="28"/>
          <w:szCs w:val="28"/>
          <w:lang w:val="ru-RU"/>
        </w:rPr>
        <w:t>Рисунок 2 – Трансмембранная локализация белков MLO и модель их функций в обеспечении ответа на биотические стрессы [138]</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 xml:space="preserve">на ячмене и </w:t>
      </w:r>
      <w:r>
        <w:rPr>
          <w:rFonts w:ascii="Times New Roman" w:hAnsi="Times New Roman"/>
          <w:i/>
          <w:iCs/>
          <w:sz w:val="28"/>
          <w:szCs w:val="28"/>
          <w:lang w:val="ru-RU"/>
        </w:rPr>
        <w:t>Arabidopsis thaliana</w:t>
      </w:r>
      <w:r>
        <w:rPr>
          <w:rFonts w:ascii="Times New Roman" w:hAnsi="Times New Roman"/>
          <w:i w:val="false"/>
          <w:iCs w:val="false"/>
          <w:sz w:val="28"/>
          <w:szCs w:val="28"/>
          <w:lang w:val="ru-RU"/>
        </w:rPr>
        <w:t xml:space="preserve"> как модельных одно- и двудольных, соответственно, показали, что функции различных гомологов MLO не ограничиваются взаимодействием растений с патогенами; описано их участие в размножении растений [139], тигмоморфогенезе [140], взаимодействии с симбиотическими грибами [141] и других процессах. Семейство генов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было идентифицировано во всех систематических группах наземных растений, от споровых до покрытосеменных, а происхождение MLO-подобных белков можно эволюционно проследить до водорослей [15]. Число паралогов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составляет около 10-15 на вид, максимальное количество – 39 – выявлено у сои [142]. Идентифицированные и/или предсказанные паралоги и ортологи белков MLO образуют сложную филогенетическую структуру с числом описанных кладов, в зависимости от охвата видов растений, от шести [116] до девяти [17]. Отсутствие данных о последовательностях у споровых растений, голосеменных и базальных покрытосеменных ограничивает выводы об эволюции генов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в пределах царства </w:t>
      </w:r>
      <w:r>
        <w:rPr>
          <w:rFonts w:ascii="Times New Roman" w:hAnsi="Times New Roman"/>
          <w:i/>
          <w:iCs/>
          <w:sz w:val="28"/>
          <w:szCs w:val="28"/>
          <w:lang w:val="ru-RU"/>
        </w:rPr>
        <w:t>Plantae</w:t>
      </w:r>
      <w:r>
        <w:rPr>
          <w:rFonts w:ascii="Times New Roman" w:hAnsi="Times New Roman"/>
          <w:i w:val="false"/>
          <w:iCs w:val="false"/>
          <w:sz w:val="28"/>
          <w:szCs w:val="28"/>
          <w:lang w:val="ru-RU"/>
        </w:rPr>
        <w:t>; однако присутствие моно- и двудольных видов во всех кладах указывает на то, что они дивергировали до отделения древних покрытосеменных [17]. Предполагалось, что филогенетическая история и функции гомологов MLO взаимосвязаны [142], однако имеются лишь ограниченные данные о функциональной роли белков MLO, не участвующих во взаимодействии растений с патогенами, поэтому эволюция функций MLO требует дальнейших исследований.</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После обнаружения влияния утраты функции мутаций в генах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на восприимчивость к мучнистой росе у ячменя аналогичные варианты были описаны для широкого круга растений, включая пшеницу и рис [143], </w:t>
      </w:r>
      <w:r>
        <w:rPr>
          <w:rFonts w:ascii="Times New Roman" w:hAnsi="Times New Roman"/>
          <w:i/>
          <w:iCs/>
          <w:sz w:val="28"/>
          <w:szCs w:val="28"/>
          <w:lang w:val="ru-RU"/>
        </w:rPr>
        <w:t>Arabidopsis thaliana</w:t>
      </w:r>
      <w:r>
        <w:rPr>
          <w:rFonts w:ascii="Times New Roman" w:hAnsi="Times New Roman"/>
          <w:i w:val="false"/>
          <w:iCs w:val="false"/>
          <w:sz w:val="28"/>
          <w:szCs w:val="28"/>
          <w:lang w:val="ru-RU"/>
        </w:rPr>
        <w:t xml:space="preserve"> [144], томат [115], табак [145], тополь [146] и другие виды; продолжается накопление данных по новым важным культурам; примеры приведены в таблице 3. Повсеместное присутствие мутантов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с потенциальной устойчивостью к мучнистой росе у различных растений дает повод обсудить взаимодействие грибов </w:t>
      </w:r>
      <w:r>
        <w:rPr>
          <w:rFonts w:ascii="Times New Roman" w:hAnsi="Times New Roman"/>
          <w:i/>
          <w:iCs/>
          <w:sz w:val="28"/>
          <w:szCs w:val="28"/>
          <w:lang w:val="ru-RU"/>
        </w:rPr>
        <w:t>Erysiphaceae</w:t>
      </w:r>
      <w:r>
        <w:rPr>
          <w:rFonts w:ascii="Times New Roman" w:hAnsi="Times New Roman"/>
          <w:i w:val="false"/>
          <w:iCs w:val="false"/>
          <w:sz w:val="28"/>
          <w:szCs w:val="28"/>
          <w:lang w:val="ru-RU"/>
        </w:rPr>
        <w:t xml:space="preserve"> с белками MLO как важнейший этап в процессе патогенеза мучнистой росы, поэтому устойчивость, передаваемая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мутантами, не должна быть ограничена конкретными видами грибов [16,138,147]. Исследования на ячмене [148] и</w:t>
      </w:r>
      <w:r>
        <w:rPr>
          <w:rFonts w:ascii="Times New Roman" w:hAnsi="Times New Roman"/>
          <w:i/>
          <w:iCs/>
          <w:sz w:val="28"/>
          <w:szCs w:val="28"/>
          <w:lang w:val="ru-RU"/>
        </w:rPr>
        <w:t xml:space="preserve"> A. thaliana</w:t>
      </w:r>
      <w:r>
        <w:rPr>
          <w:rFonts w:ascii="Times New Roman" w:hAnsi="Times New Roman"/>
          <w:i w:val="false"/>
          <w:iCs w:val="false"/>
          <w:sz w:val="28"/>
          <w:szCs w:val="28"/>
          <w:lang w:val="ru-RU"/>
        </w:rPr>
        <w:t xml:space="preserve"> [144] показали, что белки MLO играют роль в регуляции иммунного ответа растений во взаимодействии с белками ROR1 и ROR2 у однодольных и PEN1, PEN2 и PEN3 у двудольных. Таким образом, определенные гомологи генов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растений представляют собой так называемые гены восприимчивости (S-гены) и представляют интерес для селекции [16].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 частности, у томата ген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связанный с восприимчивостью к мучнистой росе, был впервые описан как </w:t>
      </w:r>
      <w:r>
        <w:rPr>
          <w:rFonts w:ascii="Times New Roman" w:hAnsi="Times New Roman"/>
          <w:i/>
          <w:iCs/>
          <w:sz w:val="28"/>
          <w:szCs w:val="28"/>
          <w:lang w:val="ru-RU"/>
        </w:rPr>
        <w:t>Ol-2</w:t>
      </w:r>
      <w:r>
        <w:rPr>
          <w:rFonts w:ascii="Times New Roman" w:hAnsi="Times New Roman"/>
          <w:i w:val="false"/>
          <w:iCs w:val="false"/>
          <w:sz w:val="28"/>
          <w:szCs w:val="28"/>
          <w:lang w:val="ru-RU"/>
        </w:rPr>
        <w:t xml:space="preserve">. Локус </w:t>
      </w:r>
      <w:r>
        <w:rPr>
          <w:rFonts w:ascii="Times New Roman" w:hAnsi="Times New Roman"/>
          <w:i/>
          <w:iCs/>
          <w:sz w:val="28"/>
          <w:szCs w:val="28"/>
          <w:lang w:val="ru-RU"/>
        </w:rPr>
        <w:t>Ol-2</w:t>
      </w:r>
      <w:r>
        <w:rPr>
          <w:rFonts w:ascii="Times New Roman" w:hAnsi="Times New Roman"/>
          <w:i w:val="false"/>
          <w:iCs w:val="false"/>
          <w:sz w:val="28"/>
          <w:szCs w:val="28"/>
          <w:lang w:val="ru-RU"/>
        </w:rPr>
        <w:t xml:space="preserve"> с рецессивной мутацией </w:t>
      </w:r>
      <w:r>
        <w:rPr>
          <w:rFonts w:ascii="Times New Roman" w:hAnsi="Times New Roman"/>
          <w:i/>
          <w:iCs/>
          <w:sz w:val="28"/>
          <w:szCs w:val="28"/>
          <w:lang w:val="ru-RU"/>
        </w:rPr>
        <w:t>ol-2,</w:t>
      </w:r>
      <w:r>
        <w:rPr>
          <w:rFonts w:ascii="Times New Roman" w:hAnsi="Times New Roman"/>
          <w:i w:val="false"/>
          <w:iCs w:val="false"/>
          <w:sz w:val="28"/>
          <w:szCs w:val="28"/>
          <w:lang w:val="ru-RU"/>
        </w:rPr>
        <w:t xml:space="preserve"> вызывающей устойчивость широкого спектра действия к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был обнаружен у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var. </w:t>
      </w:r>
      <w:r>
        <w:rPr>
          <w:rFonts w:ascii="Times New Roman" w:hAnsi="Times New Roman"/>
          <w:i/>
          <w:iCs/>
          <w:sz w:val="28"/>
          <w:szCs w:val="28"/>
          <w:lang w:val="ru-RU"/>
        </w:rPr>
        <w:t>cerasiforme</w:t>
      </w:r>
      <w:r>
        <w:rPr>
          <w:rFonts w:ascii="Times New Roman" w:hAnsi="Times New Roman"/>
          <w:i w:val="false"/>
          <w:iCs w:val="false"/>
          <w:sz w:val="28"/>
          <w:szCs w:val="28"/>
          <w:lang w:val="ru-RU"/>
        </w:rPr>
        <w:t xml:space="preserve"> [101], который, как известно, является гибридным подвидом между культурными и дикими томатами [102]. Массовый сегрегационный анализ на основе RAPD и AFLP маркеров позволил картировать этот локус на хромосоме 4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[103]. Поиск генов-кандидатов, соответствующих этому локусу, выявил ген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гомологичный </w:t>
      </w:r>
      <w:r>
        <w:rPr>
          <w:rFonts w:ascii="Times New Roman" w:hAnsi="Times New Roman"/>
          <w:i/>
          <w:iCs/>
          <w:sz w:val="28"/>
          <w:szCs w:val="28"/>
          <w:lang w:val="ru-RU"/>
        </w:rPr>
        <w:t>AtMlo2</w:t>
      </w:r>
      <w:r>
        <w:rPr>
          <w:rFonts w:ascii="Times New Roman" w:hAnsi="Times New Roman"/>
          <w:i w:val="false"/>
          <w:iCs w:val="false"/>
          <w:sz w:val="28"/>
          <w:szCs w:val="28"/>
          <w:lang w:val="ru-RU"/>
        </w:rPr>
        <w:t xml:space="preserve"> из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мутация со сдвигом рамки считывания в кодирующей последовательности нарушает функцию белка MLO, вызывая потерю восприимчивости растений томата к </w:t>
      </w:r>
      <w:r>
        <w:rPr>
          <w:rFonts w:ascii="Times New Roman" w:hAnsi="Times New Roman"/>
          <w:i/>
          <w:iCs/>
          <w:sz w:val="28"/>
          <w:szCs w:val="28"/>
          <w:lang w:val="ru-RU"/>
        </w:rPr>
        <w:t>O. neolycopersici</w:t>
      </w:r>
      <w:r>
        <w:rPr>
          <w:rFonts w:ascii="Times New Roman" w:hAnsi="Times New Roman"/>
          <w:i w:val="false"/>
          <w:iCs w:val="false"/>
          <w:sz w:val="28"/>
          <w:szCs w:val="28"/>
          <w:lang w:val="ru-RU"/>
        </w:rPr>
        <w:t xml:space="preserve"> [115] и </w:t>
      </w:r>
      <w:r>
        <w:rPr>
          <w:rFonts w:ascii="Times New Roman" w:hAnsi="Times New Roman"/>
          <w:i/>
          <w:iCs/>
          <w:sz w:val="28"/>
          <w:szCs w:val="28"/>
          <w:lang w:val="ru-RU"/>
        </w:rPr>
        <w:t>L. taurica</w:t>
      </w:r>
      <w:r>
        <w:rPr>
          <w:rFonts w:ascii="Times New Roman" w:hAnsi="Times New Roman"/>
          <w:i w:val="false"/>
          <w:iCs w:val="false"/>
          <w:sz w:val="28"/>
          <w:szCs w:val="28"/>
          <w:lang w:val="ru-RU"/>
        </w:rPr>
        <w:t xml:space="preserve"> [149]. Позднее были выявлены мутации с потерей функции в филогенетически родственных паралогах </w:t>
      </w:r>
      <w:r>
        <w:rPr>
          <w:rFonts w:ascii="Times New Roman" w:hAnsi="Times New Roman"/>
          <w:i/>
          <w:iCs/>
          <w:sz w:val="28"/>
          <w:szCs w:val="28"/>
          <w:lang w:val="ru-RU"/>
        </w:rPr>
        <w:t>SlMlo3</w:t>
      </w:r>
      <w:r>
        <w:rPr>
          <w:rFonts w:ascii="Times New Roman" w:hAnsi="Times New Roman"/>
          <w:i w:val="false"/>
          <w:iCs w:val="false"/>
          <w:sz w:val="28"/>
          <w:szCs w:val="28"/>
          <w:lang w:val="ru-RU"/>
        </w:rPr>
        <w:t xml:space="preserve">, </w:t>
      </w:r>
      <w:r>
        <w:rPr>
          <w:rFonts w:ascii="Times New Roman" w:hAnsi="Times New Roman"/>
          <w:i/>
          <w:iCs/>
          <w:sz w:val="28"/>
          <w:szCs w:val="28"/>
          <w:lang w:val="ru-RU"/>
        </w:rPr>
        <w:t>SlMlo5</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SlMlo8</w:t>
      </w:r>
      <w:r>
        <w:rPr>
          <w:rFonts w:ascii="Times New Roman" w:hAnsi="Times New Roman"/>
          <w:i w:val="false"/>
          <w:iCs w:val="false"/>
          <w:sz w:val="28"/>
          <w:szCs w:val="28"/>
          <w:lang w:val="ru-RU"/>
        </w:rPr>
        <w:t xml:space="preserve">, которые оказывали незначительное влияние на восприимчивость к мучнистой росе в сочетании с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при этом они не обеспечивали устойчивость в отсутствие мутации с потерей функции в </w:t>
      </w:r>
      <w:r>
        <w:rPr>
          <w:rFonts w:ascii="Times New Roman" w:hAnsi="Times New Roman"/>
          <w:b w:val="false"/>
          <w:bCs w:val="false"/>
          <w:i/>
          <w:iCs/>
          <w:sz w:val="28"/>
          <w:szCs w:val="28"/>
          <w:lang w:val="ru-RU"/>
        </w:rPr>
        <w:t>SlMlo1</w:t>
      </w:r>
      <w:r>
        <w:rPr>
          <w:rFonts w:ascii="Times New Roman" w:hAnsi="Times New Roman"/>
          <w:i w:val="false"/>
          <w:iCs w:val="false"/>
          <w:sz w:val="28"/>
          <w:szCs w:val="28"/>
          <w:lang w:val="ru-RU"/>
        </w:rPr>
        <w:t xml:space="preserve"> [19]. Прямые ортологи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с аналогичным эффектом на восприимчивость к мучнистой росе были также идентифицированы у других культур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[18]. Было показано, что устойчивость MLO у томата зависит от функции синтаксина </w:t>
      </w:r>
      <w:r>
        <w:rPr>
          <w:rFonts w:ascii="Times New Roman" w:hAnsi="Times New Roman"/>
          <w:i/>
          <w:iCs/>
          <w:sz w:val="28"/>
          <w:szCs w:val="28"/>
          <w:lang w:val="ru-RU"/>
        </w:rPr>
        <w:t>SlPEN1</w:t>
      </w:r>
      <w:r>
        <w:rPr>
          <w:rFonts w:ascii="Times New Roman" w:hAnsi="Times New Roman"/>
          <w:i w:val="false"/>
          <w:iCs w:val="false"/>
          <w:sz w:val="28"/>
          <w:szCs w:val="28"/>
          <w:lang w:val="ru-RU"/>
        </w:rPr>
        <w:t xml:space="preserve">, аналогично синтаксинам </w:t>
      </w:r>
      <w:r>
        <w:rPr>
          <w:rFonts w:ascii="Times New Roman" w:hAnsi="Times New Roman"/>
          <w:i/>
          <w:iCs/>
          <w:sz w:val="28"/>
          <w:szCs w:val="28"/>
          <w:lang w:val="ru-RU"/>
        </w:rPr>
        <w:t>AtPEN1</w:t>
      </w:r>
      <w:r>
        <w:rPr>
          <w:rFonts w:ascii="Times New Roman" w:hAnsi="Times New Roman"/>
          <w:i w:val="false"/>
          <w:iCs w:val="false"/>
          <w:sz w:val="28"/>
          <w:szCs w:val="28"/>
          <w:lang w:val="ru-RU"/>
        </w:rPr>
        <w:t xml:space="preserve"> у арабидопсиса и </w:t>
      </w:r>
      <w:r>
        <w:rPr>
          <w:rFonts w:ascii="Times New Roman" w:hAnsi="Times New Roman"/>
          <w:i/>
          <w:iCs/>
          <w:sz w:val="28"/>
          <w:szCs w:val="28"/>
          <w:lang w:val="ru-RU"/>
        </w:rPr>
        <w:t>ROR2</w:t>
      </w:r>
      <w:r>
        <w:rPr>
          <w:rFonts w:ascii="Times New Roman" w:hAnsi="Times New Roman"/>
          <w:i w:val="false"/>
          <w:iCs w:val="false"/>
          <w:sz w:val="28"/>
          <w:szCs w:val="28"/>
          <w:lang w:val="ru-RU"/>
        </w:rPr>
        <w:t xml:space="preserve"> у ячменя [148]. Высокая степень устойчивости к мучнистой росе, обеспечиваемая мутировавшими генами </w:t>
      </w:r>
      <w:r>
        <w:rPr>
          <w:rFonts w:ascii="Times New Roman" w:hAnsi="Times New Roman"/>
          <w:i/>
          <w:iCs/>
          <w:sz w:val="28"/>
          <w:szCs w:val="28"/>
          <w:lang w:val="ru-RU"/>
        </w:rPr>
        <w:t>SlMlo</w:t>
      </w:r>
      <w:r>
        <w:rPr>
          <w:rFonts w:ascii="Times New Roman" w:hAnsi="Times New Roman"/>
          <w:i w:val="false"/>
          <w:iCs w:val="false"/>
          <w:sz w:val="28"/>
          <w:szCs w:val="28"/>
          <w:lang w:val="ru-RU"/>
        </w:rPr>
        <w:t>, делает их перспективными объектами для селекции.</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1.6 Система CRISPR/Cas9 для редактирования генома растений</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Система редактирования генома CRISPR/Cas9 является перспективным инструментом генетической инженерии, основанным на бактериальной адаптивной иммунной системе [150]. Он позволяет вносить точные, целенаправленные изменения в геном, открывая беспрецедентный потенциал в сельском хозяйстве для повышения урожайности, устойчивости к биотическим и абиотическим стрессам, а также качества питания. Простота, эффективность и</w:t>
        <w:br/>
        <w:br/>
        <w:t xml:space="preserve">Таблица 3 – Ассоциация генов </w:t>
      </w:r>
      <w:r>
        <w:rPr>
          <w:rFonts w:ascii="Times New Roman" w:hAnsi="Times New Roman"/>
          <w:i/>
          <w:iCs/>
          <w:sz w:val="28"/>
          <w:szCs w:val="28"/>
          <w:lang w:val="ru-RU"/>
        </w:rPr>
        <w:t xml:space="preserve">Mlo </w:t>
      </w:r>
      <w:r>
        <w:rPr>
          <w:rFonts w:ascii="Times New Roman" w:hAnsi="Times New Roman"/>
          <w:i w:val="false"/>
          <w:iCs w:val="false"/>
          <w:sz w:val="28"/>
          <w:szCs w:val="28"/>
          <w:lang w:val="ru-RU"/>
        </w:rPr>
        <w:t>с восприимчивостью экономически значимых растений к мучнистой росе</w:t>
      </w:r>
    </w:p>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tbl>
      <w:tblPr>
        <w:tblW w:w="9813" w:type="dxa"/>
        <w:jc w:val="start"/>
        <w:tblInd w:w="-65" w:type="dxa"/>
        <w:tblLayout w:type="fixed"/>
        <w:tblCellMar>
          <w:top w:w="55" w:type="dxa"/>
          <w:start w:w="55" w:type="dxa"/>
          <w:bottom w:w="55" w:type="dxa"/>
          <w:end w:w="55" w:type="dxa"/>
        </w:tblCellMar>
      </w:tblPr>
      <w:tblGrid>
        <w:gridCol w:w="2204"/>
        <w:gridCol w:w="1364"/>
        <w:gridCol w:w="1582"/>
        <w:gridCol w:w="3125"/>
        <w:gridCol w:w="1538"/>
      </w:tblGrid>
      <w:tr>
        <w:trPr>
          <w:trHeight w:val="276" w:hRule="atLeast"/>
        </w:trPr>
        <w:tc>
          <w:tcPr>
            <w:tcW w:w="2204" w:type="dxa"/>
            <w:tcBorders>
              <w:top w:val="single" w:sz="4" w:space="0" w:color="000000"/>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val="false"/>
                <w:iCs w:val="false"/>
                <w:sz w:val="24"/>
                <w:szCs w:val="24"/>
                <w:lang w:val="ru-RU"/>
              </w:rPr>
              <w:t xml:space="preserve">Семейство </w:t>
            </w:r>
          </w:p>
        </w:tc>
        <w:tc>
          <w:tcPr>
            <w:tcW w:w="1364" w:type="dxa"/>
            <w:tcBorders>
              <w:top w:val="single" w:sz="4" w:space="0" w:color="000000"/>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sz w:val="24"/>
                <w:szCs w:val="24"/>
                <w:lang w:val="ru-RU"/>
              </w:rPr>
              <w:t>Вид</w:t>
            </w:r>
          </w:p>
        </w:tc>
        <w:tc>
          <w:tcPr>
            <w:tcW w:w="1582" w:type="dxa"/>
            <w:tcBorders>
              <w:top w:val="single" w:sz="4" w:space="0" w:color="000000"/>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sz w:val="24"/>
                <w:szCs w:val="24"/>
                <w:lang w:val="ru-RU"/>
              </w:rPr>
              <w:t xml:space="preserve">Кол-во известных </w:t>
            </w:r>
            <w:r>
              <w:rPr>
                <w:rFonts w:ascii="Times New Roman" w:hAnsi="Times New Roman"/>
                <w:i/>
                <w:iCs/>
                <w:sz w:val="24"/>
                <w:szCs w:val="24"/>
                <w:lang w:val="ru-RU"/>
              </w:rPr>
              <w:t xml:space="preserve">Mlo </w:t>
            </w:r>
            <w:r>
              <w:rPr>
                <w:rFonts w:ascii="Times New Roman" w:hAnsi="Times New Roman"/>
                <w:i w:val="false"/>
                <w:iCs w:val="false"/>
                <w:sz w:val="24"/>
                <w:szCs w:val="24"/>
                <w:lang w:val="ru-RU"/>
              </w:rPr>
              <w:t>генов</w:t>
            </w:r>
          </w:p>
        </w:tc>
        <w:tc>
          <w:tcPr>
            <w:tcW w:w="3125" w:type="dxa"/>
            <w:tcBorders>
              <w:top w:val="single" w:sz="4" w:space="0" w:color="000000"/>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sz w:val="24"/>
                <w:szCs w:val="24"/>
                <w:lang w:val="ru-RU"/>
              </w:rPr>
              <w:t xml:space="preserve">Ортологи </w:t>
            </w:r>
            <w:r>
              <w:rPr>
                <w:rFonts w:ascii="Times New Roman" w:hAnsi="Times New Roman"/>
                <w:i/>
                <w:iCs/>
                <w:sz w:val="24"/>
                <w:szCs w:val="24"/>
                <w:lang w:val="ru-RU"/>
              </w:rPr>
              <w:t>Mlo</w:t>
            </w:r>
            <w:r>
              <w:rPr>
                <w:rFonts w:ascii="Times New Roman" w:hAnsi="Times New Roman"/>
                <w:i w:val="false"/>
                <w:iCs w:val="false"/>
                <w:sz w:val="24"/>
                <w:szCs w:val="24"/>
                <w:lang w:val="ru-RU"/>
              </w:rPr>
              <w:t>, ассоциированные с восприимчивостью к мучнистой росе</w:t>
            </w:r>
          </w:p>
        </w:tc>
        <w:tc>
          <w:tcPr>
            <w:tcW w:w="1538" w:type="dxa"/>
            <w:tcBorders>
              <w:top w:val="single" w:sz="4" w:space="0" w:color="000000"/>
              <w:start w:val="single" w:sz="4" w:space="0" w:color="000000"/>
              <w:bottom w:val="single" w:sz="4" w:space="0" w:color="000000"/>
              <w:end w:val="single" w:sz="4" w:space="0" w:color="000000"/>
            </w:tcBorders>
            <w:vAlign w:val="bottom"/>
          </w:tcPr>
          <w:p>
            <w:pPr>
              <w:pStyle w:val="Normal"/>
              <w:tabs>
                <w:tab w:val="clear" w:pos="709"/>
              </w:tabs>
              <w:jc w:val="start"/>
              <w:rPr>
                <w:rFonts w:ascii="Times New Roman" w:hAnsi="Times New Roman"/>
              </w:rPr>
            </w:pPr>
            <w:r>
              <w:rPr>
                <w:rFonts w:ascii="Times New Roman" w:hAnsi="Times New Roman"/>
                <w:sz w:val="24"/>
                <w:szCs w:val="24"/>
                <w:lang w:val="ru-RU"/>
              </w:rPr>
              <w:t>Ссылки</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Brassicaceae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Arabidopsis thaliana</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15</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AtMLO2, AtMLO6, AtMLO12</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[151]</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Cucurbitaceae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Cucumis sativus</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14</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CsMLO1, CsMLO8</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[152,153]</w:t>
            </w:r>
          </w:p>
        </w:tc>
      </w:tr>
      <w:tr>
        <w:trPr>
          <w:trHeight w:val="298"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Cucurbitaceae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Cucumis melo</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16</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CmMLO2 , CmMLO3 (T), CmMLO13</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[116,154,155]</w:t>
            </w:r>
          </w:p>
        </w:tc>
      </w:tr>
      <w:tr>
        <w:trPr>
          <w:trHeight w:val="298"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Cucurbitaceae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Citrullus lanatus</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14</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ClMLO12</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[154]</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Fabaceae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Phaseolus vulgaris</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20</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PvMlo11, PvMlo12</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[156,157]</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Fabaceae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Glycine max</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39</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GmMLO02, GmMLO19, GmMLO20,  GmMLO23</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[158]</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Poaceae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 xml:space="preserve">Oryza sativa </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12</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OsMlo2</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[143,159]</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Poaceae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Tríticum aestívum</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8</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TaMLO-A1, TaMLO-B1, TaMLOD1</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[160]</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Rosaceae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Malus domestica</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21</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MdMLO19</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[161]</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Rosaceae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Prunus persica</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16</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PpMlo1</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[161]</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 xml:space="preserve">Solanaceae </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Nicotiana tabacum</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15</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 xml:space="preserve">NtMLO1, NtMLO2 </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[18,145]</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Solanaceae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Solanum lycopersicum</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16</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SlMLO1, SlMLO5, SlMLO8</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[19]</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 xml:space="preserve">Solanaceae </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Solanum tuberosum</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13</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StMLO1</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[18]</w:t>
            </w:r>
          </w:p>
        </w:tc>
      </w:tr>
      <w:tr>
        <w:trPr>
          <w:trHeight w:val="276" w:hRule="atLeast"/>
        </w:trPr>
        <w:tc>
          <w:tcPr>
            <w:tcW w:w="220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Vitaceae</w:t>
            </w:r>
          </w:p>
        </w:tc>
        <w:tc>
          <w:tcPr>
            <w:tcW w:w="1364"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iCs/>
                <w:sz w:val="24"/>
                <w:szCs w:val="24"/>
                <w:lang w:val="ru-RU"/>
              </w:rPr>
              <w:t>Vitis vinifera</w:t>
            </w:r>
          </w:p>
        </w:tc>
        <w:tc>
          <w:tcPr>
            <w:tcW w:w="158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17</w:t>
            </w:r>
          </w:p>
        </w:tc>
        <w:tc>
          <w:tcPr>
            <w:tcW w:w="31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lang w:val="ru-RU"/>
              </w:rPr>
              <w:t>VvMLO7, VvMLO6, VvMLO3, VvMLO4</w:t>
            </w:r>
          </w:p>
        </w:tc>
        <w:tc>
          <w:tcPr>
            <w:tcW w:w="1538" w:type="dxa"/>
            <w:tcBorders>
              <w:start w:val="single" w:sz="4" w:space="0" w:color="000000"/>
              <w:bottom w:val="single" w:sz="4" w:space="0" w:color="000000"/>
              <w:end w:val="single" w:sz="4" w:space="0" w:color="000000"/>
            </w:tcBorders>
            <w:vAlign w:val="bottom"/>
          </w:tcPr>
          <w:p>
            <w:pPr>
              <w:pStyle w:val="Normal"/>
              <w:rPr>
                <w:rFonts w:ascii="Times New Roman" w:hAnsi="Times New Roman"/>
              </w:rPr>
            </w:pPr>
            <w:r>
              <w:rPr>
                <w:rFonts w:ascii="Times New Roman" w:hAnsi="Times New Roman"/>
                <w:sz w:val="24"/>
                <w:szCs w:val="24"/>
                <w:lang w:val="ru-RU"/>
              </w:rPr>
              <w:t>[161,162]</w:t>
            </w:r>
          </w:p>
        </w:tc>
      </w:tr>
    </w:tbl>
    <w:p>
      <w:pPr>
        <w:pStyle w:val="Normal"/>
        <w:ind w:hanging="0" w:start="0" w:end="0"/>
        <w:jc w:val="both"/>
        <w:rPr>
          <w:i w:val="false"/>
          <w:i w:val="false"/>
          <w:iCs w:val="false"/>
          <w:sz w:val="28"/>
          <w:szCs w:val="28"/>
          <w:lang w:val="ru-RU"/>
        </w:rPr>
      </w:pPr>
      <w:r>
        <w:rPr>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универсальность этого метода сделали его предпочтительным в биотехнологии растений.</w:t>
      </w:r>
    </w:p>
    <w:p>
      <w:pPr>
        <w:pStyle w:val="BodyText"/>
        <w:spacing w:lineRule="auto" w:line="240" w:before="0" w:after="0"/>
        <w:ind w:firstLine="737" w:start="0" w:end="0"/>
        <w:jc w:val="both"/>
        <w:rPr>
          <w:rFonts w:ascii="Times New Roman" w:hAnsi="Times New Roman"/>
        </w:rPr>
      </w:pP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Система CRISPR/Cas9 выделяется своей относительно простой конструкцией и высокой эффективностью работы в клетках человека, животных и растений. Ее подход основан на использовании направляющей РНК (нРНК) для распознавания цели, что исключает необходимость применения синтетических ДНК-связывающих доменов. Направляющие РНК состоят из региона, комплементарного целевому участку и скаффолда – участка образующему  вторичную структуру, связываемую белком Cas; химерный дуплекс между нРНК и ДНК служит сигналом для внесения двуцепоченого разрыва Cas-белком (рисунок 3, А). Внесение разрывов в ДНК, в сочетании с естественным механизмом репарации, позволяет как внесение делеций, так и осуществление вставок путем гомологичной рекомбинации (рисунок 3, В). Система CRISPR/Cas9 зарекомендовала себя как более простая и удобная в сравнении с альтернативными технологиями генетического редактирования ZFN и TALEN [162].</w:t>
      </w:r>
    </w:p>
    <w:p>
      <w:pPr>
        <w:pStyle w:val="BodyText"/>
        <w:suppressAutoHyphens w:val="false"/>
        <w:spacing w:lineRule="auto" w:line="240" w:before="0" w:after="0"/>
        <w:ind w:firstLine="737" w:start="0" w:end="0"/>
        <w:jc w:val="both"/>
        <w:rPr>
          <w:rFonts w:ascii="Times New Roman" w:hAnsi="Times New Roman"/>
        </w:rPr>
      </w:pP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По своему биологическому происхождению система CRISPR/Cas9 является ключевым компонентом адаптивной иммунной системы бактерий (рисунок 4). Адаптивная иммунная система прокариот представляет собой короткие сгруппированные палиндромные повторы с регулярными промежутками участков виральных нуклеиновых кислот (спейсерами), длиной 30-40 п.о. и ассоциированными с ними белками, в том числе Cas9, Cas2, Cas1 и др. [163]. Ранние работы показали существование данных локусов во многих геномах прокариот и архей, генетическую и функциональную связь CRISPR-повторов с генами cas, гомологию спейсеров с известными участками вирусов и транскрипцию малых CRISPR-ассоциированных РНК  [164]. Эти исследования показали, что разнообразные системы CRISPR-Cas работают как  механизм генетической интерференции. </w:t>
      </w:r>
    </w:p>
    <w:p>
      <w:pPr>
        <w:pStyle w:val="BodyText"/>
        <w:suppressAutoHyphens w:val="false"/>
        <w:bidi w:val="0"/>
        <w:spacing w:lineRule="auto" w:line="240" w:before="0" w:after="0"/>
        <w:ind w:firstLine="737" w:start="0" w:end="0"/>
        <w:jc w:val="both"/>
        <w:rPr>
          <w:rFonts w:ascii="Times New Roman" w:hAnsi="Times New Roman"/>
        </w:rPr>
      </w:pP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CRISPR-иммунитет включает три этапа: адаптация, транскрипция и интерференция [163]. На этапе адаптации при внедрении вируса в бактериальную клетку белки гетерогексамерного комплекса Cas1-Cas3 способствуют включению участка вирусного генома в кассету CRISPR в качестве нового спейсера. Вторая стадия включает в себя транскрипцию малых РНК: crispr-ассоциированой РНК (crРНК) с матрицы CRISPR-кассеты и трансактивирующей РНК (tracrРНК) [165]. Первоначально транскрибируется длинная цепь спейсеров, позже подвергающаяся процессингу ферментом РНКаза III. Полученные небольшие фрагменты используются в качестве направляющих РНК рибонуклеинового комплекса с белком Cas9 к вирусному геному. Следующая стадия – интерференция, на которой происходит разрушение генома захватчика. Один из важнейших компонентов системы – трехнуклеотидный регион РАМ (Protospacer associated motif, мотив ассоциированный с протоспейсером) – NGG [166]. Именно благодаря домену РАМ происходит обнаружение вирусного протоспейсера рибонуклеиновым комплексом. </w:t>
      </w:r>
    </w:p>
    <w:p>
      <w:pPr>
        <w:pStyle w:val="BodyText"/>
        <w:suppressAutoHyphens w:val="false"/>
        <w:bidi w:val="0"/>
        <w:spacing w:lineRule="auto" w:line="240" w:before="0" w:after="140"/>
        <w:ind w:firstLine="737" w:start="0" w:end="0"/>
        <w:jc w:val="both"/>
        <w:rPr>
          <w:rFonts w:ascii="Times New Roman" w:hAnsi="Times New Roman"/>
        </w:rPr>
      </w:pP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 xml:space="preserve">Естественные прокариотические иммунные системы отличаются широким разнообразием (рисунок 5). На основе нуклеазной специфичности их можно разделить на три группы: специфичность в отношении двуцепочечных ДНК, одноцепочечных ДНК и РНК [167]. Кроме того, в то время, как нацеливание на двуцепочечные ДНК осуществляется многокомпонентными комплексами </w:t>
        <w:br/>
      </w:r>
    </w:p>
    <w:p>
      <w:pPr>
        <w:pStyle w:val="BodyText"/>
        <w:jc w:val="center"/>
        <w:rPr>
          <w:b w:val="false"/>
          <w:i w:val="false"/>
          <w:i w:val="false"/>
          <w:caps w:val="false"/>
          <w:smallCaps w:val="false"/>
          <w:strike w:val="false"/>
          <w:dstrike w:val="false"/>
          <w:color w:val="000000"/>
          <w:sz w:val="28"/>
          <w:u w:val="none"/>
          <w:effect w:val="none"/>
          <w:shd w:fill="auto" w:val="clear"/>
          <w:lang w:val="ru-RU"/>
        </w:rPr>
      </w:pPr>
      <w:r>
        <w:rPr>
          <w:b w:val="false"/>
          <w:i w:val="false"/>
          <w:caps w:val="false"/>
          <w:smallCaps w:val="false"/>
          <w:strike w:val="false"/>
          <w:dstrike w:val="false"/>
          <w:color w:val="000000"/>
          <w:sz w:val="28"/>
          <w:u w:val="none"/>
          <w:effect w:val="none"/>
          <w:shd w:fill="auto" w:val="clear"/>
          <w:lang w:val="ru-RU"/>
        </w:rPr>
      </w:r>
    </w:p>
    <w:p>
      <w:pPr>
        <w:pStyle w:val="BodyText"/>
        <w:jc w:val="center"/>
        <w:rPr>
          <w:b w:val="false"/>
          <w:i w:val="false"/>
          <w:i w:val="false"/>
          <w:caps w:val="false"/>
          <w:smallCaps w:val="false"/>
          <w:strike w:val="false"/>
          <w:dstrike w:val="false"/>
          <w:color w:val="000000"/>
          <w:sz w:val="28"/>
          <w:u w:val="none"/>
          <w:effect w:val="none"/>
          <w:shd w:fill="auto" w:val="clear"/>
          <w:lang w:val="ru-RU"/>
        </w:rPr>
      </w:pPr>
      <w:r>
        <w:rPr>
          <w:b w:val="false"/>
          <w:i w:val="false"/>
          <w:caps w:val="false"/>
          <w:smallCaps w:val="false"/>
          <w:strike w:val="false"/>
          <w:dstrike w:val="false"/>
          <w:color w:val="000000"/>
          <w:sz w:val="28"/>
          <w:u w:val="none"/>
          <w:effect w:val="none"/>
          <w:shd w:fill="auto" w:val="clear"/>
          <w:lang w:val="ru-RU"/>
        </w:rPr>
        <w:drawing>
          <wp:anchor behindDoc="0" distT="0" distB="0" distL="0" distR="0" simplePos="0" locked="0" layoutInCell="0" allowOverlap="1" relativeHeight="11">
            <wp:simplePos x="0" y="0"/>
            <wp:positionH relativeFrom="column">
              <wp:posOffset>1122045</wp:posOffset>
            </wp:positionH>
            <wp:positionV relativeFrom="paragraph">
              <wp:posOffset>64770</wp:posOffset>
            </wp:positionV>
            <wp:extent cx="3823970" cy="3753485"/>
            <wp:effectExtent l="0" t="0" r="0" b="0"/>
            <wp:wrapTopAndBottom/>
            <wp:docPr id="3"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 descr="" title=""/>
                    <pic:cNvPicPr>
                      <a:picLocks noChangeAspect="1" noChangeArrowheads="1"/>
                    </pic:cNvPicPr>
                  </pic:nvPicPr>
                  <pic:blipFill>
                    <a:blip r:embed="rId4"/>
                    <a:stretch>
                      <a:fillRect/>
                    </a:stretch>
                  </pic:blipFill>
                  <pic:spPr bwMode="auto">
                    <a:xfrm>
                      <a:off x="0" y="0"/>
                      <a:ext cx="3823970" cy="3753485"/>
                    </a:xfrm>
                    <a:prstGeom prst="rect">
                      <a:avLst/>
                    </a:prstGeom>
                  </pic:spPr>
                </pic:pic>
              </a:graphicData>
            </a:graphic>
          </wp:anchor>
        </w:drawing>
      </w:r>
    </w:p>
    <w:p>
      <w:pPr>
        <w:pStyle w:val="BodyText"/>
        <w:jc w:val="center"/>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Рисунок 3 – Схема генетического редактирования при использовании системы CRISPR/Cas9: А) [168]</w:t>
      </w:r>
    </w:p>
    <w:p>
      <w:pPr>
        <w:pStyle w:val="BodyText"/>
        <w:jc w:val="center"/>
        <w:rPr>
          <w:b w:val="false"/>
          <w:i w:val="false"/>
          <w:i w:val="false"/>
          <w:caps w:val="false"/>
          <w:smallCaps w:val="false"/>
          <w:strike w:val="false"/>
          <w:dstrike w:val="false"/>
          <w:color w:val="000000"/>
          <w:sz w:val="28"/>
          <w:u w:val="none"/>
          <w:effect w:val="none"/>
          <w:shd w:fill="auto" w:val="clear"/>
          <w:lang w:val="ru-RU"/>
        </w:rPr>
      </w:pPr>
      <w:r>
        <w:rPr>
          <w:b w:val="false"/>
          <w:i w:val="false"/>
          <w:caps w:val="false"/>
          <w:smallCaps w:val="false"/>
          <w:strike w:val="false"/>
          <w:dstrike w:val="false"/>
          <w:color w:val="000000"/>
          <w:sz w:val="28"/>
          <w:u w:val="none"/>
          <w:effect w:val="none"/>
          <w:shd w:fill="auto" w:val="clear"/>
          <w:lang w:val="ru-RU"/>
        </w:rPr>
      </w:r>
    </w:p>
    <w:p>
      <w:pPr>
        <w:pStyle w:val="BodyText"/>
        <w:jc w:val="center"/>
        <w:rPr>
          <w:b w:val="false"/>
          <w:i w:val="false"/>
          <w:i w:val="false"/>
          <w:caps w:val="false"/>
          <w:smallCaps w:val="false"/>
          <w:strike w:val="false"/>
          <w:dstrike w:val="false"/>
          <w:color w:val="000000"/>
          <w:sz w:val="28"/>
          <w:u w:val="none"/>
          <w:effect w:val="none"/>
          <w:shd w:fill="auto" w:val="clear"/>
          <w:lang w:val="ru-RU"/>
        </w:rPr>
      </w:pPr>
      <w:r>
        <w:rPr>
          <w:b w:val="false"/>
          <w:i w:val="false"/>
          <w:caps w:val="false"/>
          <w:smallCaps w:val="false"/>
          <w:strike w:val="false"/>
          <w:dstrike w:val="false"/>
          <w:color w:val="000000"/>
          <w:sz w:val="28"/>
          <w:u w:val="none"/>
          <w:effect w:val="none"/>
          <w:shd w:fill="auto" w:val="clear"/>
          <w:lang w:val="ru-RU"/>
        </w:rPr>
        <w:drawing>
          <wp:anchor behindDoc="0" distT="0" distB="0" distL="0" distR="0" simplePos="0" locked="0" layoutInCell="0" allowOverlap="1" relativeHeight="9">
            <wp:simplePos x="0" y="0"/>
            <wp:positionH relativeFrom="column">
              <wp:posOffset>1316990</wp:posOffset>
            </wp:positionH>
            <wp:positionV relativeFrom="paragraph">
              <wp:posOffset>144780</wp:posOffset>
            </wp:positionV>
            <wp:extent cx="3688715" cy="2980055"/>
            <wp:effectExtent l="0" t="0" r="0" b="0"/>
            <wp:wrapTopAndBottom/>
            <wp:docPr id="4"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 descr="" title=""/>
                    <pic:cNvPicPr>
                      <a:picLocks noChangeAspect="1" noChangeArrowheads="1"/>
                    </pic:cNvPicPr>
                  </pic:nvPicPr>
                  <pic:blipFill>
                    <a:blip r:embed="rId5"/>
                    <a:stretch>
                      <a:fillRect/>
                    </a:stretch>
                  </pic:blipFill>
                  <pic:spPr bwMode="auto">
                    <a:xfrm>
                      <a:off x="0" y="0"/>
                      <a:ext cx="3688715" cy="2980055"/>
                    </a:xfrm>
                    <a:prstGeom prst="rect">
                      <a:avLst/>
                    </a:prstGeom>
                  </pic:spPr>
                </pic:pic>
              </a:graphicData>
            </a:graphic>
          </wp:anchor>
        </w:drawing>
      </w:r>
    </w:p>
    <w:p>
      <w:pPr>
        <w:pStyle w:val="BodyText"/>
        <w:jc w:val="center"/>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Рисунок 4 – Схема действия бактериального иммунного ответа на основе CRISPR-Cas [169]</w:t>
      </w:r>
    </w:p>
    <w:p>
      <w:pPr>
        <w:pStyle w:val="BodyText"/>
        <w:bidi w:val="0"/>
        <w:spacing w:lineRule="auto" w:line="240" w:before="0" w:after="0"/>
        <w:ind w:firstLine="567" w:start="0" w:end="0"/>
        <w:jc w:val="center"/>
        <w:rPr>
          <w:rFonts w:ascii="Times New Roman" w:hAnsi="Times New Roman"/>
          <w:b w:val="false"/>
          <w:i w:val="false"/>
          <w:i w:val="false"/>
          <w:caps w:val="false"/>
          <w:smallCaps w:val="false"/>
          <w:strike w:val="false"/>
          <w:dstrike w:val="false"/>
          <w:color w:val="000000"/>
          <w:sz w:val="28"/>
          <w:u w:val="none"/>
          <w:effect w:val="none"/>
          <w:shd w:fill="auto" w:val="clear"/>
          <w:lang w:val="ru-RU"/>
        </w:rPr>
      </w:pPr>
      <w:r>
        <w:rPr>
          <w:rFonts w:ascii="Times New Roman" w:hAnsi="Times New Roman"/>
          <w:b w:val="false"/>
          <w:i w:val="false"/>
          <w:caps w:val="false"/>
          <w:smallCaps w:val="false"/>
          <w:strike w:val="false"/>
          <w:dstrike w:val="false"/>
          <w:color w:val="000000"/>
          <w:sz w:val="28"/>
          <w:u w:val="none"/>
          <w:effect w:val="none"/>
          <w:shd w:fill="auto" w:val="clear"/>
          <w:lang w:val="ru-RU"/>
        </w:rPr>
        <w:drawing>
          <wp:anchor behindDoc="0" distT="0" distB="0" distL="0" distR="0" simplePos="0" locked="0" layoutInCell="0" allowOverlap="1" relativeHeight="10">
            <wp:simplePos x="0" y="0"/>
            <wp:positionH relativeFrom="column">
              <wp:posOffset>15875</wp:posOffset>
            </wp:positionH>
            <wp:positionV relativeFrom="paragraph">
              <wp:posOffset>113030</wp:posOffset>
            </wp:positionV>
            <wp:extent cx="6032500" cy="3393440"/>
            <wp:effectExtent l="0" t="0" r="0" b="0"/>
            <wp:wrapSquare wrapText="largest"/>
            <wp:docPr id="5"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7" descr="" title=""/>
                    <pic:cNvPicPr>
                      <a:picLocks noChangeAspect="1" noChangeArrowheads="1"/>
                    </pic:cNvPicPr>
                  </pic:nvPicPr>
                  <pic:blipFill>
                    <a:blip r:embed="rId6"/>
                    <a:stretch>
                      <a:fillRect/>
                    </a:stretch>
                  </pic:blipFill>
                  <pic:spPr bwMode="auto">
                    <a:xfrm>
                      <a:off x="0" y="0"/>
                      <a:ext cx="6032500" cy="3393440"/>
                    </a:xfrm>
                    <a:prstGeom prst="rect">
                      <a:avLst/>
                    </a:prstGeom>
                  </pic:spPr>
                </pic:pic>
              </a:graphicData>
            </a:graphic>
          </wp:anchor>
        </w:drawing>
      </w:r>
    </w:p>
    <w:p>
      <w:pPr>
        <w:pStyle w:val="BodyText"/>
        <w:bidi w:val="0"/>
        <w:spacing w:lineRule="auto" w:line="240" w:before="0" w:after="0"/>
        <w:ind w:firstLine="567" w:start="0" w:end="0"/>
        <w:jc w:val="center"/>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Рисунок 5- Разнообразие систем CRISPR/Cas, используемых для целей генетического редактирования с указанием бактерий – хозяев</w:t>
      </w:r>
    </w:p>
    <w:p>
      <w:pPr>
        <w:pStyle w:val="BodyText"/>
        <w:bidi w:val="0"/>
        <w:spacing w:lineRule="auto" w:line="240" w:before="0" w:after="0"/>
        <w:ind w:firstLine="567" w:start="0" w:end="0"/>
        <w:jc w:val="center"/>
        <w:rPr>
          <w:rFonts w:ascii="Times New Roman" w:hAnsi="Times New Roman"/>
          <w:b w:val="false"/>
          <w:i w:val="false"/>
          <w:i w:val="false"/>
          <w:caps w:val="false"/>
          <w:smallCaps w:val="false"/>
          <w:strike w:val="false"/>
          <w:dstrike w:val="false"/>
          <w:color w:val="000000"/>
          <w:sz w:val="28"/>
          <w:u w:val="none"/>
          <w:effect w:val="none"/>
          <w:shd w:fill="auto" w:val="clear"/>
          <w:lang w:val="ru-RU"/>
        </w:rPr>
      </w:pPr>
      <w:r>
        <w:rPr>
          <w:rFonts w:ascii="Times New Roman" w:hAnsi="Times New Roman"/>
          <w:b w:val="false"/>
          <w:i w:val="false"/>
          <w:caps w:val="false"/>
          <w:smallCaps w:val="false"/>
          <w:strike w:val="false"/>
          <w:dstrike w:val="false"/>
          <w:color w:val="000000"/>
          <w:sz w:val="28"/>
          <w:u w:val="none"/>
          <w:effect w:val="none"/>
          <w:shd w:fill="auto" w:val="clear"/>
          <w:lang w:val="ru-RU"/>
        </w:rPr>
      </w:r>
    </w:p>
    <w:p>
      <w:pPr>
        <w:pStyle w:val="BodyText"/>
        <w:suppressAutoHyphens w:val="false"/>
        <w:bidi w:val="0"/>
        <w:spacing w:lineRule="auto" w:line="240" w:before="0" w:after="0"/>
        <w:ind w:hanging="0" w:start="0" w:end="0"/>
        <w:jc w:val="both"/>
        <w:rPr>
          <w:rFonts w:ascii="Times New Roman" w:hAnsi="Times New Roman"/>
        </w:rPr>
      </w:pP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в системах CRISPR-Cas типа I и типа III, для типа II требуется лишь один функциональный белок [163]. Именно поэтому системы второго типа стали предпочтительнее для целей генетической инженерии. </w:t>
      </w:r>
    </w:p>
    <w:p>
      <w:pPr>
        <w:pStyle w:val="BodyText"/>
        <w:suppressAutoHyphens w:val="false"/>
        <w:spacing w:lineRule="auto" w:line="240" w:before="0" w:after="0"/>
        <w:ind w:firstLine="737"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В начале 2000-х годов Cas9 был предсказан как крупный многофункциональный белок [170]. Он содержит несколько консервативных доменов: REC 1-3, HNH и RuvC-подобный, которые обеспечивают эффективное обнаружение и расщепление нуклеиновых кислот [171]. Cas9 вносит сайт-специфические двуцепочечные разрывы в мишени. Нацеливание происходит только при наличии мотива РАМ, расположенного трех нуклеотидах от протоспейсера. В синтезированных системах CRISPR-Cas9 crРНК и tracrРНК объединяются с искусственной тетрапетлей, образуя единую направляющую РНК (sgРНК). Мишень определяется последовательностью, расположенной на 5'-конце sgРНК. Эта молекула, состоящая из 98 нуклеотидов, включая 20-нуклеотидный спейсер, служит направляющим элементом в комплексе Cas9/sgРНК [172]. Специфичность системы редактирования определяется используемой последовательностью спейсера. Их дизайн осуществляется на известных биоинформатических платформах, таких как: CRISPRdirect, CRISPR-P, PLANT, Breaking-Cas, CRISPOR.org, CRISPR RGENE Tools. Эффективность редактирования повышается при соблюдении следующих условий: sgРНК должна содержать не менее 50% гуанин-цитозиновых пар, отсутствие возможности образования вторичных структур по типу шпилек, петлей и др., нацеливание на несколько мишеней одного гена, невозможность off-target [173] . </w:t>
      </w:r>
    </w:p>
    <w:p>
      <w:pPr>
        <w:pStyle w:val="BodyText"/>
        <w:suppressAutoHyphens w:val="false"/>
        <w:spacing w:lineRule="auto" w:line="240" w:before="0" w:after="0"/>
        <w:ind w:firstLine="737"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Распознавание протоспейсера определяется наличием РАМ и абсолютной гомологией спейсера. Образуется R-петля, и Cas9 вносит разрыв в 3 нуклеотидах от РАМ, с тупыми концами, при участии регионов HNH для расщепления комплементарной цепи спейсеру и RuvC-подобный домена для расщепления некомплементарной цепи. Репарация поврежденной цепи может осуществляться негомологичной рекомбинацией для внесения мутаций в целевом месторасположении или путем гомологичной рекомбинации при участии второй хроматиды для получения региона с точным изменением [167]. Негомологичный путь репарации используют для внесения инделов со сдвигом рамки считывания и, соотвественно, инактивацией редактируемого белка. Эффективность редактирования генома с помощью гомологичной репарации, как правило, ниже, чем негомологичной, поскольку гомологичная рекомбинация происходит в 10^5 –10^6 раз реже, чем репарация путем лигирования концов у растений [173].</w:t>
      </w:r>
    </w:p>
    <w:p>
      <w:pPr>
        <w:pStyle w:val="BodyText"/>
        <w:suppressAutoHyphens w:val="false"/>
        <w:spacing w:lineRule="auto" w:line="240" w:before="0" w:after="0"/>
        <w:ind w:firstLine="737"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Есть некоторые функциональные особенности использования систем для растительных, животных и прокариотических клеток. Так, для растительных систем используются промоторы U3 и U6 арабидопсиса для экспрессии направляющих РНК. Конститутивные промоторы белка Cas9 – промоторы убиквитина кукурузы, актина риса 1, арабидопсиса, вируса мозаики цветной капусты (CaMV 35S) использовались для эффективного редактирования генома растений </w:t>
      </w:r>
      <w:r>
        <w:rPr>
          <w:rFonts w:ascii="Times New Roman" w:hAnsi="Times New Roman"/>
          <w:b w:val="false"/>
          <w:i w:val="false"/>
          <w:caps w:val="false"/>
          <w:smallCaps w:val="false"/>
          <w:strike w:val="false"/>
          <w:dstrike w:val="false"/>
          <w:color w:val="000000"/>
          <w:position w:val="0"/>
          <w:sz w:val="28"/>
          <w:sz w:val="28"/>
          <w:szCs w:val="28"/>
          <w:u w:val="none"/>
          <w:effect w:val="none"/>
          <w:shd w:fill="auto" w:val="clear"/>
          <w:vertAlign w:val="baseline"/>
          <w:lang w:val="ru-RU"/>
        </w:rPr>
        <w:t>[174</w:t>
      </w:r>
      <w:r>
        <w:rPr>
          <w:rFonts w:ascii="Times New Roman" w:hAnsi="Times New Roman"/>
          <w:b w:val="false"/>
          <w:i w:val="false"/>
          <w:caps w:val="false"/>
          <w:smallCaps w:val="false"/>
          <w:position w:val="0"/>
          <w:sz w:val="24"/>
          <w:sz w:val="24"/>
          <w:u w:val="none"/>
          <w:vertAlign w:val="baseline"/>
        </w:rPr>
        <w:t>–177]</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Для редактирования злаковых дополнительно может быть проведена оптимизация кодона с увеличением частот гуанин-цитозиновых оснований [177]. </w:t>
      </w:r>
    </w:p>
    <w:p>
      <w:pPr>
        <w:pStyle w:val="BodyText"/>
        <w:spacing w:lineRule="auto" w:line="240" w:before="0" w:after="0"/>
        <w:ind w:firstLine="737"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CRISPR/Cas9 играет важную роль в создании томатных культур, устойчивых к различным патогенам (таблица 4). </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CRISPR/Cas9 была успешно применена для создания устойчивости томатов к вирусу желтой курчавости листьев томата (TYLCV). Данная технология позволила целенаправленно разрушить гены капсидного белка (CP) и репликазы (Rep), что привело к снижению вирусного титра [178]. Эффективность редактирования была подтверждена в нескольких поколениях растений, демонстрируя стабильность результата. Также была разработана вирус-индуцируемая система редактирования генома с использованием промотора rgsCaM, которая активируется при инфицировании TYLCV, что значительно снизило титр и обеспечило устойчивость растений к вирусу [179]. Были созданы линии томатов с устойчивостью к TYLCV и мучнистой росе за счёт нокаута генов </w:t>
      </w:r>
      <w:r>
        <w:rPr>
          <w:rFonts w:ascii="Times New Roman" w:hAnsi="Times New Roman"/>
          <w:b w:val="false"/>
          <w:i/>
          <w:caps w:val="false"/>
          <w:smallCaps w:val="false"/>
          <w:strike w:val="false"/>
          <w:dstrike w:val="false"/>
          <w:color w:val="000000"/>
          <w:sz w:val="28"/>
          <w:szCs w:val="28"/>
          <w:u w:val="none"/>
          <w:effect w:val="none"/>
          <w:shd w:fill="auto" w:val="clear"/>
          <w:lang w:val="ru-RU"/>
        </w:rPr>
        <w:t>SlPelo</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и </w:t>
      </w:r>
      <w:r>
        <w:rPr>
          <w:rFonts w:ascii="Times New Roman" w:hAnsi="Times New Roman"/>
          <w:b w:val="false"/>
          <w:i/>
          <w:caps w:val="false"/>
          <w:smallCaps w:val="false"/>
          <w:strike w:val="false"/>
          <w:dstrike w:val="false"/>
          <w:color w:val="000000"/>
          <w:sz w:val="28"/>
          <w:szCs w:val="28"/>
          <w:u w:val="none"/>
          <w:effect w:val="none"/>
          <w:shd w:fill="auto" w:val="clear"/>
          <w:lang w:val="ru-RU"/>
        </w:rPr>
        <w:t>SlMlo1</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отвечающих за восприимчивость к данным патогенам [180]. Была создана томатная линия, устойчивая к мучнистой росе, путём удаления 48 пар оснований в гене </w:t>
      </w:r>
      <w:r>
        <w:rPr>
          <w:rFonts w:ascii="Times New Roman" w:hAnsi="Times New Roman"/>
          <w:b w:val="false"/>
          <w:i/>
          <w:caps w:val="false"/>
          <w:smallCaps w:val="false"/>
          <w:strike w:val="false"/>
          <w:dstrike w:val="false"/>
          <w:color w:val="000000"/>
          <w:sz w:val="28"/>
          <w:szCs w:val="28"/>
          <w:u w:val="none"/>
          <w:effect w:val="none"/>
          <w:shd w:fill="auto" w:val="clear"/>
          <w:lang w:val="ru-RU"/>
        </w:rPr>
        <w:t>Mlo1</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который отвечает за восприимчивость к патогену, и были получены трансгенные свободные растения, не содержащие чужеродной ДНК [20]. С помощью редактирования гена </w:t>
      </w:r>
      <w:r>
        <w:rPr>
          <w:rFonts w:ascii="Times New Roman" w:hAnsi="Times New Roman"/>
          <w:b w:val="false"/>
          <w:i/>
          <w:caps w:val="false"/>
          <w:smallCaps w:val="false"/>
          <w:strike w:val="false"/>
          <w:dstrike w:val="false"/>
          <w:color w:val="000000"/>
          <w:sz w:val="28"/>
          <w:szCs w:val="28"/>
          <w:u w:val="none"/>
          <w:effect w:val="none"/>
          <w:shd w:fill="auto" w:val="clear"/>
          <w:lang w:val="ru-RU"/>
        </w:rPr>
        <w:t>JAZ2</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методом CRISPR/Cas9 были созданы устойчивые к бактериальной пятнистости томаты, в которых предотвращено повторное открытие устьиц под действием фитотоксина коронатина (COR), что усилило сопротивляемость к заражению бактерией </w:t>
      </w:r>
      <w:r>
        <w:rPr>
          <w:rFonts w:ascii="Times New Roman" w:hAnsi="Times New Roman"/>
          <w:b w:val="false"/>
          <w:i/>
          <w:caps w:val="false"/>
          <w:smallCaps w:val="false"/>
          <w:strike w:val="false"/>
          <w:dstrike w:val="false"/>
          <w:color w:val="000000"/>
          <w:sz w:val="28"/>
          <w:szCs w:val="28"/>
          <w:u w:val="none"/>
          <w:effect w:val="none"/>
          <w:shd w:fill="auto" w:val="clear"/>
          <w:lang w:val="ru-RU"/>
        </w:rPr>
        <w:t xml:space="preserve">Pseudomonas syringae </w:t>
      </w: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pv.</w:t>
      </w:r>
      <w:r>
        <w:rPr>
          <w:rFonts w:ascii="Times New Roman" w:hAnsi="Times New Roman"/>
          <w:b w:val="false"/>
          <w:i/>
          <w:caps w:val="false"/>
          <w:smallCaps w:val="false"/>
          <w:strike w:val="false"/>
          <w:dstrike w:val="false"/>
          <w:color w:val="000000"/>
          <w:sz w:val="28"/>
          <w:szCs w:val="28"/>
          <w:u w:val="none"/>
          <w:effect w:val="none"/>
          <w:shd w:fill="auto" w:val="clear"/>
          <w:lang w:val="ru-RU"/>
        </w:rPr>
        <w:t xml:space="preserve"> tomato</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DC3000, не нарушая при этом защиту от других патогенов [181]. Ген </w:t>
      </w:r>
      <w:r>
        <w:rPr>
          <w:rFonts w:ascii="Times New Roman" w:hAnsi="Times New Roman"/>
          <w:b w:val="false"/>
          <w:i/>
          <w:caps w:val="false"/>
          <w:smallCaps w:val="false"/>
          <w:strike w:val="false"/>
          <w:dstrike w:val="false"/>
          <w:color w:val="000000"/>
          <w:sz w:val="28"/>
          <w:szCs w:val="28"/>
          <w:u w:val="none"/>
          <w:effect w:val="none"/>
          <w:shd w:fill="auto" w:val="clear"/>
          <w:lang w:val="ru-RU"/>
        </w:rPr>
        <w:t>Solyc08g075770</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изученный с помощью CRISPR/Cas9, был идентифицирован как ключевой компонент локуса </w:t>
      </w:r>
      <w:r>
        <w:rPr>
          <w:rFonts w:ascii="Times New Roman" w:hAnsi="Times New Roman"/>
          <w:b w:val="false"/>
          <w:i/>
          <w:caps w:val="false"/>
          <w:smallCaps w:val="false"/>
          <w:strike w:val="false"/>
          <w:dstrike w:val="false"/>
          <w:color w:val="000000"/>
          <w:sz w:val="28"/>
          <w:szCs w:val="28"/>
          <w:u w:val="none"/>
          <w:effect w:val="none"/>
          <w:shd w:fill="auto" w:val="clear"/>
          <w:lang w:val="ru-RU"/>
        </w:rPr>
        <w:t>Tfw</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ответственного  </w:t>
        <w:br/>
      </w:r>
    </w:p>
    <w:p>
      <w:pPr>
        <w:pStyle w:val="Normal"/>
        <w:rPr>
          <w:rFonts w:ascii="Times New Roman" w:hAnsi="Times New Roman"/>
        </w:rPr>
      </w:pPr>
      <w:r>
        <w:rPr>
          <w:rFonts w:ascii="Times New Roman" w:hAnsi="Times New Roman"/>
          <w:sz w:val="28"/>
          <w:szCs w:val="28"/>
          <w:lang w:val="ru-RU"/>
        </w:rPr>
        <w:t>Таблица 4 – Существующий опыт применения CRISPR/Cas редактирования генома томата для достижения устойчивости к патогенам</w:t>
      </w:r>
    </w:p>
    <w:p>
      <w:pPr>
        <w:pStyle w:val="Normal"/>
        <w:rPr>
          <w:rFonts w:ascii="Times New Roman" w:hAnsi="Times New Roman"/>
          <w:b w:val="false"/>
          <w:i w:val="false"/>
          <w:i w:val="false"/>
          <w:caps w:val="false"/>
          <w:smallCaps w:val="false"/>
          <w:strike w:val="false"/>
          <w:dstrike w:val="false"/>
          <w:color w:val="000000"/>
          <w:sz w:val="28"/>
          <w:u w:val="none"/>
          <w:effect w:val="none"/>
          <w:shd w:fill="auto" w:val="clear"/>
          <w:lang w:val="ru-RU"/>
        </w:rPr>
      </w:pPr>
      <w:r>
        <w:rPr>
          <w:rFonts w:ascii="Times New Roman" w:hAnsi="Times New Roman"/>
          <w:b w:val="false"/>
          <w:i w:val="false"/>
          <w:caps w:val="false"/>
          <w:smallCaps w:val="false"/>
          <w:strike w:val="false"/>
          <w:dstrike w:val="false"/>
          <w:color w:val="000000"/>
          <w:sz w:val="28"/>
          <w:u w:val="none"/>
          <w:effect w:val="none"/>
          <w:shd w:fill="auto" w:val="clear"/>
          <w:lang w:val="ru-RU"/>
        </w:rPr>
      </w:r>
    </w:p>
    <w:tbl>
      <w:tblPr>
        <w:tblW w:w="9641" w:type="dxa"/>
        <w:jc w:val="start"/>
        <w:tblInd w:w="0" w:type="dxa"/>
        <w:tblLayout w:type="fixed"/>
        <w:tblCellMar>
          <w:top w:w="0" w:type="dxa"/>
          <w:start w:w="108" w:type="dxa"/>
          <w:bottom w:w="0" w:type="dxa"/>
          <w:end w:w="108" w:type="dxa"/>
        </w:tblCellMar>
      </w:tblPr>
      <w:tblGrid>
        <w:gridCol w:w="1925"/>
        <w:gridCol w:w="226"/>
        <w:gridCol w:w="1768"/>
        <w:gridCol w:w="1181"/>
        <w:gridCol w:w="341"/>
        <w:gridCol w:w="577"/>
        <w:gridCol w:w="949"/>
        <w:gridCol w:w="1473"/>
        <w:gridCol w:w="11"/>
        <w:gridCol w:w="62"/>
        <w:gridCol w:w="1127"/>
      </w:tblGrid>
      <w:tr>
        <w:trPr/>
        <w:tc>
          <w:tcPr>
            <w:tcW w:w="9640" w:type="dxa"/>
            <w:gridSpan w:val="11"/>
            <w:tcBorders>
              <w:top w:val="single" w:sz="4" w:space="0" w:color="000000"/>
              <w:start w:val="single" w:sz="4" w:space="0" w:color="000000"/>
              <w:bottom w:val="single" w:sz="4" w:space="0" w:color="000000"/>
              <w:end w:val="single" w:sz="4" w:space="0" w:color="000000"/>
            </w:tcBorders>
          </w:tcPr>
          <w:p>
            <w:pPr>
              <w:pStyle w:val="Normal"/>
              <w:tabs>
                <w:tab w:val="clear" w:pos="709"/>
                <w:tab w:val="left" w:pos="2169" w:leader="none"/>
              </w:tabs>
              <w:spacing w:lineRule="auto" w:line="240" w:before="0" w:after="0"/>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ab/>
            </w:r>
            <w:r>
              <w:rPr>
                <w:rFonts w:ascii="Times New Roman" w:hAnsi="Times New Roman"/>
                <w:lang w:val="ru-RU"/>
              </w:rPr>
              <w:t>Устойчивость к вирусным патогенам</w:t>
            </w:r>
          </w:p>
        </w:tc>
      </w:tr>
      <w:tr>
        <w:trPr>
          <w:trHeight w:val="656" w:hRule="atLeast"/>
        </w:trPr>
        <w:tc>
          <w:tcPr>
            <w:tcW w:w="2151"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Патоген</w:t>
            </w:r>
          </w:p>
        </w:tc>
        <w:tc>
          <w:tcPr>
            <w:tcW w:w="1768"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Ген</w:t>
            </w:r>
          </w:p>
        </w:tc>
        <w:tc>
          <w:tcPr>
            <w:tcW w:w="2099"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Сорт томата </w:t>
            </w:r>
          </w:p>
        </w:tc>
        <w:tc>
          <w:tcPr>
            <w:tcW w:w="2495" w:type="dxa"/>
            <w:gridSpan w:val="4"/>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Эффект</w:t>
            </w:r>
          </w:p>
        </w:tc>
        <w:tc>
          <w:tcPr>
            <w:tcW w:w="1127"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Ссылки</w:t>
            </w:r>
          </w:p>
        </w:tc>
      </w:tr>
      <w:tr>
        <w:trPr>
          <w:trHeight w:val="1867" w:hRule="atLeast"/>
        </w:trPr>
        <w:tc>
          <w:tcPr>
            <w:tcW w:w="2151"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 xml:space="preserve">TYLCV </w:t>
            </w:r>
          </w:p>
          <w:p>
            <w:pPr>
              <w:pStyle w:val="Normal"/>
              <w:tabs>
                <w:tab w:val="clear" w:pos="709"/>
              </w:tabs>
              <w:spacing w:lineRule="auto" w:line="252"/>
              <w:rPr>
                <w:rFonts w:ascii="Times New Roman" w:hAnsi="Times New Roman"/>
              </w:rPr>
            </w:pPr>
            <w:r>
              <w:rPr>
                <w:rFonts w:ascii="Times New Roman" w:hAnsi="Times New Roman"/>
                <w:lang w:val="ru-RU"/>
              </w:rPr>
              <w:t>(Вирус жёлтой курчавости листьев томатов)</w:t>
            </w:r>
          </w:p>
        </w:tc>
        <w:tc>
          <w:tcPr>
            <w:tcW w:w="1768"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CP, Rep</w:t>
            </w:r>
            <w:r>
              <w:rPr>
                <w:rFonts w:ascii="Times New Roman" w:hAnsi="Times New Roman"/>
                <w:lang w:val="ru-RU"/>
              </w:rPr>
              <w:t xml:space="preserve"> </w:t>
            </w:r>
          </w:p>
          <w:p>
            <w:pPr>
              <w:pStyle w:val="Normal"/>
              <w:tabs>
                <w:tab w:val="clear" w:pos="709"/>
              </w:tabs>
              <w:spacing w:lineRule="auto" w:line="252"/>
              <w:rPr>
                <w:rFonts w:ascii="Times New Roman" w:hAnsi="Times New Roman"/>
              </w:rPr>
            </w:pPr>
            <w:r>
              <w:rPr>
                <w:rFonts w:ascii="Times New Roman" w:hAnsi="Times New Roman"/>
                <w:lang w:val="ru-RU"/>
              </w:rPr>
              <w:t>(virus gene)</w:t>
            </w:r>
          </w:p>
        </w:tc>
        <w:tc>
          <w:tcPr>
            <w:tcW w:w="2099"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2495" w:type="dxa"/>
            <w:gridSpan w:val="4"/>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устойчивость</w:t>
            </w:r>
          </w:p>
        </w:tc>
        <w:tc>
          <w:tcPr>
            <w:tcW w:w="1127"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lang w:val="ru-RU"/>
              </w:rPr>
              <w:t>[178]</w:t>
            </w:r>
          </w:p>
        </w:tc>
      </w:tr>
      <w:tr>
        <w:trPr>
          <w:trHeight w:val="1436" w:hRule="atLeast"/>
        </w:trPr>
        <w:tc>
          <w:tcPr>
            <w:tcW w:w="2151"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TYLCV</w:t>
            </w:r>
          </w:p>
        </w:tc>
        <w:tc>
          <w:tcPr>
            <w:tcW w:w="1768"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rgsCam</w:t>
            </w:r>
            <w:r>
              <w:rPr>
                <w:rFonts w:ascii="Times New Roman" w:hAnsi="Times New Roman"/>
                <w:lang w:val="ru-RU"/>
              </w:rPr>
              <w:t xml:space="preserve">  promoter</w:t>
            </w:r>
          </w:p>
        </w:tc>
        <w:tc>
          <w:tcPr>
            <w:tcW w:w="2099"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2495" w:type="dxa"/>
            <w:gridSpan w:val="4"/>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Снижение накопления вирулентной ДНК</w:t>
            </w:r>
          </w:p>
        </w:tc>
        <w:tc>
          <w:tcPr>
            <w:tcW w:w="1127"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lang w:val="ru-RU"/>
              </w:rPr>
              <w:t>[179]</w:t>
            </w:r>
          </w:p>
        </w:tc>
      </w:tr>
      <w:tr>
        <w:trPr>
          <w:trHeight w:val="480" w:hRule="atLeast"/>
        </w:trPr>
        <w:tc>
          <w:tcPr>
            <w:tcW w:w="9640" w:type="dxa"/>
            <w:gridSpan w:val="11"/>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40" w:before="0" w:after="0"/>
              <w:jc w:val="center"/>
              <w:rPr>
                <w:rFonts w:ascii="Times New Roman" w:hAnsi="Times New Roman"/>
              </w:rPr>
            </w:pPr>
            <w:r>
              <w:rPr>
                <w:rFonts w:ascii="Times New Roman" w:hAnsi="Times New Roman"/>
                <w:lang w:val="ru-RU"/>
              </w:rPr>
              <w:t>Комбинированная устойчивость к вирусным и грибным патогенам</w:t>
            </w:r>
          </w:p>
        </w:tc>
      </w:tr>
      <w:tr>
        <w:trPr>
          <w:trHeight w:val="774"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Патоген</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Ген</w:t>
            </w:r>
          </w:p>
        </w:tc>
        <w:tc>
          <w:tcPr>
            <w:tcW w:w="1522"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Сорт томата</w:t>
            </w:r>
          </w:p>
        </w:tc>
        <w:tc>
          <w:tcPr>
            <w:tcW w:w="1526"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Локус</w:t>
            </w:r>
          </w:p>
        </w:tc>
        <w:tc>
          <w:tcPr>
            <w:tcW w:w="147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Эффект</w:t>
            </w:r>
          </w:p>
        </w:tc>
        <w:tc>
          <w:tcPr>
            <w:tcW w:w="1200"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Ссылки</w:t>
            </w:r>
          </w:p>
        </w:tc>
      </w:tr>
      <w:tr>
        <w:trPr>
          <w:trHeight w:val="774"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 xml:space="preserve">TYLCV + </w:t>
            </w:r>
            <w:r>
              <w:rPr>
                <w:rFonts w:ascii="Times New Roman" w:hAnsi="Times New Roman"/>
                <w:i/>
                <w:iCs/>
                <w:lang w:val="ru-RU"/>
              </w:rPr>
              <w:t>O.neolycopersici</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Pelo</w:t>
            </w:r>
            <w:r>
              <w:rPr>
                <w:rFonts w:ascii="Times New Roman" w:hAnsi="Times New Roman"/>
                <w:lang w:val="ru-RU"/>
              </w:rPr>
              <w:t xml:space="preserve">, </w:t>
            </w:r>
          </w:p>
          <w:p>
            <w:pPr>
              <w:pStyle w:val="Normal"/>
              <w:tabs>
                <w:tab w:val="clear" w:pos="709"/>
              </w:tabs>
              <w:spacing w:lineRule="auto" w:line="252"/>
              <w:rPr>
                <w:rFonts w:ascii="Times New Roman" w:hAnsi="Times New Roman"/>
              </w:rPr>
            </w:pPr>
            <w:r>
              <w:rPr>
                <w:rFonts w:ascii="Times New Roman" w:hAnsi="Times New Roman"/>
                <w:i/>
                <w:iCs/>
                <w:lang w:val="ru-RU"/>
              </w:rPr>
              <w:t>Mlo1</w:t>
            </w:r>
            <w:r>
              <w:rPr>
                <w:rFonts w:ascii="Times New Roman" w:hAnsi="Times New Roman"/>
                <w:lang w:val="ru-RU"/>
              </w:rPr>
              <w:t>– потеря функции</w:t>
            </w:r>
          </w:p>
        </w:tc>
        <w:tc>
          <w:tcPr>
            <w:tcW w:w="1522"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BN-86</w:t>
            </w:r>
          </w:p>
        </w:tc>
        <w:tc>
          <w:tcPr>
            <w:tcW w:w="1526"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Solyc04g009810</w:t>
            </w:r>
          </w:p>
          <w:p>
            <w:pPr>
              <w:pStyle w:val="Normal"/>
              <w:tabs>
                <w:tab w:val="clear" w:pos="709"/>
              </w:tabs>
              <w:spacing w:lineRule="auto" w:line="252"/>
              <w:rPr>
                <w:rFonts w:ascii="Times New Roman" w:hAnsi="Times New Roman"/>
              </w:rPr>
            </w:pPr>
            <w:r>
              <w:rPr>
                <w:rFonts w:ascii="Times New Roman" w:hAnsi="Times New Roman"/>
                <w:lang w:val="ru-RU"/>
              </w:rPr>
              <w:t>Solyc04g049090</w:t>
            </w:r>
          </w:p>
        </w:tc>
        <w:tc>
          <w:tcPr>
            <w:tcW w:w="147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Высокая устойчивость</w:t>
            </w:r>
          </w:p>
        </w:tc>
        <w:tc>
          <w:tcPr>
            <w:tcW w:w="1200" w:type="dxa"/>
            <w:gridSpan w:val="3"/>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[180]</w:t>
            </w:r>
          </w:p>
        </w:tc>
      </w:tr>
      <w:tr>
        <w:trPr>
          <w:trHeight w:val="378" w:hRule="atLeast"/>
        </w:trPr>
        <w:tc>
          <w:tcPr>
            <w:tcW w:w="9640" w:type="dxa"/>
            <w:gridSpan w:val="11"/>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40" w:before="0" w:after="0"/>
              <w:jc w:val="center"/>
              <w:rPr>
                <w:rFonts w:ascii="Times New Roman" w:hAnsi="Times New Roman"/>
              </w:rPr>
            </w:pPr>
            <w:r>
              <w:rPr>
                <w:rFonts w:ascii="Times New Roman" w:hAnsi="Times New Roman"/>
                <w:lang w:val="ru-RU"/>
              </w:rPr>
              <w:t>Устойчивость к бактериальным патогенам</w:t>
            </w:r>
          </w:p>
        </w:tc>
      </w:tr>
      <w:tr>
        <w:trPr>
          <w:trHeight w:val="584"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Патоген</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Ген</w:t>
            </w:r>
          </w:p>
        </w:tc>
        <w:tc>
          <w:tcPr>
            <w:tcW w:w="1181"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Сорт томата </w:t>
            </w:r>
          </w:p>
        </w:tc>
        <w:tc>
          <w:tcPr>
            <w:tcW w:w="1867"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Локус</w:t>
            </w:r>
          </w:p>
        </w:tc>
        <w:tc>
          <w:tcPr>
            <w:tcW w:w="148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Эффект</w:t>
            </w:r>
          </w:p>
        </w:tc>
        <w:tc>
          <w:tcPr>
            <w:tcW w:w="1189"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Ссылки</w:t>
            </w:r>
          </w:p>
        </w:tc>
      </w:tr>
      <w:tr>
        <w:trPr>
          <w:trHeight w:val="584"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Pseudomonas syringae </w:t>
            </w:r>
            <w:r>
              <w:rPr>
                <w:rFonts w:ascii="Times New Roman" w:hAnsi="Times New Roman"/>
                <w:lang w:val="ru-RU"/>
              </w:rPr>
              <w:t>(бактериальная пятнистость)</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JAZ2</w:t>
            </w:r>
            <w:r>
              <w:rPr>
                <w:rFonts w:ascii="Times New Roman" w:hAnsi="Times New Roman"/>
                <w:lang w:val="ru-RU"/>
              </w:rPr>
              <w:t>-сверхэкспрессия</w:t>
            </w:r>
          </w:p>
        </w:tc>
        <w:tc>
          <w:tcPr>
            <w:tcW w:w="1181"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1867"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Solyc12g009220</w:t>
            </w:r>
          </w:p>
        </w:tc>
        <w:tc>
          <w:tcPr>
            <w:tcW w:w="148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 xml:space="preserve">Устойчивость </w:t>
            </w:r>
          </w:p>
        </w:tc>
        <w:tc>
          <w:tcPr>
            <w:tcW w:w="1189" w:type="dxa"/>
            <w:gridSpan w:val="2"/>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[181]</w:t>
            </w:r>
          </w:p>
        </w:tc>
      </w:tr>
      <w:tr>
        <w:trPr>
          <w:trHeight w:val="584"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Phytophthora infestans </w:t>
            </w:r>
            <w:r>
              <w:rPr>
                <w:rFonts w:ascii="Times New Roman" w:hAnsi="Times New Roman"/>
                <w:lang w:val="ru-RU"/>
              </w:rPr>
              <w:t>(фитофтороз)</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MYBS2</w:t>
            </w:r>
            <w:r>
              <w:rPr>
                <w:rFonts w:ascii="Times New Roman" w:hAnsi="Times New Roman"/>
                <w:lang w:val="ru-RU"/>
              </w:rPr>
              <w:t>-нокаут</w:t>
            </w:r>
          </w:p>
        </w:tc>
        <w:tc>
          <w:tcPr>
            <w:tcW w:w="1181"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 xml:space="preserve">Alisa Craig </w:t>
            </w:r>
          </w:p>
        </w:tc>
        <w:tc>
          <w:tcPr>
            <w:tcW w:w="1867"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Solyc04g008870</w:t>
            </w:r>
          </w:p>
        </w:tc>
        <w:tc>
          <w:tcPr>
            <w:tcW w:w="148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Снижение устойчивости</w:t>
            </w:r>
          </w:p>
        </w:tc>
        <w:tc>
          <w:tcPr>
            <w:tcW w:w="1189" w:type="dxa"/>
            <w:gridSpan w:val="2"/>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[182]</w:t>
            </w:r>
          </w:p>
        </w:tc>
      </w:tr>
      <w:tr>
        <w:trPr>
          <w:trHeight w:val="584" w:hRule="atLeast"/>
        </w:trPr>
        <w:tc>
          <w:tcPr>
            <w:tcW w:w="9640" w:type="dxa"/>
            <w:gridSpan w:val="11"/>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40" w:before="0" w:after="0"/>
              <w:jc w:val="center"/>
              <w:rPr>
                <w:rFonts w:ascii="Times New Roman" w:hAnsi="Times New Roman"/>
              </w:rPr>
            </w:pPr>
            <w:r>
              <w:rPr>
                <w:rFonts w:ascii="Times New Roman" w:hAnsi="Times New Roman"/>
                <w:lang w:val="ru-RU"/>
              </w:rPr>
              <w:t>Устойчивость к грибным патогенам</w:t>
            </w:r>
          </w:p>
        </w:tc>
      </w:tr>
      <w:tr>
        <w:trPr>
          <w:trHeight w:val="706"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Патоген </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Ген</w:t>
            </w:r>
          </w:p>
        </w:tc>
        <w:tc>
          <w:tcPr>
            <w:tcW w:w="1181"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Сорт томата </w:t>
            </w:r>
          </w:p>
        </w:tc>
        <w:tc>
          <w:tcPr>
            <w:tcW w:w="1867"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Локус</w:t>
            </w:r>
          </w:p>
        </w:tc>
        <w:tc>
          <w:tcPr>
            <w:tcW w:w="148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Эффект</w:t>
            </w:r>
          </w:p>
        </w:tc>
        <w:tc>
          <w:tcPr>
            <w:tcW w:w="1189"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Ссылки</w:t>
            </w:r>
          </w:p>
        </w:tc>
      </w:tr>
      <w:tr>
        <w:trPr>
          <w:trHeight w:val="1849" w:hRule="atLeast"/>
        </w:trPr>
        <w:tc>
          <w:tcPr>
            <w:tcW w:w="1925"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Oidium neolycopersici, Leveillula taurica </w:t>
            </w:r>
            <w:r>
              <w:rPr>
                <w:rFonts w:ascii="Times New Roman" w:hAnsi="Times New Roman"/>
                <w:lang w:val="ru-RU"/>
              </w:rPr>
              <w:t>(мучнистая роса)</w:t>
            </w:r>
          </w:p>
        </w:tc>
        <w:tc>
          <w:tcPr>
            <w:tcW w:w="199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Mlo1</w:t>
            </w:r>
            <w:r>
              <w:rPr>
                <w:rFonts w:ascii="Times New Roman" w:hAnsi="Times New Roman"/>
                <w:lang w:val="ru-RU"/>
              </w:rPr>
              <w:t xml:space="preserve"> – нокаут</w:t>
            </w:r>
          </w:p>
        </w:tc>
        <w:tc>
          <w:tcPr>
            <w:tcW w:w="1181"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1867" w:type="dxa"/>
            <w:gridSpan w:val="3"/>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Solyc04g049090</w:t>
            </w:r>
          </w:p>
        </w:tc>
        <w:tc>
          <w:tcPr>
            <w:tcW w:w="1484" w:type="dxa"/>
            <w:gridSpan w:val="2"/>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Устойчивость</w:t>
            </w:r>
          </w:p>
        </w:tc>
        <w:tc>
          <w:tcPr>
            <w:tcW w:w="1189" w:type="dxa"/>
            <w:gridSpan w:val="2"/>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[20]</w:t>
            </w:r>
          </w:p>
        </w:tc>
      </w:tr>
    </w:tbl>
    <w:p>
      <w:pPr>
        <w:pStyle w:val="BodyText"/>
        <w:spacing w:lineRule="auto" w:line="240" w:before="0" w:after="0"/>
        <w:ind w:hanging="0" w:start="0" w:end="0"/>
        <w:jc w:val="both"/>
        <w:rPr>
          <w:rFonts w:ascii="Times New Roman" w:hAnsi="Times New Roman"/>
        </w:rPr>
      </w:pPr>
      <w:r>
        <w:rPr>
          <w:rFonts w:ascii="Times New Roman" w:hAnsi="Times New Roman"/>
        </w:rPr>
      </w:r>
    </w:p>
    <w:p>
      <w:pPr>
        <w:pStyle w:val="BodyText"/>
        <w:spacing w:lineRule="auto" w:line="240" w:before="0" w:after="0"/>
        <w:ind w:hanging="0"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Продолжение таблицы 4</w:t>
      </w:r>
    </w:p>
    <w:p>
      <w:pPr>
        <w:pStyle w:val="BodyText"/>
        <w:spacing w:lineRule="auto" w:line="240" w:before="0" w:after="0"/>
        <w:ind w:hanging="0" w:start="0" w:end="0"/>
        <w:jc w:val="both"/>
        <w:rPr>
          <w:rFonts w:ascii="Times New Roman" w:hAnsi="Times New Roman"/>
          <w:b w:val="false"/>
          <w:i w:val="false"/>
          <w:i w:val="false"/>
          <w:caps w:val="false"/>
          <w:smallCaps w:val="false"/>
          <w:strike w:val="false"/>
          <w:dstrike w:val="false"/>
          <w:color w:val="000000"/>
          <w:sz w:val="28"/>
          <w:u w:val="none"/>
          <w:effect w:val="none"/>
          <w:shd w:fill="auto" w:val="clear"/>
          <w:lang w:val="ru-RU"/>
        </w:rPr>
      </w:pPr>
      <w:r>
        <w:rPr>
          <w:rFonts w:ascii="Times New Roman" w:hAnsi="Times New Roman"/>
          <w:b w:val="false"/>
          <w:i w:val="false"/>
          <w:caps w:val="false"/>
          <w:smallCaps w:val="false"/>
          <w:strike w:val="false"/>
          <w:dstrike w:val="false"/>
          <w:color w:val="000000"/>
          <w:sz w:val="28"/>
          <w:u w:val="none"/>
          <w:effect w:val="none"/>
          <w:shd w:fill="auto" w:val="clear"/>
          <w:lang w:val="ru-RU"/>
        </w:rPr>
      </w:r>
    </w:p>
    <w:tbl>
      <w:tblPr>
        <w:tblW w:w="9641" w:type="dxa"/>
        <w:jc w:val="start"/>
        <w:tblInd w:w="0" w:type="dxa"/>
        <w:tblLayout w:type="fixed"/>
        <w:tblCellMar>
          <w:top w:w="0" w:type="dxa"/>
          <w:start w:w="108" w:type="dxa"/>
          <w:bottom w:w="0" w:type="dxa"/>
          <w:end w:w="108" w:type="dxa"/>
        </w:tblCellMar>
      </w:tblPr>
      <w:tblGrid>
        <w:gridCol w:w="1704"/>
        <w:gridCol w:w="2210"/>
        <w:gridCol w:w="1024"/>
        <w:gridCol w:w="2029"/>
        <w:gridCol w:w="1533"/>
        <w:gridCol w:w="1140"/>
      </w:tblGrid>
      <w:tr>
        <w:trPr>
          <w:trHeight w:val="1125"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Патоген </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Ген</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 xml:space="preserve">Сорт томата </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Локус</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Эффект</w:t>
            </w:r>
          </w:p>
        </w:tc>
        <w:tc>
          <w:tcPr>
            <w:tcW w:w="114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b/>
                <w:bCs/>
                <w:lang w:val="ru-RU"/>
              </w:rPr>
              <w:t>Ссылки</w:t>
            </w:r>
          </w:p>
        </w:tc>
      </w:tr>
      <w:tr>
        <w:trPr>
          <w:trHeight w:val="1125" w:hRule="atLeast"/>
        </w:trPr>
        <w:tc>
          <w:tcPr>
            <w:tcW w:w="1704" w:type="dxa"/>
            <w:tcBorders>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 xml:space="preserve">Мучнистая роса </w:t>
            </w:r>
          </w:p>
        </w:tc>
        <w:tc>
          <w:tcPr>
            <w:tcW w:w="2210" w:type="dxa"/>
            <w:tcBorders>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PMR4</w:t>
            </w:r>
            <w:r>
              <w:rPr>
                <w:rFonts w:ascii="Times New Roman" w:hAnsi="Times New Roman"/>
                <w:lang w:val="ru-RU"/>
              </w:rPr>
              <w:t xml:space="preserve"> – нокаут</w:t>
            </w:r>
          </w:p>
        </w:tc>
        <w:tc>
          <w:tcPr>
            <w:tcW w:w="1024" w:type="dxa"/>
            <w:tcBorders>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2029" w:type="dxa"/>
            <w:tcBorders>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Solyc07g053980</w:t>
            </w:r>
          </w:p>
        </w:tc>
        <w:tc>
          <w:tcPr>
            <w:tcW w:w="1533" w:type="dxa"/>
            <w:tcBorders>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Устойчивость</w:t>
            </w:r>
          </w:p>
        </w:tc>
        <w:tc>
          <w:tcPr>
            <w:tcW w:w="1140" w:type="dxa"/>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[120]</w:t>
            </w:r>
          </w:p>
        </w:tc>
      </w:tr>
      <w:tr>
        <w:trPr>
          <w:trHeight w:val="706"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Peronospora infestans </w:t>
            </w:r>
            <w:r>
              <w:rPr>
                <w:rFonts w:ascii="Times New Roman" w:hAnsi="Times New Roman"/>
                <w:lang w:val="ru-RU"/>
              </w:rPr>
              <w:t>(ложная мучнистая роса)</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DMR6</w:t>
            </w:r>
            <w:r>
              <w:rPr>
                <w:rFonts w:ascii="Times New Roman" w:hAnsi="Times New Roman"/>
                <w:lang w:val="ru-RU"/>
              </w:rPr>
              <w:t xml:space="preserve">-1, </w:t>
            </w:r>
            <w:r>
              <w:rPr>
                <w:rFonts w:ascii="Times New Roman" w:hAnsi="Times New Roman"/>
                <w:i/>
                <w:iCs/>
                <w:lang w:val="ru-RU"/>
              </w:rPr>
              <w:t>DMR6</w:t>
            </w:r>
            <w:r>
              <w:rPr>
                <w:rFonts w:ascii="Times New Roman" w:hAnsi="Times New Roman"/>
                <w:lang w:val="ru-RU"/>
              </w:rPr>
              <w:t>-2 – нокаут</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FL8000</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Solyc03g080190</w:t>
            </w:r>
          </w:p>
          <w:p>
            <w:pPr>
              <w:pStyle w:val="Normal"/>
              <w:tabs>
                <w:tab w:val="clear" w:pos="709"/>
              </w:tabs>
              <w:spacing w:lineRule="auto" w:line="252"/>
              <w:rPr>
                <w:rFonts w:ascii="Times New Roman" w:hAnsi="Times New Roman"/>
              </w:rPr>
            </w:pPr>
            <w:r>
              <w:rPr>
                <w:rFonts w:ascii="Times New Roman" w:hAnsi="Times New Roman"/>
                <w:lang w:val="ru-RU"/>
              </w:rPr>
              <w:t>Solyc06g073080</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Высокая устойчивость</w:t>
            </w:r>
          </w:p>
        </w:tc>
        <w:tc>
          <w:tcPr>
            <w:tcW w:w="1140"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[183]</w:t>
            </w:r>
          </w:p>
        </w:tc>
      </w:tr>
      <w:tr>
        <w:trPr>
          <w:trHeight w:val="706"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Fusarium oxysporumsp. Lycopersici </w:t>
            </w:r>
          </w:p>
          <w:p>
            <w:pPr>
              <w:pStyle w:val="Normal"/>
              <w:tabs>
                <w:tab w:val="clear" w:pos="709"/>
              </w:tabs>
              <w:spacing w:lineRule="auto" w:line="252"/>
              <w:rPr>
                <w:rFonts w:ascii="Times New Roman" w:hAnsi="Times New Roman"/>
              </w:rPr>
            </w:pPr>
            <w:r>
              <w:rPr>
                <w:rFonts w:ascii="Times New Roman" w:hAnsi="Times New Roman"/>
                <w:lang w:val="ru-RU"/>
              </w:rPr>
              <w:t>(фузариоз)</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Tfw</w:t>
            </w:r>
            <w:r>
              <w:rPr>
                <w:rFonts w:ascii="Times New Roman" w:hAnsi="Times New Roman"/>
                <w:lang w:val="ru-RU"/>
              </w:rPr>
              <w:t xml:space="preserve"> – восстановление </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76R, rmc</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Solyc08g075770</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Устойчивость</w:t>
            </w:r>
          </w:p>
        </w:tc>
        <w:tc>
          <w:tcPr>
            <w:tcW w:w="1140"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[184]</w:t>
            </w:r>
          </w:p>
        </w:tc>
      </w:tr>
      <w:tr>
        <w:trPr>
          <w:trHeight w:val="1939"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Oidium neolycopersici </w:t>
            </w:r>
            <w:r>
              <w:rPr>
                <w:rFonts w:ascii="Times New Roman" w:hAnsi="Times New Roman"/>
                <w:lang w:val="ru-RU"/>
              </w:rPr>
              <w:t>(мучнистая роса)</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DND1</w:t>
            </w:r>
            <w:r>
              <w:rPr>
                <w:rFonts w:ascii="Times New Roman" w:hAnsi="Times New Roman"/>
                <w:lang w:val="ru-RU"/>
              </w:rPr>
              <w:t xml:space="preserve"> – нокаут</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Money-maker</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Solyc02g088560.4</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Устойчивость без потери количественных характеристик</w:t>
            </w:r>
          </w:p>
        </w:tc>
        <w:tc>
          <w:tcPr>
            <w:tcW w:w="1140"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[185]</w:t>
            </w:r>
          </w:p>
        </w:tc>
      </w:tr>
      <w:tr>
        <w:trPr>
          <w:trHeight w:val="1044"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Botrytis cinerea </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ATG5</w:t>
            </w:r>
            <w:r>
              <w:rPr>
                <w:rFonts w:ascii="Times New Roman" w:hAnsi="Times New Roman"/>
                <w:lang w:val="ru-RU"/>
              </w:rPr>
              <w:t xml:space="preserve"> – нокаут</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Alisa Craig</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Снижение устойчивости</w:t>
            </w:r>
          </w:p>
        </w:tc>
        <w:tc>
          <w:tcPr>
            <w:tcW w:w="1140"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[186]</w:t>
            </w:r>
          </w:p>
        </w:tc>
      </w:tr>
      <w:tr>
        <w:trPr>
          <w:trHeight w:val="2386" w:hRule="atLeast"/>
        </w:trPr>
        <w:tc>
          <w:tcPr>
            <w:tcW w:w="170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 xml:space="preserve">Botrytis cinerea </w:t>
            </w:r>
          </w:p>
          <w:p>
            <w:pPr>
              <w:pStyle w:val="Normal"/>
              <w:tabs>
                <w:tab w:val="clear" w:pos="709"/>
              </w:tabs>
              <w:spacing w:lineRule="auto" w:line="252"/>
              <w:rPr>
                <w:rFonts w:ascii="Times New Roman" w:hAnsi="Times New Roman"/>
              </w:rPr>
            </w:pPr>
            <w:r>
              <w:rPr>
                <w:rFonts w:ascii="Times New Roman" w:hAnsi="Times New Roman"/>
                <w:lang w:val="ru-RU"/>
              </w:rPr>
              <w:t>(серая гниль)</w:t>
            </w:r>
          </w:p>
        </w:tc>
        <w:tc>
          <w:tcPr>
            <w:tcW w:w="2210"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i/>
                <w:iCs/>
                <w:lang w:val="ru-RU"/>
              </w:rPr>
              <w:t>MYC2</w:t>
            </w:r>
            <w:r>
              <w:rPr>
                <w:rFonts w:ascii="Times New Roman" w:hAnsi="Times New Roman"/>
                <w:lang w:val="ru-RU"/>
              </w:rPr>
              <w:t xml:space="preserve">, </w:t>
            </w:r>
            <w:r>
              <w:rPr>
                <w:rFonts w:ascii="Times New Roman" w:hAnsi="Times New Roman"/>
                <w:i/>
                <w:iCs/>
                <w:lang w:val="ru-RU"/>
              </w:rPr>
              <w:t>MAPK3</w:t>
            </w:r>
            <w:r>
              <w:rPr>
                <w:rFonts w:ascii="Times New Roman" w:hAnsi="Times New Roman"/>
                <w:lang w:val="ru-RU"/>
              </w:rPr>
              <w:t xml:space="preserve"> – нокаут </w:t>
            </w:r>
          </w:p>
        </w:tc>
        <w:tc>
          <w:tcPr>
            <w:tcW w:w="1024"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Micro-Tom, Alisa Craig</w:t>
            </w:r>
          </w:p>
        </w:tc>
        <w:tc>
          <w:tcPr>
            <w:tcW w:w="2029"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w:t>
            </w:r>
          </w:p>
        </w:tc>
        <w:tc>
          <w:tcPr>
            <w:tcW w:w="1533" w:type="dxa"/>
            <w:tcBorders>
              <w:top w:val="single" w:sz="4" w:space="0" w:color="000000"/>
              <w:start w:val="single" w:sz="4" w:space="0" w:color="000000"/>
              <w:bottom w:val="single" w:sz="4" w:space="0" w:color="000000"/>
              <w:end w:val="single" w:sz="4" w:space="0" w:color="000000"/>
            </w:tcBorders>
          </w:tcPr>
          <w:p>
            <w:pPr>
              <w:pStyle w:val="Normal"/>
              <w:tabs>
                <w:tab w:val="clear" w:pos="709"/>
              </w:tabs>
              <w:spacing w:lineRule="auto" w:line="252"/>
              <w:rPr>
                <w:rFonts w:ascii="Times New Roman" w:hAnsi="Times New Roman"/>
              </w:rPr>
            </w:pPr>
            <w:r>
              <w:rPr>
                <w:rFonts w:ascii="Times New Roman" w:hAnsi="Times New Roman"/>
                <w:lang w:val="ru-RU"/>
              </w:rPr>
              <w:t>Снижение устойчивости</w:t>
            </w:r>
          </w:p>
        </w:tc>
        <w:tc>
          <w:tcPr>
            <w:tcW w:w="1140"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t>[187]</w:t>
            </w:r>
          </w:p>
        </w:tc>
      </w:tr>
    </w:tbl>
    <w:p>
      <w:pPr>
        <w:pStyle w:val="Normal"/>
        <w:spacing w:lineRule="auto" w:line="240" w:before="0" w:after="0"/>
        <w:ind w:hanging="0" w:start="0" w:end="0"/>
        <w:jc w:val="both"/>
        <w:rPr>
          <w:rFonts w:ascii="Times New Roman" w:hAnsi="Times New Roman"/>
          <w:b w:val="false"/>
          <w:i w:val="false"/>
          <w:i w:val="false"/>
          <w:caps w:val="false"/>
          <w:smallCaps w:val="false"/>
          <w:strike w:val="false"/>
          <w:dstrike w:val="false"/>
          <w:color w:val="000000"/>
          <w:sz w:val="28"/>
          <w:u w:val="none"/>
          <w:effect w:val="none"/>
          <w:shd w:fill="auto" w:val="clear"/>
          <w:lang w:val="ru-RU"/>
        </w:rPr>
      </w:pPr>
      <w:r>
        <w:rPr>
          <w:rFonts w:ascii="Times New Roman" w:hAnsi="Times New Roman"/>
          <w:b w:val="false"/>
          <w:i w:val="false"/>
          <w:caps w:val="false"/>
          <w:smallCaps w:val="false"/>
          <w:strike w:val="false"/>
          <w:dstrike w:val="false"/>
          <w:color w:val="000000"/>
          <w:sz w:val="28"/>
          <w:u w:val="none"/>
          <w:effect w:val="none"/>
          <w:shd w:fill="auto" w:val="clear"/>
          <w:lang w:val="ru-RU"/>
        </w:rPr>
      </w:r>
    </w:p>
    <w:p>
      <w:pPr>
        <w:pStyle w:val="BodyText"/>
        <w:spacing w:lineRule="auto" w:line="240" w:before="0" w:after="0"/>
        <w:ind w:hanging="0"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за устойчивость томатов к </w:t>
      </w:r>
      <w:r>
        <w:rPr>
          <w:rFonts w:ascii="Times New Roman" w:hAnsi="Times New Roman"/>
          <w:b w:val="false"/>
          <w:i/>
          <w:caps w:val="false"/>
          <w:smallCaps w:val="false"/>
          <w:strike w:val="false"/>
          <w:dstrike w:val="false"/>
          <w:color w:val="000000"/>
          <w:sz w:val="28"/>
          <w:szCs w:val="28"/>
          <w:u w:val="none"/>
          <w:effect w:val="none"/>
          <w:shd w:fill="auto" w:val="clear"/>
          <w:lang w:val="ru-RU"/>
        </w:rPr>
        <w:t xml:space="preserve">Fusarium oxysporum </w:t>
      </w:r>
      <w:r>
        <w:rPr>
          <w:rFonts w:ascii="Times New Roman" w:hAnsi="Times New Roman"/>
          <w:b w:val="false"/>
          <w:i w:val="false"/>
          <w:iCs w:val="false"/>
          <w:caps w:val="false"/>
          <w:smallCaps w:val="false"/>
          <w:strike w:val="false"/>
          <w:dstrike w:val="false"/>
          <w:color w:val="000000"/>
          <w:sz w:val="28"/>
          <w:szCs w:val="28"/>
          <w:u w:val="none"/>
          <w:effect w:val="none"/>
          <w:shd w:fill="auto" w:val="clear"/>
          <w:lang w:val="ru-RU"/>
        </w:rPr>
        <w:t xml:space="preserve">f. sp. </w:t>
      </w:r>
      <w:r>
        <w:rPr>
          <w:rFonts w:ascii="Times New Roman" w:hAnsi="Times New Roman"/>
          <w:b w:val="false"/>
          <w:i/>
          <w:caps w:val="false"/>
          <w:smallCaps w:val="false"/>
          <w:strike w:val="false"/>
          <w:dstrike w:val="false"/>
          <w:color w:val="000000"/>
          <w:sz w:val="28"/>
          <w:szCs w:val="28"/>
          <w:u w:val="none"/>
          <w:effect w:val="none"/>
          <w:shd w:fill="auto" w:val="clear"/>
          <w:lang w:val="ru-RU"/>
        </w:rPr>
        <w:t>lycopersici</w:t>
      </w:r>
      <w:r>
        <w:rPr>
          <w:rFonts w:ascii="Times New Roman" w:hAnsi="Times New Roman"/>
          <w:b w:val="false"/>
          <w:i w:val="false"/>
          <w:caps w:val="false"/>
          <w:smallCaps w:val="false"/>
          <w:strike w:val="false"/>
          <w:dstrike w:val="false"/>
          <w:color w:val="000000"/>
          <w:sz w:val="28"/>
          <w:szCs w:val="28"/>
          <w:u w:val="none"/>
          <w:effect w:val="none"/>
          <w:shd w:fill="auto" w:val="clear"/>
          <w:lang w:val="ru-RU"/>
        </w:rPr>
        <w:t xml:space="preserve"> race 3, предотвращая повреждение корней и активируя защитные механизмы растений [184].</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Нокаут гена </w:t>
      </w:r>
      <w:r>
        <w:rPr>
          <w:rFonts w:ascii="Times New Roman" w:hAnsi="Times New Roman"/>
          <w:b w:val="false"/>
          <w:i/>
          <w:caps w:val="false"/>
          <w:smallCaps w:val="false"/>
          <w:strike w:val="false"/>
          <w:dstrike w:val="false"/>
          <w:color w:val="000000"/>
          <w:sz w:val="28"/>
          <w:u w:val="none"/>
          <w:effect w:val="none"/>
          <w:shd w:fill="auto" w:val="clear"/>
          <w:lang w:val="ru-RU"/>
        </w:rPr>
        <w:t>SlMAPK3</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у томатов показал его важную роль в регуляции иммунного ответа на серую гниль (</w:t>
      </w:r>
      <w:r>
        <w:rPr>
          <w:rFonts w:ascii="Times New Roman" w:hAnsi="Times New Roman"/>
          <w:b w:val="false"/>
          <w:i/>
          <w:caps w:val="false"/>
          <w:smallCaps w:val="false"/>
          <w:strike w:val="false"/>
          <w:dstrike w:val="false"/>
          <w:color w:val="000000"/>
          <w:sz w:val="28"/>
          <w:u w:val="none"/>
          <w:effect w:val="none"/>
          <w:shd w:fill="auto" w:val="clear"/>
          <w:lang w:val="ru-RU"/>
        </w:rPr>
        <w:t>Botrytis cinerea</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У растений с отсутствием </w:t>
      </w:r>
      <w:r>
        <w:rPr>
          <w:rFonts w:ascii="Times New Roman" w:hAnsi="Times New Roman"/>
          <w:b w:val="false"/>
          <w:i/>
          <w:caps w:val="false"/>
          <w:smallCaps w:val="false"/>
          <w:strike w:val="false"/>
          <w:dstrike w:val="false"/>
          <w:color w:val="000000"/>
          <w:sz w:val="28"/>
          <w:u w:val="none"/>
          <w:effect w:val="none"/>
          <w:shd w:fill="auto" w:val="clear"/>
          <w:lang w:val="ru-RU"/>
        </w:rPr>
        <w:t>SlMAPK3</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наблюдалось снижение активности защитных ферментов, увеличение накопления активных форм кислорода (ROS) и нарушение баланса сигнальных путей салициловой (SA) и жасмоновой (JA) кислот, что снижало устойчивость к патогену [188]. Целевой мутагенез гена </w:t>
      </w:r>
      <w:r>
        <w:rPr>
          <w:rFonts w:ascii="Times New Roman" w:hAnsi="Times New Roman"/>
          <w:b w:val="false"/>
          <w:i/>
          <w:caps w:val="false"/>
          <w:smallCaps w:val="false"/>
          <w:strike w:val="false"/>
          <w:dstrike w:val="false"/>
          <w:color w:val="000000"/>
          <w:sz w:val="28"/>
          <w:u w:val="none"/>
          <w:effect w:val="none"/>
          <w:shd w:fill="auto" w:val="clear"/>
          <w:lang w:val="ru-RU"/>
        </w:rPr>
        <w:t>PMR4</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в томатах создал мутанты с различными мутациями, включая делеции и инверсии, которые снизили восприимчивость к патогену </w:t>
      </w:r>
      <w:r>
        <w:rPr>
          <w:rFonts w:ascii="Times New Roman" w:hAnsi="Times New Roman"/>
          <w:b w:val="false"/>
          <w:i/>
          <w:caps w:val="false"/>
          <w:smallCaps w:val="false"/>
          <w:strike w:val="false"/>
          <w:dstrike w:val="false"/>
          <w:color w:val="000000"/>
          <w:sz w:val="28"/>
          <w:u w:val="none"/>
          <w:effect w:val="none"/>
          <w:shd w:fill="auto" w:val="clear"/>
          <w:lang w:val="ru-RU"/>
        </w:rPr>
        <w:t>Oidium neolycopersici</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за счет активации защитных механизмов, таких как гиперчувствительная реакция (HR), но не обеспечили полной устойчивости к мучнистой росе [120]. С помощью CRISPR-Cas9 у томатов был удален ген </w:t>
      </w:r>
      <w:r>
        <w:rPr>
          <w:rFonts w:ascii="Times New Roman" w:hAnsi="Times New Roman"/>
          <w:b w:val="false"/>
          <w:i/>
          <w:caps w:val="false"/>
          <w:smallCaps w:val="false"/>
          <w:strike w:val="false"/>
          <w:dstrike w:val="false"/>
          <w:color w:val="000000"/>
          <w:sz w:val="28"/>
          <w:u w:val="none"/>
          <w:effect w:val="none"/>
          <w:shd w:fill="auto" w:val="clear"/>
          <w:lang w:val="ru-RU"/>
        </w:rPr>
        <w:t>MYBS2</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и была установлена его важная роль в устойчивости к возбудителю </w:t>
      </w:r>
      <w:r>
        <w:rPr>
          <w:rFonts w:ascii="Times New Roman" w:hAnsi="Times New Roman"/>
          <w:b w:val="false"/>
          <w:i/>
          <w:caps w:val="false"/>
          <w:smallCaps w:val="false"/>
          <w:strike w:val="false"/>
          <w:dstrike w:val="false"/>
          <w:color w:val="000000"/>
          <w:sz w:val="28"/>
          <w:u w:val="none"/>
          <w:effect w:val="none"/>
          <w:shd w:fill="auto" w:val="clear"/>
          <w:lang w:val="ru-RU"/>
        </w:rPr>
        <w:t>Phytophthora infestans</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вызывающему фитофтороз, регулируя уровень активных форм кислорода (ROS) и экспрессию генов, связанных с защитными механизмами растений [182]. Инактивация гена </w:t>
      </w:r>
      <w:r>
        <w:rPr>
          <w:rFonts w:ascii="Times New Roman" w:hAnsi="Times New Roman"/>
          <w:b w:val="false"/>
          <w:i/>
          <w:caps w:val="false"/>
          <w:smallCaps w:val="false"/>
          <w:strike w:val="false"/>
          <w:dstrike w:val="false"/>
          <w:color w:val="000000"/>
          <w:sz w:val="28"/>
          <w:u w:val="none"/>
          <w:effect w:val="none"/>
          <w:shd w:fill="auto" w:val="clear"/>
          <w:lang w:val="ru-RU"/>
        </w:rPr>
        <w:t>SlDMR6-1</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в томатах привело к созданию линий с широким спектром устойчивости к различным патогенам, включая бактерии, оомицеты и грибы. Инактивация этого гена повысила уровни салициловой кислоты и активировала защитные реакции растений [183]. Нокаут гена </w:t>
      </w:r>
      <w:r>
        <w:rPr>
          <w:rFonts w:ascii="Times New Roman" w:hAnsi="Times New Roman"/>
          <w:b w:val="false"/>
          <w:i/>
          <w:caps w:val="false"/>
          <w:smallCaps w:val="false"/>
          <w:strike w:val="false"/>
          <w:dstrike w:val="false"/>
          <w:color w:val="000000"/>
          <w:sz w:val="28"/>
          <w:u w:val="none"/>
          <w:effect w:val="none"/>
          <w:shd w:fill="auto" w:val="clear"/>
          <w:lang w:val="ru-RU"/>
        </w:rPr>
        <w:t>SlATG5</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у томатов с использованием CRISPR/Cas9 показал снижение устойчивости плодов к серой гнили (</w:t>
      </w:r>
      <w:r>
        <w:rPr>
          <w:rFonts w:ascii="Times New Roman" w:hAnsi="Times New Roman"/>
          <w:b w:val="false"/>
          <w:i/>
          <w:caps w:val="false"/>
          <w:smallCaps w:val="false"/>
          <w:strike w:val="false"/>
          <w:dstrike w:val="false"/>
          <w:color w:val="000000"/>
          <w:sz w:val="28"/>
          <w:u w:val="none"/>
          <w:effect w:val="none"/>
          <w:shd w:fill="auto" w:val="clear"/>
          <w:lang w:val="ru-RU"/>
        </w:rPr>
        <w:t>Botrytis cinerea</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 из-за нарушения формирования аутофагосом, снижения активности защитных ферментов и изменения регуляции сигнальных путей салициловой и жасмоновой кислот, что подчеркивает ключевую роль </w:t>
      </w:r>
      <w:r>
        <w:rPr>
          <w:rFonts w:ascii="Times New Roman" w:hAnsi="Times New Roman"/>
          <w:b w:val="false"/>
          <w:i/>
          <w:caps w:val="false"/>
          <w:smallCaps w:val="false"/>
          <w:strike w:val="false"/>
          <w:dstrike w:val="false"/>
          <w:color w:val="000000"/>
          <w:sz w:val="28"/>
          <w:u w:val="none"/>
          <w:effect w:val="none"/>
          <w:shd w:fill="auto" w:val="clear"/>
          <w:lang w:val="ru-RU"/>
        </w:rPr>
        <w:t>SlATG5</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 xml:space="preserve">в активации защитных механизмов растений [186]. Мутации в гене </w:t>
      </w:r>
      <w:r>
        <w:rPr>
          <w:rFonts w:ascii="Times New Roman" w:hAnsi="Times New Roman"/>
          <w:b w:val="false"/>
          <w:i/>
          <w:caps w:val="false"/>
          <w:smallCaps w:val="false"/>
          <w:strike w:val="false"/>
          <w:dstrike w:val="false"/>
          <w:color w:val="000000"/>
          <w:sz w:val="28"/>
          <w:u w:val="none"/>
          <w:effect w:val="none"/>
          <w:shd w:fill="auto" w:val="clear"/>
          <w:lang w:val="ru-RU"/>
        </w:rPr>
        <w:t>SlDND1</w:t>
      </w:r>
      <w:r>
        <w:rPr>
          <w:rFonts w:ascii="Times New Roman" w:hAnsi="Times New Roman"/>
          <w:caps w:val="false"/>
          <w:smallCaps w:val="false"/>
          <w:strike w:val="false"/>
          <w:dstrike w:val="false"/>
          <w:color w:val="000000"/>
          <w:u w:val="none"/>
          <w:effect w:val="none"/>
          <w:shd w:fill="auto" w:val="clear"/>
          <w:lang w:val="ru-RU"/>
        </w:rPr>
        <w:t xml:space="preserve"> </w:t>
      </w:r>
      <w:r>
        <w:rPr>
          <w:rFonts w:ascii="Times New Roman" w:hAnsi="Times New Roman"/>
          <w:b w:val="false"/>
          <w:i w:val="false"/>
          <w:caps w:val="false"/>
          <w:smallCaps w:val="false"/>
          <w:strike w:val="false"/>
          <w:dstrike w:val="false"/>
          <w:color w:val="000000"/>
          <w:sz w:val="28"/>
          <w:u w:val="none"/>
          <w:effect w:val="none"/>
          <w:shd w:fill="auto" w:val="clear"/>
          <w:lang w:val="ru-RU"/>
        </w:rPr>
        <w:t>у томатов позволили значительно повысить их устойчивость к мучнистой росе, при этом различные мутации продемонстрировали разнообразные фенотипы: от карликовости и авто-некроза до сохранения нормального роста растений при улучшенной устойчивости к патогену [185].</w:t>
      </w:r>
    </w:p>
    <w:p>
      <w:pPr>
        <w:pStyle w:val="BodyText"/>
        <w:spacing w:lineRule="auto" w:line="240" w:before="0" w:after="140"/>
        <w:ind w:firstLine="737" w:start="0" w:end="0"/>
        <w:jc w:val="both"/>
        <w:rPr>
          <w:rFonts w:ascii="Times New Roman" w:hAnsi="Times New Roman"/>
        </w:rPr>
      </w:pPr>
      <w:r>
        <w:rPr>
          <w:rFonts w:ascii="Times New Roman" w:hAnsi="Times New Roman"/>
          <w:b w:val="false"/>
          <w:i w:val="false"/>
          <w:caps w:val="false"/>
          <w:smallCaps w:val="false"/>
          <w:strike w:val="false"/>
          <w:dstrike w:val="false"/>
          <w:color w:val="000000"/>
          <w:sz w:val="28"/>
          <w:u w:val="none"/>
          <w:effect w:val="none"/>
          <w:shd w:fill="auto" w:val="clear"/>
          <w:lang w:val="ru-RU"/>
        </w:rPr>
        <w:t>CRISPR/Cas9 открыл новую эру точного земледелия, предлагая решения некоторых из наиболее актуальных проблем в растениеводстве. Его способность повышать урожайность, улучшать устойчивость к стрессам и обогащать питательные вещества делает его краеугольной технологией для устойчивого сельского хозяйства. Однако решение технических, нормативных и этических проблем будет иметь решающее значение для ее повсеместного внедрения.</w:t>
      </w:r>
      <w:r>
        <w:br w:type="page"/>
      </w:r>
    </w:p>
    <w:p>
      <w:pPr>
        <w:pStyle w:val="Normal"/>
        <w:spacing w:before="0" w:after="0"/>
        <w:ind w:firstLine="737" w:start="0" w:end="0"/>
        <w:jc w:val="center"/>
        <w:rPr>
          <w:rFonts w:ascii="Times New Roman" w:hAnsi="Times New Roman"/>
        </w:rPr>
      </w:pPr>
      <w:r>
        <w:rPr>
          <w:rFonts w:ascii="Times New Roman" w:hAnsi="Times New Roman"/>
          <w:b/>
          <w:bCs/>
          <w:i w:val="false"/>
          <w:iCs w:val="false"/>
          <w:sz w:val="28"/>
          <w:szCs w:val="28"/>
          <w:lang w:val="ru-RU"/>
        </w:rPr>
        <w:t>2 МАТЕРИАЛЫ И МЕТОДЫ</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rPr>
      </w:pPr>
      <w:r>
        <w:rPr>
          <w:rFonts w:ascii="Times New Roman" w:hAnsi="Times New Roman"/>
          <w:sz w:val="28"/>
          <w:szCs w:val="28"/>
          <w:lang w:val="ru-RU"/>
        </w:rPr>
        <w:t>2.1 Материалы</w:t>
      </w:r>
    </w:p>
    <w:p>
      <w:pPr>
        <w:pStyle w:val="Normal"/>
        <w:ind w:firstLine="737" w:start="0" w:end="0"/>
        <w:jc w:val="both"/>
        <w:rPr>
          <w:rFonts w:ascii="Times New Roman" w:hAnsi="Times New Roman"/>
        </w:rPr>
      </w:pPr>
      <w:r>
        <w:rPr>
          <w:rFonts w:ascii="Times New Roman" w:hAnsi="Times New Roman"/>
          <w:sz w:val="28"/>
          <w:szCs w:val="28"/>
          <w:lang w:val="ru-RU"/>
        </w:rPr>
        <w:t xml:space="preserve">1) Растительный материал: семена </w:t>
      </w:r>
      <w:r>
        <w:rPr>
          <w:rFonts w:ascii="Times New Roman" w:hAnsi="Times New Roman"/>
          <w:color w:val="000000"/>
          <w:sz w:val="28"/>
          <w:szCs w:val="28"/>
          <w:lang w:val="ru-RU"/>
        </w:rPr>
        <w:t>68</w:t>
      </w:r>
      <w:r>
        <w:rPr>
          <w:rFonts w:ascii="Times New Roman" w:hAnsi="Times New Roman"/>
          <w:sz w:val="28"/>
          <w:szCs w:val="28"/>
          <w:lang w:val="ru-RU"/>
        </w:rPr>
        <w:t xml:space="preserve"> сортов томата открытого грунта, полученные из коллекции Научно-исследовательского института плодоовощеводства (КазНИИПО), Алматы, Казахстан. Список сортов включал сорта казахстанской селекции, главным образом полученных в результате селекционных работ КазНИИПО, а также зарубежные сорта, главным образов из России и стран СНГ (</w:t>
      </w:r>
      <w:r>
        <w:rPr>
          <w:rFonts w:ascii="Times New Roman" w:hAnsi="Times New Roman"/>
          <w:color w:val="000000"/>
          <w:sz w:val="28"/>
          <w:szCs w:val="28"/>
          <w:shd w:fill="auto" w:val="clear"/>
          <w:lang w:val="ru-RU"/>
        </w:rPr>
        <w:t>таблица 5</w:t>
      </w:r>
      <w:r>
        <w:rPr>
          <w:rFonts w:ascii="Times New Roman" w:hAnsi="Times New Roman"/>
          <w:sz w:val="28"/>
          <w:szCs w:val="28"/>
          <w:lang w:val="ru-RU"/>
        </w:rPr>
        <w:t>).</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ind w:hanging="0" w:start="0" w:end="0"/>
        <w:jc w:val="both"/>
        <w:rPr>
          <w:rFonts w:ascii="Times New Roman" w:hAnsi="Times New Roman"/>
        </w:rPr>
      </w:pPr>
      <w:r>
        <w:rPr>
          <w:rFonts w:ascii="Times New Roman" w:hAnsi="Times New Roman"/>
          <w:sz w:val="28"/>
          <w:szCs w:val="28"/>
          <w:lang w:val="ru-RU"/>
        </w:rPr>
        <w:t>Таблица 5 – Список сортов томата, использованных в работе</w:t>
      </w:r>
    </w:p>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p>
    <w:tbl>
      <w:tblPr>
        <w:tblW w:w="9636" w:type="dxa"/>
        <w:jc w:val="start"/>
        <w:tblInd w:w="34" w:type="dxa"/>
        <w:tblLayout w:type="fixed"/>
        <w:tblCellMar>
          <w:top w:w="55" w:type="dxa"/>
          <w:start w:w="55" w:type="dxa"/>
          <w:bottom w:w="55" w:type="dxa"/>
          <w:end w:w="55" w:type="dxa"/>
        </w:tblCellMar>
      </w:tblPr>
      <w:tblGrid>
        <w:gridCol w:w="1704"/>
        <w:gridCol w:w="2837"/>
        <w:gridCol w:w="2950"/>
        <w:gridCol w:w="2144"/>
      </w:tblGrid>
      <w:tr>
        <w:trPr/>
        <w:tc>
          <w:tcPr>
            <w:tcW w:w="1704"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Номер образца</w:t>
            </w:r>
          </w:p>
        </w:tc>
        <w:tc>
          <w:tcPr>
            <w:tcW w:w="2837"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Название сорта</w:t>
            </w:r>
          </w:p>
        </w:tc>
        <w:tc>
          <w:tcPr>
            <w:tcW w:w="2950"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Страна происхождения</w:t>
            </w:r>
          </w:p>
        </w:tc>
        <w:tc>
          <w:tcPr>
            <w:tcW w:w="2144" w:type="dxa"/>
            <w:tcBorders>
              <w:top w:val="single" w:sz="4" w:space="0" w:color="000000"/>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rPr>
            </w:pPr>
            <w:r>
              <w:rPr>
                <w:rFonts w:ascii="Times New Roman" w:hAnsi="Times New Roman"/>
                <w:sz w:val="24"/>
                <w:szCs w:val="24"/>
                <w:lang w:val="ru-RU"/>
              </w:rPr>
              <w:t>Входит в Госреестр селекционных достижений</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T001</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Чопортула*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Грузия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T003</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Загадка природы</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T005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Идилия</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T007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Яблочный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Узбекистан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T008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Шалун</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Ураган</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Сербия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Семка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T013</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Павлина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Пожар</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Беларусь</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Рассвет</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T019</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Денар</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Нидерланды</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T020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Гибрид 16155</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T022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Королек</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T024</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Спиридон</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T025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Венера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T026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Грейпфрутовый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T053</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Юсуповский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Узбекистан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T078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Липень</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Украина</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T114</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Жираф</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T122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Дама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Украина</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T150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Сердцевидный красный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T170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Жирик</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T185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Малика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bl>
    <w:p>
      <w:pPr>
        <w:pStyle w:val="Normal"/>
        <w:ind w:hanging="0" w:start="0" w:end="0"/>
        <w:jc w:val="both"/>
        <w:rPr>
          <w:rFonts w:ascii="Times New Roman" w:hAnsi="Times New Roman"/>
        </w:rPr>
      </w:pPr>
      <w:r>
        <w:rPr>
          <w:rFonts w:ascii="Times New Roman" w:hAnsi="Times New Roman"/>
          <w:sz w:val="28"/>
          <w:szCs w:val="28"/>
          <w:lang w:val="ru-RU"/>
        </w:rPr>
        <w:t>Продолжение таблицы 5</w:t>
      </w:r>
    </w:p>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p>
    <w:tbl>
      <w:tblPr>
        <w:tblW w:w="9636" w:type="dxa"/>
        <w:jc w:val="start"/>
        <w:tblInd w:w="34" w:type="dxa"/>
        <w:tblLayout w:type="fixed"/>
        <w:tblCellMar>
          <w:top w:w="55" w:type="dxa"/>
          <w:start w:w="55" w:type="dxa"/>
          <w:bottom w:w="55" w:type="dxa"/>
          <w:end w:w="55" w:type="dxa"/>
        </w:tblCellMar>
      </w:tblPr>
      <w:tblGrid>
        <w:gridCol w:w="1704"/>
        <w:gridCol w:w="2837"/>
        <w:gridCol w:w="2950"/>
        <w:gridCol w:w="2144"/>
      </w:tblGrid>
      <w:tr>
        <w:trPr/>
        <w:tc>
          <w:tcPr>
            <w:tcW w:w="1704"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Номер образца</w:t>
            </w:r>
          </w:p>
        </w:tc>
        <w:tc>
          <w:tcPr>
            <w:tcW w:w="2837"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Название сорта</w:t>
            </w:r>
          </w:p>
        </w:tc>
        <w:tc>
          <w:tcPr>
            <w:tcW w:w="2950"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Страна происхождения</w:t>
            </w:r>
          </w:p>
        </w:tc>
        <w:tc>
          <w:tcPr>
            <w:tcW w:w="2144" w:type="dxa"/>
            <w:tcBorders>
              <w:top w:val="single" w:sz="4" w:space="0" w:color="000000"/>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rPr>
            </w:pPr>
            <w:r>
              <w:rPr>
                <w:rFonts w:ascii="Times New Roman" w:hAnsi="Times New Roman"/>
                <w:sz w:val="24"/>
                <w:szCs w:val="24"/>
                <w:lang w:val="ru-RU"/>
              </w:rPr>
              <w:t>Входит в Госреестр селекционных достижений</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T187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Ружа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Беларусь</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T194</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Козырь</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T211</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Сюнник</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Армения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T217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Costoluto Biorentino</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Италия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T221</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Монах</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T235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Пятница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T237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Бармалей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T247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Колокола России</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T257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Аян</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T262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Оранжево-фиолетовый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T266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Lilliput Hybrid F1</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Италия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T290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Грибное лукошко</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T292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Сладкоежка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T296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Super Exotic</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T314</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Ранний 310</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Беларусь</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T316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Яркий румянец</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T317</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N7952691322</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T319</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Малиновый слон</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T320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Пальмира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T322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Ламбрузко</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T325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Principe Borghese</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Италия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T328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Толстушка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T330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Местный морковнолистный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T333</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Рассвет 362</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T335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Анаит</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Армения</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T336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33 Богатыря</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T338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Яблочный</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T340</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Магнат</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T341</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Мальвина</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T343</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Тузловец</w:t>
            </w:r>
          </w:p>
        </w:tc>
        <w:tc>
          <w:tcPr>
            <w:tcW w:w="2950"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144"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bl>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p>
    <w:p>
      <w:pPr>
        <w:pStyle w:val="Normal"/>
        <w:ind w:hanging="0" w:start="0" w:end="0"/>
        <w:jc w:val="both"/>
        <w:rPr>
          <w:rFonts w:ascii="Times New Roman" w:hAnsi="Times New Roman"/>
        </w:rPr>
      </w:pPr>
      <w:r>
        <w:rPr>
          <w:rFonts w:ascii="Times New Roman" w:hAnsi="Times New Roman"/>
          <w:sz w:val="28"/>
          <w:szCs w:val="28"/>
          <w:lang w:val="ru-RU"/>
        </w:rPr>
        <w:t>Окончание таблицы 5</w:t>
      </w:r>
    </w:p>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p>
    <w:tbl>
      <w:tblPr>
        <w:tblW w:w="9636" w:type="dxa"/>
        <w:jc w:val="start"/>
        <w:tblInd w:w="34" w:type="dxa"/>
        <w:tblLayout w:type="fixed"/>
        <w:tblCellMar>
          <w:top w:w="55" w:type="dxa"/>
          <w:start w:w="55" w:type="dxa"/>
          <w:bottom w:w="55" w:type="dxa"/>
          <w:end w:w="55" w:type="dxa"/>
        </w:tblCellMar>
      </w:tblPr>
      <w:tblGrid>
        <w:gridCol w:w="1704"/>
        <w:gridCol w:w="2837"/>
        <w:gridCol w:w="2883"/>
        <w:gridCol w:w="2211"/>
      </w:tblGrid>
      <w:tr>
        <w:trPr/>
        <w:tc>
          <w:tcPr>
            <w:tcW w:w="1704"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Номер образца</w:t>
            </w:r>
          </w:p>
        </w:tc>
        <w:tc>
          <w:tcPr>
            <w:tcW w:w="2837"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Название сорта</w:t>
            </w:r>
          </w:p>
        </w:tc>
        <w:tc>
          <w:tcPr>
            <w:tcW w:w="2883" w:type="dxa"/>
            <w:tcBorders>
              <w:top w:val="single" w:sz="4" w:space="0" w:color="000000"/>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Страна происхождения</w:t>
            </w:r>
          </w:p>
        </w:tc>
        <w:tc>
          <w:tcPr>
            <w:tcW w:w="2211" w:type="dxa"/>
            <w:tcBorders>
              <w:top w:val="single" w:sz="4" w:space="0" w:color="000000"/>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rPr>
            </w:pPr>
            <w:r>
              <w:rPr>
                <w:rFonts w:ascii="Times New Roman" w:hAnsi="Times New Roman"/>
                <w:sz w:val="24"/>
                <w:szCs w:val="24"/>
                <w:lang w:val="ru-RU"/>
              </w:rPr>
              <w:t>Входит в Госреестр селекционных достижений</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T444</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Красная Пресня</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T466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Победитель</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T479</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Малец</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T496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Никола</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T512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Русское лакомство</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T539</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Глория</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Молдова</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T562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Мечта</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T595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Меруерт</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T606</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Новичок</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РФ</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T609</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Восторг</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T612</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Лучезарный</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T625</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Самаладай</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T628</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Янтарный</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napToGrid w:val="false"/>
              <w:spacing w:lineRule="auto" w:line="240"/>
              <w:jc w:val="start"/>
              <w:rPr>
                <w:rFonts w:ascii="Times New Roman" w:hAnsi="Times New Roman"/>
                <w:sz w:val="24"/>
                <w:szCs w:val="24"/>
                <w:lang w:val="ru-RU"/>
              </w:rPr>
            </w:pPr>
            <w:r>
              <w:rPr>
                <w:rFonts w:ascii="Times New Roman" w:hAnsi="Times New Roman"/>
                <w:sz w:val="24"/>
                <w:szCs w:val="24"/>
                <w:lang w:val="ru-RU"/>
              </w:rPr>
            </w:r>
          </w:p>
        </w:tc>
      </w:tr>
      <w:tr>
        <w:trPr/>
        <w:tc>
          <w:tcPr>
            <w:tcW w:w="1704"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T631</w:t>
            </w:r>
          </w:p>
        </w:tc>
        <w:tc>
          <w:tcPr>
            <w:tcW w:w="2837"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Лидер</w:t>
            </w:r>
          </w:p>
        </w:tc>
        <w:tc>
          <w:tcPr>
            <w:tcW w:w="2883" w:type="dxa"/>
            <w:tcBorders>
              <w:start w:val="single" w:sz="4" w:space="0" w:color="000000"/>
              <w:bottom w:val="single" w:sz="4" w:space="0" w:color="000000"/>
            </w:tcBorders>
            <w:vAlign w:val="bottom"/>
          </w:tcPr>
          <w:p>
            <w:pPr>
              <w:pStyle w:val="Normal"/>
              <w:bidi w:val="0"/>
              <w:spacing w:lineRule="auto" w:line="240"/>
              <w:jc w:val="start"/>
              <w:rPr>
                <w:rFonts w:ascii="Times New Roman" w:hAnsi="Times New Roman"/>
              </w:rPr>
            </w:pPr>
            <w:r>
              <w:rPr>
                <w:rFonts w:ascii="Times New Roman" w:hAnsi="Times New Roman"/>
                <w:sz w:val="24"/>
                <w:szCs w:val="24"/>
                <w:lang w:val="ru-RU"/>
              </w:rPr>
              <w:t>Казахстан</w:t>
            </w:r>
          </w:p>
        </w:tc>
        <w:tc>
          <w:tcPr>
            <w:tcW w:w="2211" w:type="dxa"/>
            <w:tcBorders>
              <w:start w:val="single" w:sz="4" w:space="0" w:color="000000"/>
              <w:bottom w:val="single" w:sz="4" w:space="0" w:color="000000"/>
              <w:end w:val="single" w:sz="4" w:space="0" w:color="000000"/>
            </w:tcBorders>
            <w:vAlign w:val="bottom"/>
          </w:tcPr>
          <w:p>
            <w:pPr>
              <w:pStyle w:val="TableContents"/>
              <w:bidi w:val="0"/>
              <w:spacing w:lineRule="auto" w:line="240"/>
              <w:jc w:val="start"/>
              <w:rPr>
                <w:rFonts w:ascii="Times New Roman" w:hAnsi="Times New Roman"/>
              </w:rPr>
            </w:pPr>
            <w:r>
              <w:rPr>
                <w:rFonts w:ascii="Times New Roman" w:hAnsi="Times New Roman"/>
                <w:sz w:val="24"/>
                <w:szCs w:val="24"/>
                <w:lang w:val="ru-RU"/>
              </w:rPr>
              <w:t>Да</w:t>
            </w:r>
          </w:p>
        </w:tc>
      </w:tr>
    </w:tbl>
    <w:p>
      <w:pPr>
        <w:pStyle w:val="Normal"/>
        <w:ind w:firstLine="720" w:start="0" w:end="0"/>
        <w:jc w:val="both"/>
        <w:rPr>
          <w:rFonts w:ascii="Times New Roman" w:hAnsi="Times New Roman"/>
          <w:sz w:val="28"/>
          <w:szCs w:val="28"/>
          <w:lang w:val="ru-RU"/>
        </w:rPr>
      </w:pPr>
      <w:r>
        <w:rPr>
          <w:rFonts w:ascii="Times New Roman" w:hAnsi="Times New Roman"/>
          <w:sz w:val="28"/>
          <w:szCs w:val="28"/>
          <w:lang w:val="ru-RU"/>
        </w:rPr>
      </w:r>
    </w:p>
    <w:p>
      <w:pPr>
        <w:pStyle w:val="Normal"/>
        <w:ind w:firstLine="720" w:start="0" w:end="0"/>
        <w:jc w:val="both"/>
        <w:rPr>
          <w:rFonts w:ascii="Times New Roman" w:hAnsi="Times New Roman"/>
        </w:rPr>
      </w:pPr>
      <w:r>
        <w:rPr>
          <w:rFonts w:ascii="Times New Roman" w:hAnsi="Times New Roman"/>
          <w:sz w:val="28"/>
          <w:szCs w:val="28"/>
          <w:lang w:val="ru-RU"/>
        </w:rPr>
        <w:t>2) Выращивание растений: грунт на основе торфа «Почвобрикет Универсальный», «Почвобрикет Томат и Перец» («Биомастер», РФ); вермикулит; керамзит.</w:t>
      </w:r>
    </w:p>
    <w:p>
      <w:pPr>
        <w:pStyle w:val="Normal"/>
        <w:ind w:firstLine="720" w:start="0" w:end="0"/>
        <w:jc w:val="both"/>
        <w:rPr>
          <w:rFonts w:ascii="Times New Roman" w:hAnsi="Times New Roman"/>
        </w:rPr>
      </w:pPr>
      <w:r>
        <w:rPr>
          <w:rFonts w:ascii="Times New Roman" w:hAnsi="Times New Roman"/>
          <w:sz w:val="28"/>
          <w:szCs w:val="28"/>
          <w:lang w:val="ru-RU"/>
        </w:rPr>
        <w:t>3) Реагенты для выделения нуклеиновых кислот: буфер CTAB ( 2% м./об. бромида гексадецилтриметиламмония (CTAB), 2% м./об. поливинилпирролидона (PVP), 1.4 моль/л хлорида натрия, 20 ммоль/л этилендиаминтетраацетата натрия (ЭДТА) pH 8,0, 100 ммоль/л трис-(гидроксиметил)аминометана гидрохлорида pH 8,0, 0,2% об. Β-меркаптоэтанола); этанол 96% и 70%; раствор 5 моль/л хлорида натрия; РНКаза А (Thermo Fisher, США); ДНКаза 1 (Thermo Fisher, США).</w:t>
      </w:r>
    </w:p>
    <w:p>
      <w:pPr>
        <w:pStyle w:val="Normal"/>
        <w:ind w:firstLine="720" w:start="0" w:end="0"/>
        <w:jc w:val="both"/>
        <w:rPr>
          <w:rFonts w:ascii="Times New Roman" w:hAnsi="Times New Roman"/>
        </w:rPr>
      </w:pPr>
      <w:r>
        <w:rPr>
          <w:rFonts w:ascii="Times New Roman" w:hAnsi="Times New Roman"/>
          <w:sz w:val="28"/>
          <w:szCs w:val="28"/>
          <w:lang w:val="ru-RU"/>
        </w:rPr>
        <w:t xml:space="preserve">4) Реагенты для ПЦР, рестрикции, лигирования: </w:t>
      </w:r>
      <w:r>
        <w:rPr>
          <w:rFonts w:ascii="Times New Roman" w:hAnsi="Times New Roman"/>
          <w:sz w:val="28"/>
          <w:szCs w:val="24"/>
          <w:lang w:val="ru-RU"/>
        </w:rPr>
        <w:t>Полимеразы: Taq-полимераза (Taq DNA Polymerase, (5 ед./мкл)). Буфер реакции: 1X Taq-буфер (10Х: 100 м</w:t>
      </w:r>
      <w:r>
        <w:rPr>
          <w:rFonts w:ascii="Times New Roman" w:hAnsi="Times New Roman"/>
          <w:sz w:val="28"/>
          <w:szCs w:val="28"/>
          <w:lang w:val="ru-RU"/>
        </w:rPr>
        <w:t>моль/л</w:t>
      </w:r>
      <w:r>
        <w:rPr>
          <w:rFonts w:ascii="Times New Roman" w:hAnsi="Times New Roman"/>
          <w:sz w:val="28"/>
          <w:szCs w:val="24"/>
          <w:lang w:val="ru-RU"/>
        </w:rPr>
        <w:t xml:space="preserve"> Tris-HCl pH8.8, 500 м</w:t>
      </w:r>
      <w:r>
        <w:rPr>
          <w:rFonts w:ascii="Times New Roman" w:hAnsi="Times New Roman"/>
          <w:sz w:val="28"/>
          <w:szCs w:val="28"/>
          <w:lang w:val="ru-RU"/>
        </w:rPr>
        <w:t>моль/л</w:t>
      </w:r>
      <w:r>
        <w:rPr>
          <w:rFonts w:ascii="Times New Roman" w:hAnsi="Times New Roman"/>
          <w:sz w:val="28"/>
          <w:szCs w:val="24"/>
          <w:lang w:val="ru-RU"/>
        </w:rPr>
        <w:t xml:space="preserve"> хлорид калия, 0,8% Nonidet P40), 2,5мМ MgCl2; Pfu-полимераза (Pfu DNA Polymerase, (5 ед./мкл), Therm Fisher, США). Буфер реакции: 1Х Pfu буфер (10Х: 200 м</w:t>
      </w:r>
      <w:r>
        <w:rPr>
          <w:rFonts w:ascii="Times New Roman" w:hAnsi="Times New Roman"/>
          <w:sz w:val="28"/>
          <w:szCs w:val="28"/>
          <w:lang w:val="ru-RU"/>
        </w:rPr>
        <w:t>моль/л</w:t>
      </w:r>
      <w:r>
        <w:rPr>
          <w:rFonts w:ascii="Times New Roman" w:hAnsi="Times New Roman"/>
          <w:sz w:val="28"/>
          <w:szCs w:val="24"/>
          <w:lang w:val="ru-RU"/>
        </w:rPr>
        <w:t xml:space="preserve"> Трис-HCl, 100 м</w:t>
      </w:r>
      <w:r>
        <w:rPr>
          <w:rFonts w:ascii="Times New Roman" w:hAnsi="Times New Roman"/>
          <w:sz w:val="28"/>
          <w:szCs w:val="28"/>
          <w:lang w:val="ru-RU"/>
        </w:rPr>
        <w:t>моль/л</w:t>
      </w:r>
      <w:r>
        <w:rPr>
          <w:rFonts w:ascii="Times New Roman" w:hAnsi="Times New Roman"/>
          <w:sz w:val="28"/>
          <w:szCs w:val="24"/>
          <w:lang w:val="ru-RU"/>
        </w:rPr>
        <w:t xml:space="preserve"> сульфат аммония, 100 м</w:t>
      </w:r>
      <w:r>
        <w:rPr>
          <w:rFonts w:ascii="Times New Roman" w:hAnsi="Times New Roman"/>
          <w:sz w:val="28"/>
          <w:szCs w:val="28"/>
          <w:lang w:val="ru-RU"/>
        </w:rPr>
        <w:t>моль/л</w:t>
      </w:r>
      <w:r>
        <w:rPr>
          <w:rFonts w:ascii="Times New Roman" w:hAnsi="Times New Roman"/>
          <w:sz w:val="28"/>
          <w:szCs w:val="24"/>
          <w:lang w:val="ru-RU"/>
        </w:rPr>
        <w:t xml:space="preserve"> хлорид калия, 1% Triton X-100, 1мг/мл BSA), 2 м</w:t>
      </w:r>
      <w:r>
        <w:rPr>
          <w:rFonts w:ascii="Times New Roman" w:hAnsi="Times New Roman"/>
          <w:sz w:val="28"/>
          <w:szCs w:val="28"/>
          <w:lang w:val="ru-RU"/>
        </w:rPr>
        <w:t>моль/л</w:t>
      </w:r>
      <w:r>
        <w:rPr>
          <w:rFonts w:ascii="Times New Roman" w:hAnsi="Times New Roman"/>
          <w:sz w:val="28"/>
          <w:szCs w:val="24"/>
          <w:lang w:val="ru-RU"/>
        </w:rPr>
        <w:t xml:space="preserve"> сульфат магния.</w:t>
      </w:r>
    </w:p>
    <w:p>
      <w:pPr>
        <w:pStyle w:val="Normal"/>
        <w:ind w:firstLine="737" w:start="0" w:end="0"/>
        <w:jc w:val="both"/>
        <w:rPr>
          <w:rFonts w:ascii="Times New Roman" w:hAnsi="Times New Roman"/>
        </w:rPr>
      </w:pPr>
      <w:r>
        <w:rPr>
          <w:rFonts w:ascii="Times New Roman" w:hAnsi="Times New Roman"/>
          <w:sz w:val="28"/>
          <w:szCs w:val="24"/>
          <w:lang w:val="ru-RU"/>
        </w:rPr>
        <w:t xml:space="preserve">Рестриктазы: </w:t>
      </w:r>
      <w:r>
        <w:rPr>
          <w:rFonts w:ascii="Times New Roman" w:hAnsi="Times New Roman"/>
          <w:i/>
          <w:iCs/>
          <w:sz w:val="28"/>
          <w:szCs w:val="24"/>
          <w:lang w:val="ru-RU"/>
        </w:rPr>
        <w:t>Eco3</w:t>
      </w:r>
      <w:r>
        <w:rPr>
          <w:rFonts w:ascii="Times New Roman" w:hAnsi="Times New Roman"/>
          <w:sz w:val="28"/>
          <w:szCs w:val="24"/>
          <w:lang w:val="ru-RU"/>
        </w:rPr>
        <w:t>1I (</w:t>
      </w:r>
      <w:r>
        <w:rPr>
          <w:rFonts w:ascii="Times New Roman" w:hAnsi="Times New Roman"/>
          <w:i/>
          <w:iCs/>
          <w:sz w:val="28"/>
          <w:szCs w:val="24"/>
          <w:lang w:val="ru-RU"/>
        </w:rPr>
        <w:t>BsaI</w:t>
      </w:r>
      <w:r>
        <w:rPr>
          <w:rFonts w:ascii="Times New Roman" w:hAnsi="Times New Roman"/>
          <w:sz w:val="28"/>
          <w:szCs w:val="24"/>
          <w:lang w:val="ru-RU"/>
        </w:rPr>
        <w:t xml:space="preserve">), </w:t>
      </w:r>
      <w:r>
        <w:rPr>
          <w:rFonts w:ascii="Times New Roman" w:hAnsi="Times New Roman"/>
          <w:i/>
          <w:iCs/>
          <w:sz w:val="28"/>
          <w:szCs w:val="24"/>
          <w:lang w:val="ru-RU"/>
        </w:rPr>
        <w:t>KspA</w:t>
      </w:r>
      <w:r>
        <w:rPr>
          <w:rFonts w:ascii="Times New Roman" w:hAnsi="Times New Roman"/>
          <w:sz w:val="28"/>
          <w:szCs w:val="24"/>
          <w:lang w:val="ru-RU"/>
        </w:rPr>
        <w:t>I (</w:t>
      </w:r>
      <w:r>
        <w:rPr>
          <w:rFonts w:ascii="Times New Roman" w:hAnsi="Times New Roman"/>
          <w:i/>
          <w:iCs/>
          <w:sz w:val="28"/>
          <w:szCs w:val="24"/>
          <w:lang w:val="ru-RU"/>
        </w:rPr>
        <w:t>Hpa</w:t>
      </w:r>
      <w:r>
        <w:rPr>
          <w:rFonts w:ascii="Times New Roman" w:hAnsi="Times New Roman"/>
          <w:sz w:val="28"/>
          <w:szCs w:val="24"/>
          <w:lang w:val="ru-RU"/>
        </w:rPr>
        <w:t>I),</w:t>
      </w:r>
      <w:r>
        <w:rPr>
          <w:rFonts w:ascii="Times New Roman" w:hAnsi="Times New Roman"/>
          <w:i/>
          <w:iCs/>
          <w:sz w:val="28"/>
          <w:szCs w:val="24"/>
          <w:lang w:val="ru-RU"/>
        </w:rPr>
        <w:t xml:space="preserve"> Hpy</w:t>
      </w:r>
      <w:r>
        <w:rPr>
          <w:rFonts w:ascii="Times New Roman" w:hAnsi="Times New Roman"/>
          <w:sz w:val="28"/>
          <w:szCs w:val="24"/>
          <w:lang w:val="ru-RU"/>
        </w:rPr>
        <w:t>F3I (</w:t>
      </w:r>
      <w:r>
        <w:rPr>
          <w:rFonts w:ascii="Times New Roman" w:hAnsi="Times New Roman"/>
          <w:i/>
          <w:iCs/>
          <w:sz w:val="28"/>
          <w:szCs w:val="24"/>
          <w:lang w:val="ru-RU"/>
        </w:rPr>
        <w:t>Dde</w:t>
      </w:r>
      <w:r>
        <w:rPr>
          <w:rFonts w:ascii="Times New Roman" w:hAnsi="Times New Roman"/>
          <w:sz w:val="28"/>
          <w:szCs w:val="24"/>
          <w:lang w:val="ru-RU"/>
        </w:rPr>
        <w:t xml:space="preserve">I), </w:t>
      </w:r>
      <w:r>
        <w:rPr>
          <w:rFonts w:ascii="Times New Roman" w:hAnsi="Times New Roman"/>
          <w:i/>
          <w:iCs/>
          <w:sz w:val="28"/>
          <w:szCs w:val="24"/>
          <w:lang w:val="ru-RU"/>
        </w:rPr>
        <w:t>Bst</w:t>
      </w:r>
      <w:r>
        <w:rPr>
          <w:rFonts w:ascii="Times New Roman" w:hAnsi="Times New Roman"/>
          <w:sz w:val="28"/>
          <w:szCs w:val="24"/>
          <w:lang w:val="ru-RU"/>
        </w:rPr>
        <w:t>1107I (</w:t>
      </w:r>
      <w:r>
        <w:rPr>
          <w:rFonts w:ascii="Times New Roman" w:hAnsi="Times New Roman"/>
          <w:i/>
          <w:iCs/>
          <w:sz w:val="28"/>
          <w:szCs w:val="24"/>
          <w:lang w:val="ru-RU"/>
        </w:rPr>
        <w:t>Bst</w:t>
      </w:r>
      <w:r>
        <w:rPr>
          <w:rFonts w:ascii="Times New Roman" w:hAnsi="Times New Roman"/>
          <w:sz w:val="28"/>
          <w:szCs w:val="24"/>
          <w:lang w:val="ru-RU"/>
        </w:rPr>
        <w:t xml:space="preserve">Z17I), </w:t>
      </w:r>
      <w:r>
        <w:rPr>
          <w:rFonts w:ascii="Times New Roman" w:hAnsi="Times New Roman"/>
          <w:i/>
          <w:iCs/>
          <w:sz w:val="28"/>
          <w:szCs w:val="24"/>
          <w:lang w:val="ru-RU"/>
        </w:rPr>
        <w:t>Mun</w:t>
      </w:r>
      <w:r>
        <w:rPr>
          <w:rFonts w:ascii="Times New Roman" w:hAnsi="Times New Roman"/>
          <w:sz w:val="28"/>
          <w:szCs w:val="24"/>
          <w:lang w:val="ru-RU"/>
        </w:rPr>
        <w:t>I (</w:t>
      </w:r>
      <w:r>
        <w:rPr>
          <w:rFonts w:ascii="Times New Roman" w:hAnsi="Times New Roman"/>
          <w:i/>
          <w:iCs/>
          <w:sz w:val="28"/>
          <w:szCs w:val="24"/>
          <w:lang w:val="ru-RU"/>
        </w:rPr>
        <w:t>Mfe</w:t>
      </w:r>
      <w:r>
        <w:rPr>
          <w:rFonts w:ascii="Times New Roman" w:hAnsi="Times New Roman"/>
          <w:sz w:val="28"/>
          <w:szCs w:val="24"/>
          <w:lang w:val="ru-RU"/>
        </w:rPr>
        <w:t xml:space="preserve">I), </w:t>
      </w:r>
      <w:r>
        <w:rPr>
          <w:rFonts w:ascii="Times New Roman" w:hAnsi="Times New Roman"/>
          <w:i/>
          <w:iCs/>
          <w:sz w:val="28"/>
          <w:szCs w:val="24"/>
          <w:lang w:val="ru-RU"/>
        </w:rPr>
        <w:t>Rsa</w:t>
      </w:r>
      <w:r>
        <w:rPr>
          <w:rFonts w:ascii="Times New Roman" w:hAnsi="Times New Roman"/>
          <w:sz w:val="28"/>
          <w:szCs w:val="24"/>
          <w:lang w:val="ru-RU"/>
        </w:rPr>
        <w:t>I (Thermo Fisher, США); FastDigest</w:t>
      </w:r>
      <w:r>
        <w:rPr>
          <w:rFonts w:eastAsia="Liberation Serif" w:cs="Liberation Serif" w:ascii="Times New Roman" w:hAnsi="Times New Roman"/>
          <w:sz w:val="28"/>
          <w:szCs w:val="24"/>
          <w:lang w:val="ru-RU"/>
        </w:rPr>
        <w:t xml:space="preserve">™ </w:t>
      </w:r>
      <w:r>
        <w:rPr>
          <w:rFonts w:eastAsia="Liberation Serif" w:cs="Liberation Serif" w:ascii="Times New Roman" w:hAnsi="Times New Roman"/>
          <w:i/>
          <w:iCs/>
          <w:sz w:val="28"/>
          <w:szCs w:val="24"/>
          <w:lang w:val="ru-RU"/>
        </w:rPr>
        <w:t>Hin</w:t>
      </w:r>
      <w:r>
        <w:rPr>
          <w:rFonts w:eastAsia="Liberation Serif" w:cs="Liberation Serif" w:ascii="Times New Roman" w:hAnsi="Times New Roman"/>
          <w:sz w:val="28"/>
          <w:szCs w:val="24"/>
          <w:lang w:val="ru-RU"/>
        </w:rPr>
        <w:t xml:space="preserve">cII, </w:t>
      </w:r>
      <w:r>
        <w:rPr>
          <w:rFonts w:eastAsia="Liberation Serif" w:cs="Liberation Serif" w:ascii="Times New Roman" w:hAnsi="Times New Roman"/>
          <w:i/>
          <w:iCs/>
          <w:sz w:val="28"/>
          <w:szCs w:val="24"/>
          <w:lang w:val="ru-RU"/>
        </w:rPr>
        <w:t>Mva</w:t>
      </w:r>
      <w:r>
        <w:rPr>
          <w:rFonts w:eastAsia="Liberation Serif" w:cs="Liberation Serif" w:ascii="Times New Roman" w:hAnsi="Times New Roman"/>
          <w:sz w:val="28"/>
          <w:szCs w:val="24"/>
          <w:lang w:val="ru-RU"/>
        </w:rPr>
        <w:t>I  (</w:t>
      </w:r>
      <w:r>
        <w:rPr>
          <w:rFonts w:eastAsia="Liberation Serif" w:cs="Liberation Serif" w:ascii="Times New Roman" w:hAnsi="Times New Roman"/>
          <w:i/>
          <w:iCs/>
          <w:sz w:val="28"/>
          <w:szCs w:val="24"/>
          <w:lang w:val="ru-RU"/>
        </w:rPr>
        <w:t>Bst</w:t>
      </w:r>
      <w:r>
        <w:rPr>
          <w:rFonts w:eastAsia="Liberation Serif" w:cs="Liberation Serif" w:ascii="Times New Roman" w:hAnsi="Times New Roman"/>
          <w:sz w:val="28"/>
          <w:szCs w:val="24"/>
          <w:lang w:val="ru-RU"/>
        </w:rPr>
        <w:t xml:space="preserve">NI), </w:t>
      </w:r>
      <w:r>
        <w:rPr>
          <w:rFonts w:eastAsia="Liberation Serif" w:cs="Liberation Serif" w:ascii="Times New Roman" w:hAnsi="Times New Roman"/>
          <w:i/>
          <w:iCs/>
          <w:sz w:val="28"/>
          <w:szCs w:val="24"/>
          <w:lang w:val="ru-RU"/>
        </w:rPr>
        <w:t>Hinf</w:t>
      </w:r>
      <w:r>
        <w:rPr>
          <w:rFonts w:eastAsia="Liberation Serif" w:cs="Liberation Serif" w:ascii="Times New Roman" w:hAnsi="Times New Roman"/>
          <w:sz w:val="28"/>
          <w:szCs w:val="24"/>
          <w:lang w:val="ru-RU"/>
        </w:rPr>
        <w:t>I (Thermo Fisher, США); реакционные буферы, прилагаемые, согласно протоколам производителя.</w:t>
      </w:r>
    </w:p>
    <w:p>
      <w:pPr>
        <w:pStyle w:val="Normal"/>
        <w:ind w:firstLine="720" w:start="0" w:end="0"/>
        <w:jc w:val="both"/>
        <w:rPr>
          <w:rFonts w:ascii="Times New Roman" w:hAnsi="Times New Roman"/>
        </w:rPr>
      </w:pPr>
      <w:r>
        <w:rPr>
          <w:rFonts w:ascii="Times New Roman" w:hAnsi="Times New Roman"/>
          <w:sz w:val="28"/>
          <w:szCs w:val="24"/>
          <w:lang w:val="ru-RU"/>
        </w:rPr>
        <w:t>Т4 ДНК-лигаза (Thermo Fisher, США). Буфер реакции: 1Х Т4 buffer (400  м</w:t>
      </w:r>
      <w:r>
        <w:rPr>
          <w:rFonts w:ascii="Times New Roman" w:hAnsi="Times New Roman"/>
          <w:sz w:val="28"/>
          <w:szCs w:val="28"/>
          <w:lang w:val="ru-RU"/>
        </w:rPr>
        <w:t>моль/л</w:t>
      </w:r>
      <w:r>
        <w:rPr>
          <w:rFonts w:ascii="Times New Roman" w:hAnsi="Times New Roman"/>
          <w:sz w:val="28"/>
          <w:szCs w:val="24"/>
          <w:lang w:val="ru-RU"/>
        </w:rPr>
        <w:t xml:space="preserve"> Tris-HCl, 100 м</w:t>
      </w:r>
      <w:r>
        <w:rPr>
          <w:rFonts w:ascii="Times New Roman" w:hAnsi="Times New Roman"/>
          <w:sz w:val="28"/>
          <w:szCs w:val="28"/>
          <w:lang w:val="ru-RU"/>
        </w:rPr>
        <w:t>моль/л</w:t>
      </w:r>
      <w:r>
        <w:rPr>
          <w:rFonts w:ascii="Times New Roman" w:hAnsi="Times New Roman"/>
          <w:sz w:val="28"/>
          <w:szCs w:val="24"/>
          <w:lang w:val="ru-RU"/>
        </w:rPr>
        <w:t xml:space="preserve"> MgCl2, 100 м</w:t>
      </w:r>
      <w:r>
        <w:rPr>
          <w:rFonts w:ascii="Times New Roman" w:hAnsi="Times New Roman"/>
          <w:sz w:val="28"/>
          <w:szCs w:val="28"/>
          <w:lang w:val="ru-RU"/>
        </w:rPr>
        <w:t>моль/л</w:t>
      </w:r>
      <w:r>
        <w:rPr>
          <w:rFonts w:ascii="Times New Roman" w:hAnsi="Times New Roman"/>
          <w:sz w:val="28"/>
          <w:szCs w:val="24"/>
          <w:lang w:val="ru-RU"/>
        </w:rPr>
        <w:t xml:space="preserve">  DTT, 5 м</w:t>
      </w:r>
      <w:r>
        <w:rPr>
          <w:rFonts w:ascii="Times New Roman" w:hAnsi="Times New Roman"/>
          <w:sz w:val="28"/>
          <w:szCs w:val="28"/>
          <w:lang w:val="ru-RU"/>
        </w:rPr>
        <w:t>моль/л</w:t>
      </w:r>
      <w:r>
        <w:rPr>
          <w:rFonts w:ascii="Times New Roman" w:hAnsi="Times New Roman"/>
          <w:sz w:val="28"/>
          <w:szCs w:val="24"/>
          <w:lang w:val="ru-RU"/>
        </w:rPr>
        <w:t xml:space="preserve"> ATФ pH 7.8), 5% PEG4000. </w:t>
      </w:r>
    </w:p>
    <w:p>
      <w:pPr>
        <w:pStyle w:val="Normal"/>
        <w:ind w:firstLine="737" w:start="0" w:end="0"/>
        <w:jc w:val="both"/>
        <w:rPr/>
      </w:pPr>
      <w:r>
        <w:rPr>
          <w:rFonts w:ascii="Times New Roman" w:hAnsi="Times New Roman"/>
          <w:sz w:val="28"/>
          <w:szCs w:val="28"/>
          <w:lang w:val="ru-RU"/>
        </w:rPr>
        <w:t>5) Плазмиды: плазмида pCBC-DT1T2 (рисунок 6) [189] представляет собой промежуточный вектор для сборки и амплификации системы CRISPR/Cas9 для редактирования редактирования генома. Плазмида предоставлена по заказу компанией Addgene, США (</w:t>
      </w:r>
      <w:r>
        <w:rPr>
          <w:rFonts w:ascii="Times New Roman" w:hAnsi="Times New Roman"/>
          <w:i w:val="false"/>
          <w:iCs w:val="false"/>
          <w:sz w:val="28"/>
          <w:szCs w:val="28"/>
          <w:lang w:val="ru-RU"/>
        </w:rPr>
        <w:t xml:space="preserve">Addgene plasmid </w:t>
      </w:r>
      <w:r>
        <w:rPr>
          <w:rFonts w:ascii="Times New Roman" w:hAnsi="Times New Roman"/>
          <w:sz w:val="28"/>
          <w:szCs w:val="28"/>
          <w:lang w:val="ru-RU"/>
        </w:rPr>
        <w:t xml:space="preserve"># 50590 ; </w:t>
      </w:r>
      <w:hyperlink r:id="rId7">
        <w:r>
          <w:rPr>
            <w:rStyle w:val="Hyperlink"/>
            <w:rFonts w:ascii="Times New Roman" w:hAnsi="Times New Roman"/>
            <w:sz w:val="28"/>
            <w:szCs w:val="28"/>
            <w:lang w:val="ru-RU"/>
          </w:rPr>
          <w:t>http://n2t.net/addgene:50590</w:t>
        </w:r>
      </w:hyperlink>
      <w:r>
        <w:rPr>
          <w:rFonts w:ascii="Times New Roman" w:hAnsi="Times New Roman"/>
          <w:sz w:val="28"/>
          <w:szCs w:val="28"/>
          <w:lang w:val="ru-RU"/>
        </w:rPr>
        <w:t xml:space="preserve">). Плазмида pKSE401 (рисунок 7) [189] представляет собой бинарный вектор для клонирования кассеты системы CRISPR/Cas9 в клетках бактерий </w:t>
      </w:r>
      <w:r>
        <w:rPr>
          <w:rFonts w:ascii="Times New Roman" w:hAnsi="Times New Roman"/>
          <w:i/>
          <w:iCs/>
          <w:sz w:val="28"/>
          <w:szCs w:val="28"/>
          <w:lang w:val="ru-RU"/>
        </w:rPr>
        <w:t xml:space="preserve">Escherichia coli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 xml:space="preserve">Agrobacterium tumefaciens, </w:t>
      </w:r>
      <w:r>
        <w:rPr>
          <w:rFonts w:ascii="Times New Roman" w:hAnsi="Times New Roman"/>
          <w:i w:val="false"/>
          <w:iCs w:val="false"/>
          <w:sz w:val="28"/>
          <w:szCs w:val="28"/>
          <w:lang w:val="ru-RU"/>
        </w:rPr>
        <w:t xml:space="preserve">последующей трансформации и экспресии в клетках растений. Плазмида предоставлена по заказу компанией Addgene, США (Addgene plasmid # 62202 ; </w:t>
      </w:r>
      <w:hyperlink r:id="rId8">
        <w:r>
          <w:rPr>
            <w:rStyle w:val="Hyperlink"/>
            <w:rFonts w:ascii="Times New Roman" w:hAnsi="Times New Roman"/>
            <w:sz w:val="28"/>
            <w:szCs w:val="28"/>
            <w:lang w:val="ru-RU"/>
          </w:rPr>
          <w:t>http://n2t.net/addgene:62202</w:t>
        </w:r>
      </w:hyperlink>
      <w:r>
        <w:rPr>
          <w:rFonts w:ascii="Times New Roman" w:hAnsi="Times New Roman"/>
          <w:i w:val="false"/>
          <w:iCs w:val="false"/>
          <w:sz w:val="28"/>
          <w:szCs w:val="28"/>
          <w:lang w:val="ru-RU"/>
        </w:rPr>
        <w:t>).</w:t>
      </w:r>
    </w:p>
    <w:p>
      <w:pPr>
        <w:pStyle w:val="Normal"/>
        <w:ind w:firstLine="720" w:start="0" w:end="0"/>
        <w:jc w:val="both"/>
        <w:rPr>
          <w:rFonts w:ascii="Times New Roman" w:hAnsi="Times New Roman"/>
        </w:rPr>
      </w:pPr>
      <w:r>
        <w:rPr>
          <w:rFonts w:ascii="Times New Roman" w:hAnsi="Times New Roman"/>
          <w:sz w:val="28"/>
          <w:szCs w:val="28"/>
          <w:lang w:val="ru-RU"/>
        </w:rPr>
        <w:t xml:space="preserve">6) Клеточные линии: </w:t>
      </w:r>
      <w:r>
        <w:rPr>
          <w:rFonts w:cs="Times New Roman" w:ascii="Times New Roman" w:hAnsi="Times New Roman"/>
          <w:i w:val="false"/>
          <w:iCs w:val="false"/>
          <w:sz w:val="28"/>
          <w:szCs w:val="28"/>
          <w:lang w:val="ru-RU"/>
        </w:rPr>
        <w:t xml:space="preserve">Dh5α – компетентные клетки </w:t>
      </w:r>
      <w:r>
        <w:rPr>
          <w:rFonts w:cs="Times New Roman" w:ascii="Times New Roman" w:hAnsi="Times New Roman"/>
          <w:i/>
          <w:iCs/>
          <w:sz w:val="28"/>
          <w:szCs w:val="28"/>
          <w:lang w:val="ru-RU"/>
        </w:rPr>
        <w:t>Escherichia coli</w:t>
      </w:r>
      <w:r>
        <w:rPr>
          <w:rFonts w:cs="Times New Roman" w:ascii="Times New Roman" w:hAnsi="Times New Roman"/>
          <w:i w:val="false"/>
          <w:iCs w:val="false"/>
          <w:sz w:val="28"/>
          <w:szCs w:val="28"/>
          <w:lang w:val="ru-RU"/>
        </w:rPr>
        <w:t xml:space="preserve">;  ЕНА105 – компетентные клетки </w:t>
      </w:r>
      <w:r>
        <w:rPr>
          <w:rFonts w:cs="Times New Roman" w:ascii="Times New Roman" w:hAnsi="Times New Roman"/>
          <w:i/>
          <w:iCs/>
          <w:sz w:val="28"/>
          <w:szCs w:val="28"/>
          <w:lang w:val="ru-RU"/>
        </w:rPr>
        <w:t>Agrobacterium tumefaciens.</w:t>
      </w:r>
    </w:p>
    <w:p>
      <w:pPr>
        <w:pStyle w:val="Normal"/>
        <w:ind w:firstLine="720" w:start="0" w:end="0"/>
        <w:jc w:val="both"/>
        <w:rPr>
          <w:rFonts w:ascii="Times New Roman" w:hAnsi="Times New Roman"/>
        </w:rPr>
      </w:pPr>
      <w:r>
        <w:rPr>
          <w:rFonts w:ascii="Times New Roman" w:hAnsi="Times New Roman"/>
          <w:sz w:val="28"/>
          <w:szCs w:val="28"/>
          <w:lang w:val="ru-RU"/>
        </w:rPr>
        <w:t>7) Реактивы и материалы для гель-электрофореза и блоттинга:</w:t>
      </w:r>
    </w:p>
    <w:p>
      <w:pPr>
        <w:pStyle w:val="Normal"/>
        <w:ind w:firstLine="737" w:start="0" w:end="0"/>
        <w:jc w:val="both"/>
        <w:rPr>
          <w:rFonts w:ascii="Times New Roman" w:hAnsi="Times New Roman"/>
        </w:rPr>
      </w:pPr>
      <w:r>
        <w:rPr>
          <w:rFonts w:ascii="Times New Roman" w:hAnsi="Times New Roman"/>
          <w:i w:val="false"/>
          <w:iCs w:val="false"/>
          <w:sz w:val="28"/>
          <w:szCs w:val="24"/>
          <w:lang w:val="ru-RU"/>
        </w:rPr>
        <w:t xml:space="preserve">Буферы и реактивы для подготовки полиакриалмидного геля: 30% этилен-бис-акриламид и акриламид в соотношении 1:29, Tris-HCl pH 8.6, Tris-HCl pH 6.8, 10% PSA, TEMED, </w:t>
      </w:r>
      <w:r>
        <w:rPr>
          <w:rFonts w:cs="Times New Roman" w:ascii="Times New Roman" w:hAnsi="Times New Roman"/>
          <w:i w:val="false"/>
          <w:iCs w:val="false"/>
          <w:sz w:val="28"/>
          <w:szCs w:val="32"/>
          <w:lang w:val="ru-RU"/>
        </w:rPr>
        <w:t xml:space="preserve">400 мМ </w:t>
      </w:r>
      <w:r>
        <w:rPr>
          <w:rFonts w:ascii="Times New Roman" w:hAnsi="Times New Roman"/>
          <w:i w:val="false"/>
          <w:iCs w:val="false"/>
          <w:sz w:val="28"/>
          <w:szCs w:val="24"/>
          <w:lang w:val="ru-RU"/>
        </w:rPr>
        <w:t xml:space="preserve">Β-меркаптоэтанол, 10% додецисульфат натрия, глицерин, глицин, </w:t>
      </w:r>
      <w:r>
        <w:rPr>
          <w:rFonts w:cs="Times New Roman" w:ascii="Times New Roman" w:hAnsi="Times New Roman"/>
          <w:i w:val="false"/>
          <w:iCs w:val="false"/>
          <w:sz w:val="28"/>
          <w:szCs w:val="32"/>
          <w:lang w:val="ru-RU"/>
        </w:rPr>
        <w:t>CH</w:t>
      </w:r>
      <w:r>
        <w:rPr>
          <w:rFonts w:cs="Times New Roman" w:ascii="Times New Roman" w:hAnsi="Times New Roman"/>
          <w:i w:val="false"/>
          <w:iCs w:val="false"/>
          <w:sz w:val="28"/>
          <w:szCs w:val="32"/>
          <w:vertAlign w:val="subscript"/>
          <w:lang w:val="ru-RU"/>
        </w:rPr>
        <w:t>3</w:t>
      </w:r>
      <w:r>
        <w:rPr>
          <w:rFonts w:cs="Times New Roman" w:ascii="Times New Roman" w:hAnsi="Times New Roman"/>
          <w:i w:val="false"/>
          <w:iCs w:val="false"/>
          <w:sz w:val="28"/>
          <w:szCs w:val="32"/>
          <w:lang w:val="ru-RU"/>
        </w:rPr>
        <w:t>COOH, Coomassie Blue R250, изопропанол</w:t>
      </w:r>
      <w:r>
        <w:rPr>
          <w:rFonts w:ascii="Times New Roman" w:hAnsi="Times New Roman"/>
          <w:i w:val="false"/>
          <w:iCs w:val="false"/>
          <w:sz w:val="28"/>
          <w:szCs w:val="24"/>
          <w:lang w:val="ru-RU"/>
        </w:rPr>
        <w:t xml:space="preserve">. Буферы и реактивы для подготовки вестерн-блоттинга: изопропанол, Tris base, глицин, 10% SDS, </w:t>
      </w:r>
      <w:r>
        <w:rPr>
          <w:rFonts w:cs="Times New Roman" w:ascii="Times New Roman" w:hAnsi="Times New Roman"/>
          <w:i w:val="false"/>
          <w:iCs w:val="false"/>
          <w:sz w:val="28"/>
          <w:szCs w:val="32"/>
          <w:lang w:val="ru-RU"/>
        </w:rPr>
        <w:t xml:space="preserve">50 ммоль/л </w:t>
      </w:r>
      <w:r>
        <w:rPr>
          <w:rFonts w:ascii="Times New Roman" w:hAnsi="Times New Roman"/>
          <w:i w:val="false"/>
          <w:iCs w:val="false"/>
          <w:sz w:val="28"/>
          <w:szCs w:val="24"/>
          <w:lang w:val="ru-RU"/>
        </w:rPr>
        <w:t xml:space="preserve">Tris-HCl, рН 7,6, 150 ммоль/л хлорида , </w:t>
      </w:r>
      <w:r>
        <w:rPr>
          <w:rFonts w:cs="Times New Roman" w:ascii="Times New Roman" w:hAnsi="Times New Roman"/>
          <w:i w:val="false"/>
          <w:iCs w:val="false"/>
          <w:sz w:val="28"/>
          <w:szCs w:val="32"/>
          <w:lang w:val="ru-RU"/>
        </w:rPr>
        <w:t>Tween20, обезжиренное сухое молоко (ChemCruz, США), MgCl</w:t>
      </w:r>
      <w:r>
        <w:rPr>
          <w:rFonts w:cs="Times New Roman" w:ascii="Times New Roman" w:hAnsi="Times New Roman"/>
          <w:i w:val="false"/>
          <w:iCs w:val="false"/>
          <w:sz w:val="28"/>
          <w:szCs w:val="32"/>
          <w:vertAlign w:val="subscript"/>
          <w:lang w:val="ru-RU"/>
        </w:rPr>
        <w:t>2</w:t>
      </w:r>
      <w:r>
        <w:rPr>
          <w:rFonts w:cs="Times New Roman" w:ascii="Times New Roman" w:hAnsi="Times New Roman"/>
          <w:i w:val="false"/>
          <w:iCs w:val="false"/>
          <w:sz w:val="28"/>
          <w:szCs w:val="32"/>
          <w:lang w:val="ru-RU"/>
        </w:rPr>
        <w:t>, NBT (0,5 г, растворенного в 10 мл 70% DMSO), BCIP (0,5 г, растворенного в 10 мл 100%-ного DMSO). Использовалась PVDF-мембрана. В качестве первичных антител использовали специфичные антитела к белку Cas9 (0,5 мг/мл CRISPR/Cas9 Antibody 12HCLC ABfinity Rb oligoclonal, Invitrogen, США) в разведении. В качестве вторичных – конъюгированные с щелочной фосфатазой Sigma (А3687) вторичные антитела к кроличьему IgG, продуцированные в клетках козла, в разведении 1:30000.</w:t>
      </w:r>
    </w:p>
    <w:p>
      <w:pPr>
        <w:pStyle w:val="Normal"/>
        <w:ind w:firstLine="737" w:start="0" w:end="0"/>
        <w:jc w:val="both"/>
        <w:rPr>
          <w:rFonts w:ascii="Times New Roman" w:hAnsi="Times New Roman"/>
        </w:rPr>
      </w:pPr>
      <w:r>
        <w:rPr>
          <w:rFonts w:ascii="Times New Roman" w:hAnsi="Times New Roman"/>
          <w:sz w:val="28"/>
          <w:szCs w:val="24"/>
          <w:lang w:val="ru-RU"/>
        </w:rPr>
        <w:t xml:space="preserve">8) Питательные среды: жидкая и агаризованная среда Луриа-Бертани (ЛБ) для культивирования </w:t>
      </w:r>
      <w:r>
        <w:rPr>
          <w:rFonts w:ascii="Times New Roman" w:hAnsi="Times New Roman"/>
          <w:i/>
          <w:iCs/>
          <w:sz w:val="28"/>
          <w:szCs w:val="24"/>
          <w:lang w:val="ru-RU"/>
        </w:rPr>
        <w:t>E.coli</w:t>
      </w:r>
      <w:r>
        <w:rPr>
          <w:rFonts w:ascii="Times New Roman" w:hAnsi="Times New Roman"/>
          <w:sz w:val="28"/>
          <w:szCs w:val="24"/>
          <w:lang w:val="ru-RU"/>
        </w:rPr>
        <w:t xml:space="preserve">, агаризованная и жидкая среда </w:t>
      </w:r>
      <w:r>
        <w:rPr>
          <w:rFonts w:cs="Times New Roman" w:ascii="Times New Roman" w:hAnsi="Times New Roman"/>
          <w:sz w:val="28"/>
          <w:szCs w:val="32"/>
          <w:lang w:val="ru-RU"/>
        </w:rPr>
        <w:t xml:space="preserve">YEP (Yeast Extract Peptone) для культивирования </w:t>
      </w:r>
      <w:r>
        <w:rPr>
          <w:rFonts w:cs="Times New Roman" w:ascii="Times New Roman" w:hAnsi="Times New Roman"/>
          <w:i/>
          <w:sz w:val="28"/>
          <w:szCs w:val="32"/>
          <w:lang w:val="ru-RU"/>
        </w:rPr>
        <w:t>A. tumefaciens</w:t>
      </w:r>
      <w:r>
        <w:rPr>
          <w:rFonts w:cs="Times New Roman" w:ascii="Times New Roman" w:hAnsi="Times New Roman"/>
          <w:iCs/>
          <w:sz w:val="28"/>
          <w:szCs w:val="32"/>
          <w:lang w:val="ru-RU"/>
        </w:rPr>
        <w:t xml:space="preserve">, агаризованная среда Мурасиге-Скуга для выращивания растений и жидкая для кокультивации эксплантов с бактериями. </w:t>
      </w:r>
    </w:p>
    <w:p>
      <w:pPr>
        <w:pStyle w:val="Normal"/>
        <w:ind w:firstLine="737" w:start="0" w:end="0"/>
        <w:jc w:val="both"/>
        <w:rPr>
          <w:rFonts w:ascii="Times New Roman" w:hAnsi="Times New Roman"/>
        </w:rPr>
      </w:pPr>
      <w:r>
        <w:rPr>
          <w:rFonts w:cs="Times New Roman" w:ascii="Times New Roman" w:hAnsi="Times New Roman"/>
          <w:i w:val="false"/>
          <w:iCs/>
          <w:sz w:val="28"/>
          <w:szCs w:val="32"/>
          <w:lang w:val="ru-RU"/>
        </w:rPr>
        <w:t>9) Антибиотики (таблица 6): канамицин, рифампицин, тиментин, цефатаксим.</w:t>
      </w:r>
    </w:p>
    <w:p>
      <w:pPr>
        <w:pStyle w:val="Normal"/>
        <w:widowControl/>
        <w:suppressAutoHyphens w:val="false"/>
        <w:overflowPunct w:val="false"/>
        <w:bidi w:val="0"/>
        <w:spacing w:lineRule="auto" w:line="240" w:before="0" w:after="0"/>
        <w:ind w:firstLine="737" w:start="0" w:end="0"/>
        <w:jc w:val="both"/>
        <w:rPr>
          <w:rFonts w:ascii="Times New Roman" w:hAnsi="Times New Roman"/>
        </w:rPr>
      </w:pPr>
      <w:r>
        <w:rPr>
          <w:rFonts w:cs="Times New Roman" w:ascii="Times New Roman" w:hAnsi="Times New Roman"/>
          <w:i w:val="false"/>
          <w:iCs/>
          <w:sz w:val="28"/>
          <w:szCs w:val="24"/>
          <w:lang w:val="ru-RU"/>
        </w:rPr>
        <w:t xml:space="preserve">10) Наборы для секвенирования: для процесса секвенирования по Сэнгеру использовался </w:t>
      </w:r>
      <w:r>
        <w:rPr>
          <w:rFonts w:cs="Times New Roman" w:ascii="Times New Roman" w:hAnsi="Times New Roman"/>
          <w:i w:val="false"/>
          <w:iCs/>
          <w:sz w:val="28"/>
          <w:szCs w:val="32"/>
          <w:lang w:val="ru-RU"/>
        </w:rPr>
        <w:t xml:space="preserve">BigDye  Terminator  v3.1  Cycle  Sequencing  Kit (Thermo Fisher, США).  </w:t>
      </w:r>
      <w:r>
        <w:rPr>
          <w:rFonts w:cs="Times New Roman" w:ascii="Times New Roman" w:hAnsi="Times New Roman"/>
          <w:b w:val="false"/>
          <w:bCs w:val="false"/>
          <w:i w:val="false"/>
          <w:iCs/>
          <w:sz w:val="28"/>
          <w:szCs w:val="32"/>
          <w:lang w:val="ru-RU"/>
        </w:rPr>
        <w:t xml:space="preserve">Для нанопорового секвенирования: SQK-RBK114.96,(Oxford Nanopore Tech, Великобритания). </w:t>
      </w:r>
    </w:p>
    <w:p>
      <w:pPr>
        <w:pStyle w:val="Normal"/>
        <w:jc w:val="center"/>
        <w:rPr>
          <w:rFonts w:ascii="Times New Roman" w:hAnsi="Times New Roman"/>
        </w:rPr>
      </w:pPr>
      <w:r>
        <w:drawing>
          <wp:anchor behindDoc="0" distT="0" distB="0" distL="0" distR="0" simplePos="0" locked="0" layoutInCell="0" allowOverlap="1" relativeHeight="2">
            <wp:simplePos x="0" y="0"/>
            <wp:positionH relativeFrom="column">
              <wp:posOffset>745490</wp:posOffset>
            </wp:positionH>
            <wp:positionV relativeFrom="paragraph">
              <wp:posOffset>16510</wp:posOffset>
            </wp:positionV>
            <wp:extent cx="4896485" cy="3670935"/>
            <wp:effectExtent l="0" t="0" r="0" b="0"/>
            <wp:wrapTopAndBottom/>
            <wp:docPr id="6"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 descr="" title=""/>
                    <pic:cNvPicPr>
                      <a:picLocks noChangeAspect="1" noChangeArrowheads="1"/>
                    </pic:cNvPicPr>
                  </pic:nvPicPr>
                  <pic:blipFill>
                    <a:blip r:embed="rId9"/>
                    <a:stretch>
                      <a:fillRect/>
                    </a:stretch>
                  </pic:blipFill>
                  <pic:spPr bwMode="auto">
                    <a:xfrm>
                      <a:off x="0" y="0"/>
                      <a:ext cx="4896485" cy="3670935"/>
                    </a:xfrm>
                    <a:prstGeom prst="rect">
                      <a:avLst/>
                    </a:prstGeom>
                  </pic:spPr>
                </pic:pic>
              </a:graphicData>
            </a:graphic>
          </wp:anchor>
        </w:drawing>
      </w:r>
      <w:r>
        <w:rPr>
          <w:rFonts w:ascii="Times New Roman" w:hAnsi="Times New Roman"/>
          <w:sz w:val="28"/>
          <w:szCs w:val="28"/>
          <w:lang w:val="ru-RU"/>
        </w:rPr>
        <w:t>Рисунок 6 – Схема плазмиды  pCBC-DT1T2 [189]</w:t>
      </w:r>
    </w:p>
    <w:p>
      <w:pPr>
        <w:pStyle w:val="Normal"/>
        <w:jc w:val="center"/>
        <w:rPr>
          <w:rFonts w:ascii="Times New Roman" w:hAnsi="Times New Roman"/>
          <w:sz w:val="28"/>
          <w:szCs w:val="28"/>
          <w:lang w:val="ru-RU"/>
        </w:rPr>
      </w:pPr>
      <w:r>
        <w:rPr>
          <w:rFonts w:ascii="Times New Roman" w:hAnsi="Times New Roman"/>
          <w:sz w:val="28"/>
          <w:szCs w:val="28"/>
          <w:lang w:val="ru-RU"/>
        </w:rPr>
      </w:r>
    </w:p>
    <w:p>
      <w:pPr>
        <w:pStyle w:val="Normal"/>
        <w:jc w:val="center"/>
        <w:rPr>
          <w:rFonts w:ascii="Times New Roman" w:hAnsi="Times New Roman"/>
          <w:sz w:val="28"/>
          <w:szCs w:val="28"/>
          <w:lang w:val="ru-RU"/>
        </w:rPr>
      </w:pPr>
      <w:r>
        <w:rPr>
          <w:rFonts w:ascii="Times New Roman" w:hAnsi="Times New Roman"/>
          <w:sz w:val="28"/>
          <w:szCs w:val="28"/>
          <w:lang w:val="ru-RU"/>
        </w:rPr>
      </w:r>
    </w:p>
    <w:p>
      <w:pPr>
        <w:pStyle w:val="Normal"/>
        <w:jc w:val="center"/>
        <w:rPr>
          <w:rFonts w:ascii="Times New Roman" w:hAnsi="Times New Roman"/>
        </w:rPr>
      </w:pPr>
      <w:r>
        <w:rPr>
          <w:rFonts w:ascii="Times New Roman" w:hAnsi="Times New Roman"/>
          <w:sz w:val="28"/>
          <w:szCs w:val="28"/>
          <w:lang w:val="ru-RU"/>
        </w:rPr>
        <w:t>Ри</w:t>
      </w:r>
      <w:r>
        <w:drawing>
          <wp:anchor behindDoc="0" distT="0" distB="0" distL="0" distR="0" simplePos="0" locked="0" layoutInCell="0" allowOverlap="1" relativeHeight="3">
            <wp:simplePos x="0" y="0"/>
            <wp:positionH relativeFrom="column">
              <wp:posOffset>632460</wp:posOffset>
            </wp:positionH>
            <wp:positionV relativeFrom="paragraph">
              <wp:posOffset>124460</wp:posOffset>
            </wp:positionV>
            <wp:extent cx="4750435" cy="4144645"/>
            <wp:effectExtent l="0" t="0" r="0" b="0"/>
            <wp:wrapTopAndBottom/>
            <wp:docPr id="7"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descr="" title=""/>
                    <pic:cNvPicPr>
                      <a:picLocks noChangeAspect="1" noChangeArrowheads="1"/>
                    </pic:cNvPicPr>
                  </pic:nvPicPr>
                  <pic:blipFill>
                    <a:blip r:embed="rId10"/>
                    <a:stretch>
                      <a:fillRect/>
                    </a:stretch>
                  </pic:blipFill>
                  <pic:spPr bwMode="auto">
                    <a:xfrm>
                      <a:off x="0" y="0"/>
                      <a:ext cx="4750435" cy="4144645"/>
                    </a:xfrm>
                    <a:prstGeom prst="rect">
                      <a:avLst/>
                    </a:prstGeom>
                  </pic:spPr>
                </pic:pic>
              </a:graphicData>
            </a:graphic>
          </wp:anchor>
        </w:drawing>
      </w:r>
      <w:r>
        <w:rPr>
          <w:rFonts w:ascii="Times New Roman" w:hAnsi="Times New Roman"/>
          <w:sz w:val="28"/>
          <w:szCs w:val="28"/>
          <w:lang w:val="ru-RU"/>
        </w:rPr>
        <w:t>сунок 7 – Схема плазмиды pKSE401 [189]</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ind w:hanging="0" w:start="0" w:end="0"/>
        <w:jc w:val="both"/>
        <w:rPr>
          <w:rFonts w:ascii="Times New Roman" w:hAnsi="Times New Roman"/>
        </w:rPr>
      </w:pPr>
      <w:r>
        <w:rPr>
          <w:rFonts w:cs="Times New Roman" w:ascii="Times New Roman" w:hAnsi="Times New Roman"/>
          <w:iCs/>
          <w:sz w:val="28"/>
          <w:szCs w:val="32"/>
          <w:lang w:val="ru-RU"/>
        </w:rPr>
        <w:t>Таблица 6 – Антибиотики, использованные в процессах генетической инженерии.</w:t>
      </w:r>
    </w:p>
    <w:p>
      <w:pPr>
        <w:pStyle w:val="Normal"/>
        <w:ind w:hanging="0" w:start="0" w:end="0"/>
        <w:jc w:val="both"/>
        <w:rPr>
          <w:rFonts w:ascii="Times New Roman" w:hAnsi="Times New Roman" w:cs="Times New Roman"/>
          <w:iCs/>
          <w:sz w:val="28"/>
          <w:szCs w:val="32"/>
          <w:lang w:val="ru-RU"/>
        </w:rPr>
      </w:pPr>
      <w:r>
        <w:rPr>
          <w:rFonts w:cs="Times New Roman" w:ascii="Times New Roman" w:hAnsi="Times New Roman"/>
          <w:iCs/>
          <w:sz w:val="28"/>
          <w:szCs w:val="32"/>
          <w:lang w:val="ru-RU"/>
        </w:rPr>
      </w:r>
    </w:p>
    <w:tbl>
      <w:tblPr>
        <w:tblW w:w="9518" w:type="dxa"/>
        <w:jc w:val="start"/>
        <w:tblInd w:w="103" w:type="dxa"/>
        <w:tblLayout w:type="fixed"/>
        <w:tblCellMar>
          <w:top w:w="0" w:type="dxa"/>
          <w:start w:w="108" w:type="dxa"/>
          <w:bottom w:w="0" w:type="dxa"/>
          <w:end w:w="108" w:type="dxa"/>
        </w:tblCellMar>
      </w:tblPr>
      <w:tblGrid>
        <w:gridCol w:w="1872"/>
        <w:gridCol w:w="1701"/>
        <w:gridCol w:w="2890"/>
        <w:gridCol w:w="3054"/>
      </w:tblGrid>
      <w:tr>
        <w:trPr/>
        <w:tc>
          <w:tcPr>
            <w:tcW w:w="1872"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Название антибиотика</w:t>
            </w:r>
          </w:p>
        </w:tc>
        <w:tc>
          <w:tcPr>
            <w:tcW w:w="1701"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Растворитель</w:t>
            </w:r>
          </w:p>
        </w:tc>
        <w:tc>
          <w:tcPr>
            <w:tcW w:w="2890"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Раб. концентрация для бактерий</w:t>
            </w:r>
          </w:p>
        </w:tc>
        <w:tc>
          <w:tcPr>
            <w:tcW w:w="3054"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Раб. концентрация для растений</w:t>
            </w:r>
          </w:p>
        </w:tc>
      </w:tr>
      <w:tr>
        <w:trPr/>
        <w:tc>
          <w:tcPr>
            <w:tcW w:w="1872"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 xml:space="preserve">Канамицин </w:t>
            </w:r>
          </w:p>
        </w:tc>
        <w:tc>
          <w:tcPr>
            <w:tcW w:w="1701"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Вода</w:t>
            </w:r>
          </w:p>
        </w:tc>
        <w:tc>
          <w:tcPr>
            <w:tcW w:w="2890"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50 мкг/мл</w:t>
            </w:r>
          </w:p>
        </w:tc>
        <w:tc>
          <w:tcPr>
            <w:tcW w:w="3054"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100 мкг/мл</w:t>
            </w:r>
          </w:p>
        </w:tc>
      </w:tr>
      <w:tr>
        <w:trPr/>
        <w:tc>
          <w:tcPr>
            <w:tcW w:w="1872"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Рифампицин</w:t>
            </w:r>
          </w:p>
        </w:tc>
        <w:tc>
          <w:tcPr>
            <w:tcW w:w="1701"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DMSO</w:t>
            </w:r>
          </w:p>
        </w:tc>
        <w:tc>
          <w:tcPr>
            <w:tcW w:w="2890"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25 мкг/мл</w:t>
            </w:r>
          </w:p>
        </w:tc>
        <w:tc>
          <w:tcPr>
            <w:tcW w:w="3054"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ind w:firstLine="709" w:start="0" w:end="0"/>
              <w:rPr>
                <w:rFonts w:ascii="Times New Roman" w:hAnsi="Times New Roman"/>
              </w:rPr>
            </w:pPr>
            <w:r>
              <w:rPr>
                <w:rFonts w:cs="Times New Roman" w:ascii="Times New Roman" w:hAnsi="Times New Roman"/>
                <w:kern w:val="0"/>
                <w:sz w:val="24"/>
                <w:szCs w:val="24"/>
                <w:lang w:val="ru-RU"/>
              </w:rPr>
              <w:t>–</w:t>
            </w:r>
          </w:p>
        </w:tc>
      </w:tr>
      <w:tr>
        <w:trPr/>
        <w:tc>
          <w:tcPr>
            <w:tcW w:w="1872"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Тиментин</w:t>
            </w:r>
          </w:p>
        </w:tc>
        <w:tc>
          <w:tcPr>
            <w:tcW w:w="1701"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Вода</w:t>
            </w:r>
          </w:p>
        </w:tc>
        <w:tc>
          <w:tcPr>
            <w:tcW w:w="2890"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ind w:firstLine="709" w:start="0" w:end="0"/>
              <w:rPr>
                <w:rFonts w:ascii="Times New Roman" w:hAnsi="Times New Roman"/>
              </w:rPr>
            </w:pPr>
            <w:r>
              <w:rPr>
                <w:rFonts w:cs="Times New Roman" w:ascii="Times New Roman" w:hAnsi="Times New Roman"/>
                <w:kern w:val="0"/>
                <w:sz w:val="24"/>
                <w:szCs w:val="24"/>
                <w:lang w:val="ru-RU"/>
              </w:rPr>
              <w:t>–</w:t>
            </w:r>
          </w:p>
        </w:tc>
        <w:tc>
          <w:tcPr>
            <w:tcW w:w="3054"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200 мкг/мл</w:t>
            </w:r>
          </w:p>
        </w:tc>
      </w:tr>
      <w:tr>
        <w:trPr/>
        <w:tc>
          <w:tcPr>
            <w:tcW w:w="1872"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Цефотаксим</w:t>
            </w:r>
          </w:p>
        </w:tc>
        <w:tc>
          <w:tcPr>
            <w:tcW w:w="1701"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Вода</w:t>
            </w:r>
          </w:p>
        </w:tc>
        <w:tc>
          <w:tcPr>
            <w:tcW w:w="2890"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ind w:firstLine="709" w:start="0" w:end="0"/>
              <w:rPr>
                <w:rFonts w:ascii="Times New Roman" w:hAnsi="Times New Roman"/>
              </w:rPr>
            </w:pPr>
            <w:r>
              <w:rPr>
                <w:rFonts w:cs="Times New Roman" w:ascii="Times New Roman" w:hAnsi="Times New Roman"/>
                <w:kern w:val="0"/>
                <w:sz w:val="24"/>
                <w:szCs w:val="24"/>
                <w:lang w:val="ru-RU"/>
              </w:rPr>
              <w:t>–</w:t>
            </w:r>
          </w:p>
        </w:tc>
        <w:tc>
          <w:tcPr>
            <w:tcW w:w="3054" w:type="dxa"/>
            <w:tcBorders>
              <w:top w:val="single" w:sz="4" w:space="0" w:color="000000"/>
              <w:start w:val="single" w:sz="4" w:space="0" w:color="000000"/>
              <w:bottom w:val="single" w:sz="4" w:space="0" w:color="000000"/>
              <w:end w:val="single" w:sz="4" w:space="0" w:color="000000"/>
            </w:tcBorders>
          </w:tcPr>
          <w:p>
            <w:pPr>
              <w:pStyle w:val="Normal"/>
              <w:spacing w:lineRule="auto" w:line="240" w:before="0" w:after="0"/>
              <w:rPr>
                <w:rFonts w:ascii="Times New Roman" w:hAnsi="Times New Roman"/>
              </w:rPr>
            </w:pPr>
            <w:r>
              <w:rPr>
                <w:rFonts w:cs="Times New Roman" w:ascii="Times New Roman" w:hAnsi="Times New Roman"/>
                <w:kern w:val="0"/>
                <w:sz w:val="24"/>
                <w:szCs w:val="24"/>
                <w:lang w:val="ru-RU"/>
              </w:rPr>
              <w:t>200 мкг/мл</w:t>
            </w:r>
          </w:p>
        </w:tc>
      </w:tr>
    </w:tbl>
    <w:p>
      <w:pPr>
        <w:pStyle w:val="Normal"/>
        <w:spacing w:lineRule="auto" w:line="240"/>
        <w:ind w:firstLine="567" w:start="0" w:end="0"/>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rPr>
      </w:pPr>
      <w:r>
        <w:rPr>
          <w:rFonts w:ascii="Times New Roman" w:hAnsi="Times New Roman"/>
          <w:sz w:val="28"/>
          <w:szCs w:val="28"/>
          <w:lang w:val="ru-RU"/>
        </w:rPr>
        <w:t>2.2 Методы</w:t>
      </w:r>
    </w:p>
    <w:p>
      <w:pPr>
        <w:pStyle w:val="Normal"/>
        <w:ind w:firstLine="737" w:start="0" w:end="0"/>
        <w:jc w:val="both"/>
        <w:rPr>
          <w:rFonts w:ascii="Times New Roman" w:hAnsi="Times New Roman"/>
        </w:rPr>
      </w:pPr>
      <w:r>
        <w:rPr>
          <w:rFonts w:ascii="Times New Roman" w:hAnsi="Times New Roman"/>
          <w:sz w:val="28"/>
          <w:szCs w:val="28"/>
          <w:lang w:val="ru-RU"/>
        </w:rPr>
        <w:t xml:space="preserve">2.2.1 </w:t>
      </w:r>
      <w:r>
        <w:rPr>
          <w:rFonts w:ascii="Times New Roman" w:hAnsi="Times New Roman"/>
          <w:b w:val="false"/>
          <w:sz w:val="28"/>
          <w:szCs w:val="28"/>
          <w:lang w:val="ru-RU"/>
        </w:rPr>
        <w:t>Изучение генетического разнообразия сортов томата казахстанской селекции с использованием микросателлитных маркеров и известных маркеров устойчивости к грибковым и вирусным патогенам</w:t>
      </w:r>
    </w:p>
    <w:p>
      <w:pPr>
        <w:pStyle w:val="Normal"/>
        <w:ind w:firstLine="720" w:start="0" w:end="0"/>
        <w:jc w:val="both"/>
        <w:rPr>
          <w:rFonts w:ascii="Times New Roman" w:hAnsi="Times New Roman"/>
        </w:rPr>
      </w:pPr>
      <w:r>
        <w:rPr>
          <w:rFonts w:ascii="Times New Roman" w:hAnsi="Times New Roman"/>
          <w:sz w:val="28"/>
          <w:szCs w:val="28"/>
          <w:lang w:val="ru-RU"/>
        </w:rPr>
        <w:t>2.2.1.1 Получение растительного материала томата и экстракция ДНК</w:t>
      </w:r>
    </w:p>
    <w:p>
      <w:pPr>
        <w:pStyle w:val="Normal"/>
        <w:ind w:firstLine="720" w:start="0" w:end="0"/>
        <w:jc w:val="both"/>
        <w:rPr>
          <w:rFonts w:ascii="Times New Roman" w:hAnsi="Times New Roman"/>
        </w:rPr>
      </w:pPr>
      <w:r>
        <w:rPr>
          <w:rFonts w:ascii="Times New Roman" w:hAnsi="Times New Roman"/>
          <w:sz w:val="28"/>
          <w:szCs w:val="28"/>
          <w:lang w:val="ru-RU"/>
        </w:rPr>
        <w:t>Семена высаживали в грунт на основе торфа «Универсальный» и выращивали при 12-часовом световом дне и поливе три раза в неделю, с интервалом 1-2 суток. Рассаду томатов выращивали в течение 3-5 недель, в зависимости от скорости развития каждого сорта. Каждый сеянец, достигший 10-15 см и развивший зрелые листья, обследовали на отсутствие аномальных фенотипических признаков и помещали на хранение при температуре -80°C до дальнейшего использования.</w:t>
      </w:r>
    </w:p>
    <w:p>
      <w:pPr>
        <w:pStyle w:val="Normal"/>
        <w:ind w:firstLine="720" w:start="0" w:end="0"/>
        <w:jc w:val="both"/>
        <w:rPr>
          <w:rFonts w:ascii="Times New Roman" w:hAnsi="Times New Roman"/>
        </w:rPr>
      </w:pPr>
      <w:r>
        <w:rPr>
          <w:rFonts w:ascii="Times New Roman" w:hAnsi="Times New Roman"/>
          <w:sz w:val="28"/>
          <w:szCs w:val="28"/>
          <w:lang w:val="ru-RU"/>
        </w:rPr>
        <w:t xml:space="preserve">Для выделения ДНК использовалась навеска 100 мг замороженного растительного материала, включающего фрагменты листьев и молодых побегов. Образцы измельчали с помощью фарфоровых ступки и пестика в присутствии 1 мл предварительно нагретого (приблизительно 60-65°C) CTAB буфера; PVP и β-меркаптоэтанол вносили в нагретый раствор непосредственно перед использованием. Гомогенизированные образцы переносили в микроцентрифужные пробирки объемом 2 мл и инкубировали при 60°C в течение 30 мин при регулярном встряхивании. После инкубации образцы охлаждали на льду и смешивали с равным объемом предварительно охлажденного до 4°C хлороформа; далее пробирки  центрифугировали при 4°C при 12 000g в течение 10 мин. Водную фазу (около 1 мл) отбирали в чистые пробирки объемом 2 мл и делили на две равные аликвоты (около 500 мкл). Каждую аликвоту смешивали с 200 мкл раствора хлорида натрия (5 моль/л) и предварительно охлажденным до -20°C  этанолом (96% об.) до конечного объема 2 мл и помещали на 1 час в морозильную камеру (-20°C). Затем одну аликвоту каждого образца центрифугировали при 4°C при 13 000g в течение 15 мин. Жидкость удаляли, а содержимое второй аликвоты переносили в ту же пробирку и центрифугировали при тех же условиях. После окончательного удаления жидкости осадок промывали 1 мл 70% этанола при центрифугировании (10 мин, 10 000g), затем сушили на воздухе до исчезновения запаха этанола и растворяли в 100 мкл бидистилированной деионизированный воды с добавлением 0,5% об. раствора РНКазы А (Thermo Fisher Scientific, США). Затем образцы ДНК инкубировали в течение 1 ч при 37°C и далее в течение ночи при 4°C. </w:t>
      </w:r>
    </w:p>
    <w:p>
      <w:pPr>
        <w:pStyle w:val="Normal"/>
        <w:ind w:firstLine="720" w:start="0" w:end="0"/>
        <w:jc w:val="both"/>
        <w:rPr>
          <w:rFonts w:ascii="Times New Roman" w:hAnsi="Times New Roman"/>
        </w:rPr>
      </w:pPr>
      <w:r>
        <w:rPr>
          <w:rFonts w:ascii="Times New Roman" w:hAnsi="Times New Roman"/>
          <w:sz w:val="28"/>
          <w:szCs w:val="28"/>
          <w:lang w:val="ru-RU"/>
        </w:rPr>
        <w:t>Для проверки качества выделенной ДНК проводили электрофорез образцов в 1% агарозном геле в присутствии стандартного однократного буферного раствора TAE в течение часа при рабочем напряжении 80 В, с последующим окрашиванием слабым раствором бромистого этидия и визуализацией в просвечивающем ультрафиолетовом свете. Оценивали яркость полос, соответствующих интактной геномной ДНК, наличие и интенсивность смазанных полос фрагментированной ДНК и остатков РНК. Концентрация ДНК измеряли путем спектрофотометрическим методом на приборе Nanodrop One (Thermo Fisher Scientific, США). Образец ДНК признавали пригодным для дальнейшего использования если концентрация ДНК была не менее 200 нг/мкл при соотношении  поглощения А</w:t>
      </w:r>
      <w:r>
        <w:rPr>
          <w:rFonts w:ascii="Times New Roman" w:hAnsi="Times New Roman"/>
          <w:sz w:val="28"/>
          <w:szCs w:val="28"/>
          <w:vertAlign w:val="subscript"/>
          <w:lang w:val="ru-RU"/>
        </w:rPr>
        <w:t>260</w:t>
      </w:r>
      <w:r>
        <w:rPr>
          <w:rFonts w:ascii="Times New Roman" w:hAnsi="Times New Roman"/>
          <w:position w:val="0"/>
          <w:sz w:val="28"/>
          <w:sz w:val="28"/>
          <w:szCs w:val="28"/>
          <w:vertAlign w:val="baseline"/>
          <w:lang w:val="ru-RU"/>
        </w:rPr>
        <w:t>/А</w:t>
      </w:r>
      <w:r>
        <w:rPr>
          <w:rFonts w:ascii="Times New Roman" w:hAnsi="Times New Roman"/>
          <w:sz w:val="28"/>
          <w:szCs w:val="28"/>
          <w:vertAlign w:val="subscript"/>
          <w:lang w:val="ru-RU"/>
        </w:rPr>
        <w:t xml:space="preserve">280  </w:t>
      </w:r>
      <w:r>
        <w:rPr>
          <w:rFonts w:ascii="Times New Roman" w:hAnsi="Times New Roman"/>
          <w:position w:val="0"/>
          <w:sz w:val="28"/>
          <w:sz w:val="28"/>
          <w:szCs w:val="28"/>
          <w:vertAlign w:val="baseline"/>
          <w:lang w:val="ru-RU"/>
        </w:rPr>
        <w:t>приблизительно 1.8.</w:t>
      </w:r>
    </w:p>
    <w:p>
      <w:pPr>
        <w:pStyle w:val="Normal"/>
        <w:ind w:firstLine="720" w:start="0" w:end="0"/>
        <w:jc w:val="both"/>
        <w:rPr>
          <w:rFonts w:ascii="Times New Roman" w:hAnsi="Times New Roman"/>
          <w:position w:val="0"/>
          <w:sz w:val="28"/>
          <w:sz w:val="28"/>
          <w:szCs w:val="28"/>
          <w:vertAlign w:val="baseline"/>
          <w:lang w:val="ru-RU"/>
        </w:rPr>
      </w:pPr>
      <w:r>
        <w:rPr>
          <w:rFonts w:ascii="Times New Roman" w:hAnsi="Times New Roman"/>
          <w:position w:val="0"/>
          <w:sz w:val="28"/>
          <w:sz w:val="28"/>
          <w:szCs w:val="28"/>
          <w:vertAlign w:val="baseline"/>
          <w:lang w:val="ru-RU"/>
        </w:rPr>
      </w:r>
    </w:p>
    <w:p>
      <w:pPr>
        <w:pStyle w:val="Normal"/>
        <w:ind w:firstLine="720" w:start="0" w:end="0"/>
        <w:jc w:val="both"/>
        <w:rPr>
          <w:rFonts w:ascii="Times New Roman" w:hAnsi="Times New Roman"/>
        </w:rPr>
      </w:pPr>
      <w:r>
        <w:rPr>
          <w:rFonts w:ascii="Times New Roman" w:hAnsi="Times New Roman"/>
          <w:sz w:val="28"/>
          <w:szCs w:val="28"/>
          <w:lang w:val="ru-RU"/>
        </w:rPr>
        <w:t>2.2.1.2 SSR генотипирование и анализ популяционной структуры сортов томата</w:t>
      </w:r>
    </w:p>
    <w:p>
      <w:pPr>
        <w:pStyle w:val="Normal"/>
        <w:suppressAutoHyphens w:val="false"/>
        <w:ind w:firstLine="737" w:start="0" w:end="0"/>
        <w:jc w:val="both"/>
        <w:rPr>
          <w:rFonts w:ascii="Times New Roman" w:hAnsi="Times New Roman"/>
        </w:rPr>
      </w:pPr>
      <w:r>
        <w:rPr>
          <w:rFonts w:ascii="Times New Roman" w:hAnsi="Times New Roman"/>
          <w:sz w:val="28"/>
          <w:szCs w:val="28"/>
          <w:lang w:val="ru-RU"/>
        </w:rPr>
        <w:t xml:space="preserve">Генотипирование SSR проводили с использованием известных маркеров (таблица 7) [190,191]. Для всех маркеров использовали праймеры, меченные флуоресцентным красителем FAM или HEX. Условия ПЦР были установлены в соответствии с опубликованными протоколами [190,191]. Продукты ПЦР сначала проверяли на выход и специфичность амплифицированных продуктов с помощью электрофореза (5 мкл ПЦР смеси смешивали с 1 мкл загрузочного раствора и наносили на 1,5 % агарозный гель; электрофорез проводился в течение 1 часа при напряжении 80 В), затем разводили в 20 раз и объединяли в группы для мультиплексного считывания фрагментов методом капиллярного электрофореза. Три группы были определены на основе ожидаемых диапазонов размеров фрагментов и используемых меток праймеров, чтобы избежать наложения маркеров и обеспечить их независимое обнаружение. Разведенные ПЦР-смеси добавляли в высокоочищенный формамид (1 мкл ПЦР-смеси, 0,15 мкл LIZ(-500) Size Standard (Applied Biosystems, Thermo Fisher Scientific, США), 8,85 мкл формамида), денатурировали при 95°C в течение 4 мин, охлаждали на льду в течение 5 мин и загружали в генетический анализатор 3500 (Applied Biosystems, Thermo Fisher Scientific, США). Генотипы определяли с помощью программы GeneMapper и анализировали с использованием байесовского подхода, реализованного в программах MrBayes </w:t>
      </w:r>
      <w:r>
        <w:rPr>
          <w:rFonts w:ascii="Times New Roman" w:hAnsi="Times New Roman"/>
          <w:b w:val="false"/>
          <w:i w:val="false"/>
          <w:caps w:val="false"/>
          <w:smallCaps w:val="false"/>
          <w:position w:val="0"/>
          <w:sz w:val="28"/>
          <w:sz w:val="28"/>
          <w:szCs w:val="28"/>
          <w:u w:val="none"/>
          <w:vertAlign w:val="baseline"/>
          <w:lang w:val="ru-RU"/>
        </w:rPr>
        <w:t>[192</w:t>
      </w:r>
      <w:r>
        <w:rPr>
          <w:rFonts w:ascii="Times New Roman" w:hAnsi="Times New Roman"/>
          <w:b w:val="false"/>
          <w:i w:val="false"/>
          <w:caps w:val="false"/>
          <w:smallCaps w:val="false"/>
          <w:position w:val="0"/>
          <w:sz w:val="24"/>
          <w:sz w:val="24"/>
          <w:u w:val="none"/>
          <w:vertAlign w:val="baseline"/>
        </w:rPr>
        <w:t>–194]</w:t>
      </w:r>
      <w:r>
        <w:rPr>
          <w:rFonts w:ascii="Times New Roman" w:hAnsi="Times New Roman"/>
          <w:sz w:val="28"/>
          <w:szCs w:val="28"/>
          <w:lang w:val="ru-RU"/>
        </w:rPr>
        <w:t xml:space="preserve"> и STRUCTURE [195]. Для общей обработки и визуализации данных использовали язык R [196] и пакеты adegenet [197,198], ape [199] и ggtree [200]. </w:t>
      </w:r>
    </w:p>
    <w:p>
      <w:pPr>
        <w:pStyle w:val="Normal"/>
        <w:ind w:firstLine="720" w:start="0" w:end="0"/>
        <w:jc w:val="both"/>
        <w:rPr>
          <w:rFonts w:ascii="Times New Roman" w:hAnsi="Times New Roman"/>
        </w:rPr>
      </w:pPr>
      <w:r>
        <w:rPr>
          <w:rFonts w:ascii="Times New Roman" w:hAnsi="Times New Roman"/>
          <w:sz w:val="28"/>
          <w:szCs w:val="28"/>
          <w:lang w:val="ru-RU"/>
        </w:rPr>
        <w:t xml:space="preserve">Данные генотипирования были закодированы с использованием аддитивной псевдогаплоидной схемы, где каждый наблюдаемый аллель был представлен в виде однозначного значения: 0 – отсутствие, 1 – гетерозиготное состояние, 2 – гомозиготное состояние.  </w:t>
      </w:r>
    </w:p>
    <w:p>
      <w:pPr>
        <w:pStyle w:val="Normal"/>
        <w:suppressAutoHyphens w:val="false"/>
        <w:ind w:firstLine="737" w:start="0" w:end="0"/>
        <w:jc w:val="both"/>
        <w:rPr>
          <w:rFonts w:ascii="Times New Roman" w:hAnsi="Times New Roman"/>
        </w:rPr>
      </w:pPr>
      <w:r>
        <w:rPr>
          <w:rFonts w:ascii="Times New Roman" w:hAnsi="Times New Roman"/>
          <w:sz w:val="28"/>
          <w:szCs w:val="28"/>
          <w:lang w:val="ru-RU"/>
        </w:rPr>
        <w:t>Алгоритм программы MrBayes запускали на 50 000 000 раундах модели Марковских цепей Монте-Карло (MCMC) с моделью распределения Дирихле для стандартных данных; результаты каждого 2000-го раунда отбирались и использовалось для диагностики по среднему стандартному отклонению вероятностей</w:t>
      </w:r>
    </w:p>
    <w:p>
      <w:pPr>
        <w:pStyle w:val="Normal"/>
        <w:rPr>
          <w:rFonts w:ascii="Times New Roman" w:hAnsi="Times New Roman"/>
        </w:rPr>
      </w:pPr>
      <w:r>
        <w:rPr>
          <w:rFonts w:ascii="Times New Roman" w:hAnsi="Times New Roman"/>
          <w:sz w:val="28"/>
          <w:szCs w:val="28"/>
          <w:lang w:val="ru-RU"/>
        </w:rPr>
        <w:t>Таблица 7 – ПЦР праймеры для амплификации микросателлитных маркеров томата</w:t>
      </w:r>
    </w:p>
    <w:p>
      <w:pPr>
        <w:pStyle w:val="Normal"/>
        <w:rPr>
          <w:rFonts w:ascii="Times New Roman" w:hAnsi="Times New Roman"/>
        </w:rPr>
      </w:pPr>
      <w:r>
        <w:rPr>
          <w:rFonts w:ascii="Times New Roman" w:hAnsi="Times New Roman"/>
        </w:rPr>
      </w:r>
    </w:p>
    <w:tbl>
      <w:tblPr>
        <w:tblW w:w="9688" w:type="dxa"/>
        <w:jc w:val="start"/>
        <w:tblInd w:w="-1" w:type="dxa"/>
        <w:tblLayout w:type="fixed"/>
        <w:tblCellMar>
          <w:top w:w="55" w:type="dxa"/>
          <w:start w:w="55" w:type="dxa"/>
          <w:bottom w:w="55" w:type="dxa"/>
          <w:end w:w="55" w:type="dxa"/>
        </w:tblCellMar>
      </w:tblPr>
      <w:tblGrid>
        <w:gridCol w:w="1413"/>
        <w:gridCol w:w="4311"/>
        <w:gridCol w:w="1238"/>
        <w:gridCol w:w="1076"/>
        <w:gridCol w:w="800"/>
        <w:gridCol w:w="849"/>
      </w:tblGrid>
      <w:tr>
        <w:trPr/>
        <w:tc>
          <w:tcPr>
            <w:tcW w:w="1413"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Название маркера</w:t>
            </w:r>
          </w:p>
        </w:tc>
        <w:tc>
          <w:tcPr>
            <w:tcW w:w="4311"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Праймеры</w:t>
            </w:r>
          </w:p>
        </w:tc>
        <w:tc>
          <w:tcPr>
            <w:tcW w:w="1238"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Паттерн коротких повторов</w:t>
            </w:r>
          </w:p>
        </w:tc>
        <w:tc>
          <w:tcPr>
            <w:tcW w:w="1076"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Размеры аллелей</w:t>
            </w:r>
          </w:p>
        </w:tc>
        <w:tc>
          <w:tcPr>
            <w:tcW w:w="800"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Груп-па</w:t>
            </w:r>
          </w:p>
        </w:tc>
        <w:tc>
          <w:tcPr>
            <w:tcW w:w="849" w:type="dxa"/>
            <w:tcBorders>
              <w:top w:val="single" w:sz="2" w:space="0" w:color="000000"/>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Ссыл-ки</w:t>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LE20592</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-CTGTTTACTTCAAGAAGGCTG</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5’-ACTTTAACTTTATTATTGCCACG</w:t>
            </w:r>
          </w:p>
        </w:tc>
        <w:tc>
          <w:tcPr>
            <w:tcW w:w="1238"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(TAT)</w:t>
            </w:r>
            <w:r>
              <w:rPr>
                <w:rFonts w:ascii="Times New Roman" w:hAnsi="Times New Roman"/>
                <w:sz w:val="24"/>
                <w:szCs w:val="24"/>
                <w:vertAlign w:val="subscript"/>
                <w:lang w:val="ru-RU"/>
              </w:rPr>
              <w:t xml:space="preserve">15-1 </w:t>
            </w:r>
            <w:r>
              <w:rPr>
                <w:rFonts w:ascii="Times New Roman" w:hAnsi="Times New Roman"/>
                <w:position w:val="0"/>
                <w:sz w:val="24"/>
                <w:sz w:val="24"/>
                <w:szCs w:val="24"/>
                <w:vertAlign w:val="baseline"/>
                <w:lang w:val="ru-RU"/>
              </w:rPr>
              <w:t>(</w:t>
            </w:r>
            <w:r>
              <w:rPr>
                <w:rFonts w:ascii="Times New Roman" w:hAnsi="Times New Roman"/>
                <w:sz w:val="24"/>
                <w:szCs w:val="24"/>
                <w:lang w:val="ru-RU"/>
              </w:rPr>
              <w:t>TGT)</w:t>
            </w:r>
            <w:r>
              <w:rPr>
                <w:rFonts w:ascii="Times New Roman" w:hAnsi="Times New Roman"/>
                <w:sz w:val="24"/>
                <w:szCs w:val="24"/>
                <w:vertAlign w:val="subscript"/>
                <w:lang w:val="ru-RU"/>
              </w:rPr>
              <w:t>4</w:t>
            </w:r>
            <w:r>
              <w:rPr>
                <w:rFonts w:ascii="Times New Roman" w:hAnsi="Times New Roman"/>
                <w:position w:val="0"/>
                <w:sz w:val="24"/>
                <w:sz w:val="24"/>
                <w:szCs w:val="24"/>
                <w:vertAlign w:val="baseline"/>
                <w:lang w:val="ru-RU"/>
              </w:rPr>
              <w:t>*</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165–172</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849" w:type="dxa"/>
            <w:vMerge w:val="restart"/>
            <w:tcBorders>
              <w:start w:val="single" w:sz="2" w:space="0" w:color="000000"/>
              <w:bottom w:val="single" w:sz="2" w:space="0" w:color="000000"/>
              <w:end w:val="single" w:sz="2" w:space="0" w:color="000000"/>
            </w:tcBorders>
          </w:tcPr>
          <w:p>
            <w:pPr>
              <w:pStyle w:val="TableContents"/>
              <w:rPr>
                <w:rFonts w:ascii="Times New Roman" w:hAnsi="Times New Roman"/>
              </w:rPr>
            </w:pPr>
            <w:r>
              <w:rPr>
                <w:rFonts w:ascii="Times New Roman" w:hAnsi="Times New Roman"/>
                <w:sz w:val="24"/>
                <w:szCs w:val="24"/>
                <w:lang w:val="ru-RU"/>
              </w:rPr>
              <w:t>[190]</w:t>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LE21085</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-CATTTTATCATTTATTTGTGTCTTG</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5’-ACAAAAAAAGGTGACGATACA</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w:t>
            </w:r>
            <w:r>
              <w:rPr>
                <w:rFonts w:ascii="Times New Roman" w:hAnsi="Times New Roman"/>
                <w:sz w:val="24"/>
                <w:szCs w:val="24"/>
                <w:vertAlign w:val="subscript"/>
                <w:lang w:val="ru-RU"/>
              </w:rPr>
              <w:t xml:space="preserve">2 </w:t>
            </w:r>
            <w:r>
              <w:rPr>
                <w:rFonts w:ascii="Times New Roman" w:hAnsi="Times New Roman"/>
                <w:sz w:val="24"/>
                <w:szCs w:val="24"/>
                <w:lang w:val="ru-RU"/>
              </w:rPr>
              <w:t>(TAT)</w:t>
            </w:r>
            <w:r>
              <w:rPr>
                <w:rFonts w:ascii="Times New Roman" w:hAnsi="Times New Roman"/>
                <w:i w:val="false"/>
                <w:iCs w:val="false"/>
                <w:sz w:val="24"/>
                <w:szCs w:val="24"/>
                <w:vertAlign w:val="subscript"/>
                <w:lang w:val="ru-RU"/>
              </w:rPr>
              <w:t>9-1</w:t>
            </w:r>
            <w:r>
              <w:rPr>
                <w:rFonts w:ascii="Times New Roman" w:hAnsi="Times New Roman"/>
                <w:i w:val="false"/>
                <w:iCs w:val="false"/>
                <w:position w:val="0"/>
                <w:sz w:val="24"/>
                <w:sz w:val="24"/>
                <w:szCs w:val="24"/>
                <w:vertAlign w:val="baseline"/>
                <w:lang w:val="ru-RU"/>
              </w:rPr>
              <w:t>*</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103–119</w:t>
            </w:r>
          </w:p>
          <w:p>
            <w:pPr>
              <w:pStyle w:val="Normal"/>
              <w:bidi w:val="0"/>
              <w:spacing w:lineRule="auto" w:line="240"/>
              <w:jc w:val="start"/>
              <w:rPr>
                <w:rFonts w:ascii="Times New Roman" w:hAnsi="Times New Roman"/>
                <w:sz w:val="24"/>
                <w:szCs w:val="24"/>
                <w:lang w:val="ru-RU"/>
              </w:rPr>
            </w:pPr>
            <w:r>
              <w:rPr>
                <w:rFonts w:ascii="Times New Roman" w:hAnsi="Times New Roman"/>
                <w:sz w:val="24"/>
                <w:szCs w:val="24"/>
                <w:lang w:val="ru-RU"/>
              </w:rPr>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LELE25</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-TTCTTCCGTATGAGTGAGT</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5’-CTCTATTACTTATTATTATCG</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w:t>
            </w:r>
            <w:r>
              <w:rPr>
                <w:rFonts w:ascii="Times New Roman" w:hAnsi="Times New Roman"/>
                <w:sz w:val="24"/>
                <w:szCs w:val="24"/>
                <w:vertAlign w:val="subscript"/>
                <w:lang w:val="ru-RU"/>
              </w:rPr>
              <w:t>13-1</w:t>
            </w:r>
            <w:r>
              <w:rPr>
                <w:rFonts w:ascii="Times New Roman" w:hAnsi="Times New Roman"/>
                <w:position w:val="0"/>
                <w:sz w:val="24"/>
                <w:sz w:val="24"/>
                <w:szCs w:val="24"/>
                <w:vertAlign w:val="baseline"/>
                <w:lang w:val="ru-RU"/>
              </w:rPr>
              <w:t>*</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222–225</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LELEUZIP</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-GGTGATAATTTGGGAGGTTAC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5’-CGTAACAGGATGTGCTATAGG</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(AAG)</w:t>
            </w:r>
            <w:r>
              <w:rPr>
                <w:rFonts w:ascii="Times New Roman" w:hAnsi="Times New Roman"/>
                <w:i w:val="false"/>
                <w:iCs w:val="false"/>
                <w:sz w:val="24"/>
                <w:szCs w:val="24"/>
                <w:vertAlign w:val="subscript"/>
                <w:lang w:val="ru-RU"/>
              </w:rPr>
              <w:t>6-1</w:t>
            </w:r>
            <w:r>
              <w:rPr>
                <w:rFonts w:ascii="Times New Roman" w:hAnsi="Times New Roman"/>
                <w:sz w:val="24"/>
                <w:szCs w:val="24"/>
                <w:lang w:val="ru-RU"/>
              </w:rPr>
              <w:t>TT*</w:t>
            </w:r>
          </w:p>
        </w:tc>
        <w:tc>
          <w:tcPr>
            <w:tcW w:w="10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101-105</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LEMDDNA</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-ATTCAAGGAACTTTTAGCTCC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5’-TGCATTAAGGTTCATAAATGA</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w:t>
            </w:r>
            <w:r>
              <w:rPr>
                <w:rFonts w:ascii="Times New Roman" w:hAnsi="Times New Roman"/>
                <w:sz w:val="24"/>
                <w:szCs w:val="24"/>
                <w:vertAlign w:val="subscript"/>
                <w:lang w:val="ru-RU"/>
              </w:rPr>
              <w:t>9</w:t>
            </w:r>
          </w:p>
        </w:tc>
        <w:tc>
          <w:tcPr>
            <w:tcW w:w="10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210-226</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LEPRP4</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-TTCATTTCTTGCAACTACGAT</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5’-CATACTAGCAACATCAAAGGG</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(TAT)</w:t>
            </w:r>
            <w:r>
              <w:rPr>
                <w:rFonts w:ascii="Times New Roman" w:hAnsi="Times New Roman"/>
                <w:sz w:val="24"/>
                <w:szCs w:val="24"/>
                <w:vertAlign w:val="subscript"/>
                <w:lang w:val="ru-RU"/>
              </w:rPr>
              <w:t>3</w:t>
            </w:r>
            <w:r>
              <w:rPr>
                <w:rFonts w:ascii="Times New Roman" w:hAnsi="Times New Roman"/>
                <w:sz w:val="24"/>
                <w:szCs w:val="24"/>
                <w:lang w:val="ru-RU"/>
              </w:rPr>
              <w:t>(TGT)</w:t>
            </w:r>
            <w:r>
              <w:rPr>
                <w:rFonts w:ascii="Times New Roman" w:hAnsi="Times New Roman"/>
                <w:sz w:val="24"/>
                <w:szCs w:val="24"/>
                <w:vertAlign w:val="subscript"/>
                <w:lang w:val="ru-RU"/>
              </w:rPr>
              <w:t>5</w:t>
            </w:r>
          </w:p>
        </w:tc>
        <w:tc>
          <w:tcPr>
            <w:tcW w:w="10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108-112</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LESODB</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-TTATCAATTCATCATTGTGGC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5’-AGTAAGGGGTTTAGGGGTAGT</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(TTC)</w:t>
            </w:r>
            <w:r>
              <w:rPr>
                <w:rFonts w:ascii="Times New Roman" w:hAnsi="Times New Roman"/>
                <w:i w:val="false"/>
                <w:iCs w:val="false"/>
                <w:sz w:val="24"/>
                <w:szCs w:val="24"/>
                <w:vertAlign w:val="subscript"/>
                <w:lang w:val="ru-RU"/>
              </w:rPr>
              <w:t>6</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208–212</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rHeight w:val="737" w:hRule="atLeast"/>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LEATRACAb</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-GTATGTCAAATCTCTCTTGCG</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5’-ACTCTCCATCGTCTCTTTCAC</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(GA)</w:t>
            </w:r>
            <w:r>
              <w:rPr>
                <w:rFonts w:ascii="Times New Roman" w:hAnsi="Times New Roman"/>
                <w:sz w:val="24"/>
                <w:szCs w:val="24"/>
                <w:vertAlign w:val="subscript"/>
                <w:lang w:val="ru-RU"/>
              </w:rPr>
              <w:t>7</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184–186</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LPHSF24</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-TTGGATTTACAAGTTCGATGT</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5’-GCATTTGACTTGATAGCAGTC</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w:t>
            </w:r>
            <w:r>
              <w:rPr>
                <w:rFonts w:ascii="Times New Roman" w:hAnsi="Times New Roman"/>
                <w:sz w:val="24"/>
                <w:szCs w:val="24"/>
                <w:vertAlign w:val="subscript"/>
                <w:lang w:val="ru-RU"/>
              </w:rPr>
              <w:t>6</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156–158</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LECHSOD</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-TTATCAATTCATCATTGTGGC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5’-AGGGGTAGTGACAGCATAAAG</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(CTT)</w:t>
            </w:r>
            <w:r>
              <w:rPr>
                <w:rFonts w:ascii="Times New Roman" w:hAnsi="Times New Roman"/>
                <w:sz w:val="24"/>
                <w:szCs w:val="24"/>
                <w:vertAlign w:val="subscript"/>
                <w:lang w:val="ru-RU"/>
              </w:rPr>
              <w:t>6</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196–198</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LEMDDNb</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FAM</w:t>
            </w:r>
            <w:r>
              <w:rPr>
                <w:rFonts w:ascii="Times New Roman" w:hAnsi="Times New Roman"/>
                <w:sz w:val="20"/>
                <w:szCs w:val="20"/>
                <w:lang w:val="ru-RU"/>
              </w:rPr>
              <w:t>-TAAATACAAAAGCAGGAGTCG</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5’-GAGTTGACAGATCCTTCAATG</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(TG)</w:t>
            </w:r>
            <w:r>
              <w:rPr>
                <w:rFonts w:ascii="Times New Roman" w:hAnsi="Times New Roman"/>
                <w:sz w:val="24"/>
                <w:szCs w:val="24"/>
                <w:vertAlign w:val="subscript"/>
                <w:lang w:val="ru-RU"/>
              </w:rPr>
              <w:t>4</w:t>
            </w:r>
            <w:r>
              <w:rPr>
                <w:rFonts w:ascii="Times New Roman" w:hAnsi="Times New Roman"/>
                <w:sz w:val="24"/>
                <w:szCs w:val="24"/>
                <w:lang w:val="ru-RU"/>
              </w:rPr>
              <w:t>(TA)</w:t>
            </w:r>
            <w:r>
              <w:rPr>
                <w:rFonts w:ascii="Times New Roman" w:hAnsi="Times New Roman"/>
                <w:sz w:val="24"/>
                <w:szCs w:val="24"/>
                <w:vertAlign w:val="subscript"/>
                <w:lang w:val="ru-RU"/>
              </w:rPr>
              <w:t>4</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278–280</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TMS63</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-GCAGGTACGCACGCATATAT</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5’-GCTCCGTCAGGAATTCTCTC</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(AT)</w:t>
            </w:r>
            <w:r>
              <w:rPr>
                <w:rFonts w:ascii="Times New Roman" w:hAnsi="Times New Roman"/>
                <w:sz w:val="24"/>
                <w:szCs w:val="24"/>
                <w:vertAlign w:val="subscript"/>
                <w:lang w:val="ru-RU"/>
              </w:rPr>
              <w:t>4</w:t>
            </w:r>
            <w:r>
              <w:rPr>
                <w:rFonts w:ascii="Times New Roman" w:hAnsi="Times New Roman"/>
                <w:sz w:val="24"/>
                <w:szCs w:val="24"/>
                <w:lang w:val="ru-RU"/>
              </w:rPr>
              <w:t>(GT)</w:t>
            </w:r>
            <w:r>
              <w:rPr>
                <w:rFonts w:ascii="Times New Roman" w:hAnsi="Times New Roman"/>
                <w:sz w:val="24"/>
                <w:szCs w:val="24"/>
                <w:vertAlign w:val="subscript"/>
                <w:lang w:val="ru-RU"/>
              </w:rPr>
              <w:t>18</w:t>
            </w:r>
            <w:r>
              <w:rPr>
                <w:rFonts w:ascii="Times New Roman" w:hAnsi="Times New Roman"/>
                <w:sz w:val="24"/>
                <w:szCs w:val="24"/>
                <w:lang w:val="ru-RU"/>
              </w:rPr>
              <w:t>(AT)</w:t>
            </w:r>
            <w:r>
              <w:rPr>
                <w:rFonts w:ascii="Times New Roman" w:hAnsi="Times New Roman"/>
                <w:sz w:val="24"/>
                <w:szCs w:val="24"/>
                <w:vertAlign w:val="subscript"/>
                <w:lang w:val="ru-RU"/>
              </w:rPr>
              <w:t>9</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130–150**</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849" w:type="dxa"/>
            <w:vMerge w:val="restart"/>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t>[191]</w:t>
            </w:r>
          </w:p>
        </w:tc>
      </w:tr>
      <w:tr>
        <w:trPr/>
        <w:tc>
          <w:tcPr>
            <w:tcW w:w="141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TMS58</w:t>
            </w:r>
          </w:p>
        </w:tc>
        <w:tc>
          <w:tcPr>
            <w:tcW w:w="4311" w:type="dxa"/>
            <w:tcBorders>
              <w:start w:val="single" w:sz="2" w:space="0" w:color="000000"/>
              <w:bottom w:val="single" w:sz="2"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w:t>
            </w:r>
            <w:r>
              <w:rPr>
                <w:rFonts w:ascii="Times New Roman" w:hAnsi="Times New Roman"/>
                <w:b/>
                <w:bCs/>
                <w:sz w:val="20"/>
                <w:szCs w:val="20"/>
                <w:u w:val="single"/>
                <w:lang w:val="ru-RU"/>
              </w:rPr>
              <w:t>HEX</w:t>
            </w:r>
            <w:r>
              <w:rPr>
                <w:rFonts w:ascii="Times New Roman" w:hAnsi="Times New Roman"/>
                <w:sz w:val="20"/>
                <w:szCs w:val="20"/>
                <w:lang w:val="ru-RU"/>
              </w:rPr>
              <w:t>-CATTTGTTGTATGGCATCGC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5’-CAGTGACCTCTCGCACAAAA</w:t>
            </w:r>
          </w:p>
        </w:tc>
        <w:tc>
          <w:tcPr>
            <w:tcW w:w="123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(TA)</w:t>
            </w:r>
            <w:r>
              <w:rPr>
                <w:rFonts w:ascii="Times New Roman" w:hAnsi="Times New Roman"/>
                <w:sz w:val="24"/>
                <w:szCs w:val="24"/>
                <w:vertAlign w:val="subscript"/>
                <w:lang w:val="ru-RU"/>
              </w:rPr>
              <w:t>15</w:t>
            </w:r>
            <w:r>
              <w:rPr>
                <w:rFonts w:ascii="Times New Roman" w:hAnsi="Times New Roman"/>
                <w:sz w:val="24"/>
                <w:szCs w:val="24"/>
                <w:lang w:val="ru-RU"/>
              </w:rPr>
              <w:t>(TG)</w:t>
            </w:r>
            <w:r>
              <w:rPr>
                <w:rFonts w:ascii="Times New Roman" w:hAnsi="Times New Roman"/>
                <w:i w:val="false"/>
                <w:iCs w:val="false"/>
                <w:sz w:val="24"/>
                <w:szCs w:val="24"/>
                <w:vertAlign w:val="subscript"/>
                <w:lang w:val="ru-RU"/>
              </w:rPr>
              <w:t>17</w:t>
            </w:r>
          </w:p>
        </w:tc>
        <w:tc>
          <w:tcPr>
            <w:tcW w:w="1076" w:type="dxa"/>
            <w:tcBorders>
              <w:start w:val="single" w:sz="2" w:space="0" w:color="000000"/>
              <w:bottom w:val="single" w:sz="2"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223–226**</w:t>
            </w:r>
          </w:p>
        </w:tc>
        <w:tc>
          <w:tcPr>
            <w:tcW w:w="800"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849" w:type="dxa"/>
            <w:vMerge w:val="continue"/>
            <w:tcBorders>
              <w:start w:val="single" w:sz="2" w:space="0" w:color="000000"/>
              <w:bottom w:val="single" w:sz="2" w:space="0" w:color="000000"/>
              <w:end w:val="single" w:sz="2" w:space="0" w:color="000000"/>
            </w:tcBorders>
          </w:tcPr>
          <w:p>
            <w:pPr>
              <w:pStyle w:val="Normal"/>
              <w:rPr>
                <w:rFonts w:ascii="Times New Roman" w:hAnsi="Times New Roman"/>
              </w:rPr>
            </w:pPr>
            <w:r>
              <w:rPr>
                <w:rFonts w:ascii="Times New Roman" w:hAnsi="Times New Roman"/>
              </w:rPr>
            </w:r>
          </w:p>
        </w:tc>
      </w:tr>
      <w:tr>
        <w:trPr/>
        <w:tc>
          <w:tcPr>
            <w:tcW w:w="9687" w:type="dxa"/>
            <w:gridSpan w:val="6"/>
            <w:tcBorders/>
          </w:tcPr>
          <w:p>
            <w:pPr>
              <w:pStyle w:val="TableContents"/>
              <w:bidi w:val="0"/>
              <w:spacing w:lineRule="auto" w:line="240"/>
              <w:jc w:val="start"/>
              <w:rPr>
                <w:rFonts w:ascii="Times New Roman" w:hAnsi="Times New Roman"/>
              </w:rPr>
            </w:pPr>
            <w:r>
              <w:rPr>
                <w:rFonts w:ascii="Times New Roman" w:hAnsi="Times New Roman"/>
                <w:sz w:val="28"/>
                <w:szCs w:val="28"/>
                <w:lang w:val="ru-RU"/>
              </w:rPr>
              <w:t>* Индекс (-1) указывает на наличие несовершенного повтора</w:t>
            </w:r>
          </w:p>
          <w:p>
            <w:pPr>
              <w:pStyle w:val="TableContents"/>
              <w:bidi w:val="0"/>
              <w:spacing w:lineRule="auto" w:line="240"/>
              <w:jc w:val="start"/>
              <w:rPr>
                <w:rFonts w:ascii="Times New Roman" w:hAnsi="Times New Roman"/>
              </w:rPr>
            </w:pPr>
            <w:r>
              <w:rPr>
                <w:rFonts w:ascii="Times New Roman" w:hAnsi="Times New Roman"/>
                <w:sz w:val="28"/>
                <w:szCs w:val="28"/>
                <w:lang w:val="ru-RU"/>
              </w:rPr>
              <w:t>** Согласно [201]; в остальных случаях согласно [202]</w:t>
            </w:r>
          </w:p>
        </w:tc>
      </w:tr>
    </w:tbl>
    <w:p>
      <w:pPr>
        <w:pStyle w:val="Normal"/>
        <w:ind w:firstLine="720" w:start="0" w:end="0"/>
        <w:jc w:val="both"/>
        <w:rPr>
          <w:rFonts w:ascii="Times New Roman" w:hAnsi="Times New Roman"/>
          <w:sz w:val="28"/>
          <w:szCs w:val="28"/>
          <w:lang w:val="ru-RU"/>
        </w:rPr>
      </w:pPr>
      <w:r>
        <w:rPr>
          <w:rFonts w:ascii="Times New Roman" w:hAnsi="Times New Roman"/>
          <w:sz w:val="28"/>
          <w:szCs w:val="28"/>
          <w:lang w:val="ru-RU"/>
        </w:rPr>
      </w:r>
    </w:p>
    <w:p>
      <w:pPr>
        <w:pStyle w:val="Normal"/>
        <w:ind w:firstLine="720" w:start="0" w:end="0"/>
        <w:jc w:val="both"/>
        <w:rPr>
          <w:rFonts w:ascii="Times New Roman" w:hAnsi="Times New Roman"/>
          <w:sz w:val="28"/>
          <w:szCs w:val="28"/>
          <w:lang w:val="ru-RU"/>
        </w:rPr>
      </w:pPr>
      <w:r>
        <w:rPr>
          <w:rFonts w:ascii="Times New Roman" w:hAnsi="Times New Roman"/>
          <w:sz w:val="28"/>
          <w:szCs w:val="28"/>
          <w:lang w:val="ru-RU"/>
        </w:rPr>
      </w:r>
    </w:p>
    <w:p>
      <w:pPr>
        <w:pStyle w:val="Normal"/>
        <w:suppressAutoHyphens w:val="false"/>
        <w:ind w:hanging="0" w:start="0" w:end="0"/>
        <w:jc w:val="both"/>
        <w:rPr>
          <w:rFonts w:ascii="Times New Roman" w:hAnsi="Times New Roman"/>
        </w:rPr>
      </w:pPr>
      <w:r>
        <w:rPr>
          <w:rFonts w:ascii="Times New Roman" w:hAnsi="Times New Roman"/>
          <w:sz w:val="28"/>
          <w:szCs w:val="28"/>
          <w:lang w:val="ru-RU"/>
        </w:rPr>
        <w:t xml:space="preserve">деревьев в двух параллельных запусках. Параметры текущего анализа отслеживали с помощью встроенной статистики MrBayes и программы Tracer [203]. Анализ продолжали до достижения параметрами прогона стационарного распределения, согласно рекомендованным критериям MrBayes и Tracer </w:t>
      </w:r>
      <w:r>
        <w:rPr>
          <w:rFonts w:ascii="Times New Roman" w:hAnsi="Times New Roman"/>
          <w:b w:val="false"/>
          <w:i w:val="false"/>
          <w:caps w:val="false"/>
          <w:smallCaps w:val="false"/>
          <w:position w:val="0"/>
          <w:sz w:val="28"/>
          <w:sz w:val="28"/>
          <w:szCs w:val="28"/>
          <w:u w:val="none"/>
          <w:vertAlign w:val="baseline"/>
          <w:lang w:val="ru-RU"/>
        </w:rPr>
        <w:t>[192</w:t>
      </w:r>
      <w:r>
        <w:rPr>
          <w:rFonts w:ascii="Times New Roman" w:hAnsi="Times New Roman"/>
          <w:b w:val="false"/>
          <w:i w:val="false"/>
          <w:caps w:val="false"/>
          <w:smallCaps w:val="false"/>
          <w:position w:val="0"/>
          <w:sz w:val="24"/>
          <w:sz w:val="24"/>
          <w:u w:val="none"/>
          <w:vertAlign w:val="baseline"/>
        </w:rPr>
        <w:t>–</w:t>
      </w:r>
      <w:r>
        <w:rPr>
          <w:rFonts w:ascii="Times New Roman" w:hAnsi="Times New Roman"/>
          <w:b w:val="false"/>
          <w:i w:val="false"/>
          <w:caps w:val="false"/>
          <w:smallCaps w:val="false"/>
          <w:position w:val="0"/>
          <w:sz w:val="28"/>
          <w:sz w:val="28"/>
          <w:szCs w:val="28"/>
          <w:u w:val="none"/>
          <w:vertAlign w:val="baseline"/>
        </w:rPr>
        <w:t>194,203</w:t>
      </w:r>
      <w:r>
        <w:rPr>
          <w:rFonts w:ascii="Times New Roman" w:hAnsi="Times New Roman"/>
          <w:b w:val="false"/>
          <w:i w:val="false"/>
          <w:caps w:val="false"/>
          <w:smallCaps w:val="false"/>
          <w:position w:val="0"/>
          <w:sz w:val="24"/>
          <w:sz w:val="24"/>
          <w:u w:val="none"/>
          <w:vertAlign w:val="baseline"/>
        </w:rPr>
        <w:t>]</w:t>
      </w:r>
      <w:r>
        <w:rPr>
          <w:rFonts w:ascii="Times New Roman" w:hAnsi="Times New Roman"/>
          <w:sz w:val="28"/>
          <w:szCs w:val="28"/>
          <w:lang w:val="ru-RU"/>
        </w:rPr>
        <w:t>. Сводное дерево генерировали с использованием порога выгорания 50%. Алгоритм STRUCTURE запускали для ожидаемого числа кластеров K от 1 до 10 с использованием стандартной модели смешения с 50 000 итерациями выгорания и 100 000 итерациями MCMC. Чтобы найти оптимальное значение K, для каждого значения рассчитывали десять реплик, а для оценки ΔK использовали веб-сервер CLUMPAK [204], реализующий метод Эванно и др. [205].</w:t>
      </w:r>
    </w:p>
    <w:p>
      <w:pPr>
        <w:pStyle w:val="Normal"/>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rPr>
      </w:pPr>
      <w:r>
        <w:rPr>
          <w:rFonts w:ascii="Times New Roman" w:hAnsi="Times New Roman"/>
          <w:sz w:val="28"/>
          <w:szCs w:val="28"/>
          <w:lang w:val="ru-RU"/>
        </w:rPr>
        <w:t>2.2.1.3 Анализ молекулярных маркеров устойчивости томата к вирусным и грибоподобным заболеваниям</w:t>
      </w:r>
    </w:p>
    <w:p>
      <w:pPr>
        <w:pStyle w:val="Normal"/>
        <w:ind w:firstLine="737" w:start="0" w:end="0"/>
        <w:jc w:val="both"/>
        <w:rPr>
          <w:rFonts w:ascii="Times New Roman" w:hAnsi="Times New Roman"/>
        </w:rPr>
      </w:pPr>
      <w:r>
        <w:rPr>
          <w:rFonts w:ascii="Times New Roman" w:hAnsi="Times New Roman"/>
          <w:sz w:val="28"/>
          <w:szCs w:val="28"/>
          <w:lang w:val="ru-RU"/>
        </w:rPr>
        <w:t xml:space="preserve">ПЦР на известные ранее маркеры устойчивости к патогенам проводили в соответствии с опубликованными протоколами (таблица 8). Для проверки результатов амплификации использовали электрофорез в 2 % агарозном геле в присутствии ТАЕ буфера при 80 В. Маркеры, требующие рестрикции (CAPS), обрабатывали соответствующими эндонуклеазами в 20 мкл смеси, содержащей 5 мкл смеси для ПЦР, 0,5 мкл фермента и 2 мкл соответствующего буфера для рестрикции, в соответствии с рекомендациями производителя. Рестрикцию проводили в течение ночи с использованием стандартных ферментов или в течение часа с ферментами серии FastDigest™ (Thermo Fisher Scientific, США). Результаты рестрикции оценивали с помощью электрофореза в 2% агарозном геле, как описаны выше. Размеры амплифицированных фрагментов оценивали путем сравнения со стандартными маркерами молекулярных размер нуклеиновых кислот. Все результаты генотипирования по маркерам резистентности интерпретировали в соответствии с результатами, приведенными в исходных публикациях. </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rPr>
      </w:pPr>
      <w:r>
        <w:rPr>
          <w:rFonts w:ascii="Times New Roman" w:hAnsi="Times New Roman"/>
          <w:sz w:val="28"/>
          <w:szCs w:val="28"/>
          <w:lang w:val="ru-RU"/>
        </w:rPr>
        <w:t xml:space="preserve">2.2.2 </w:t>
      </w:r>
      <w:r>
        <w:rPr>
          <w:rFonts w:ascii="Times New Roman" w:hAnsi="Times New Roman"/>
          <w:b w:val="false"/>
          <w:sz w:val="28"/>
          <w:szCs w:val="28"/>
          <w:lang w:val="ru-RU"/>
        </w:rPr>
        <w:t xml:space="preserve">CRISPR/Cas9 редактирование генов группы </w:t>
      </w:r>
      <w:r>
        <w:rPr>
          <w:rFonts w:ascii="Times New Roman" w:hAnsi="Times New Roman"/>
          <w:b w:val="false"/>
          <w:i/>
          <w:iCs/>
          <w:sz w:val="28"/>
          <w:szCs w:val="28"/>
          <w:lang w:val="ru-RU"/>
        </w:rPr>
        <w:t>Mlo</w:t>
      </w:r>
      <w:r>
        <w:rPr>
          <w:rFonts w:ascii="Times New Roman" w:hAnsi="Times New Roman"/>
          <w:b w:val="false"/>
          <w:sz w:val="28"/>
          <w:szCs w:val="28"/>
          <w:lang w:val="ru-RU"/>
        </w:rPr>
        <w:t xml:space="preserve"> в отобранных сортах томата для получения растений, устойчивых к грибковым заболеваниям</w:t>
      </w:r>
    </w:p>
    <w:p>
      <w:pPr>
        <w:pStyle w:val="Normal"/>
        <w:ind w:firstLine="737" w:start="0" w:end="0"/>
        <w:jc w:val="both"/>
        <w:rPr>
          <w:rFonts w:ascii="Times New Roman" w:hAnsi="Times New Roman"/>
        </w:rPr>
      </w:pPr>
      <w:r>
        <w:rPr>
          <w:rFonts w:ascii="Times New Roman" w:hAnsi="Times New Roman"/>
          <w:sz w:val="28"/>
          <w:szCs w:val="28"/>
          <w:lang w:val="ru-RU"/>
        </w:rPr>
        <w:t xml:space="preserve">2.2.2.1 Разработка направляющих РНК </w:t>
      </w:r>
      <w:r>
        <w:rPr>
          <w:rFonts w:ascii="Times New Roman" w:hAnsi="Times New Roman"/>
          <w:i w:val="false"/>
          <w:iCs w:val="false"/>
          <w:sz w:val="28"/>
          <w:szCs w:val="28"/>
          <w:lang w:val="ru-RU"/>
        </w:rPr>
        <w:t>и конструирование вектора, несущего систему CRISPR/Cas9</w:t>
      </w:r>
      <w:r>
        <w:rPr>
          <w:rFonts w:ascii="Times New Roman" w:hAnsi="Times New Roman"/>
          <w:sz w:val="28"/>
          <w:szCs w:val="28"/>
          <w:lang w:val="ru-RU"/>
        </w:rPr>
        <w:t xml:space="preserve"> для редактирования генов</w:t>
      </w:r>
      <w:r>
        <w:rPr>
          <w:rFonts w:ascii="Times New Roman" w:hAnsi="Times New Roman"/>
          <w:i/>
          <w:iCs/>
          <w:sz w:val="28"/>
          <w:szCs w:val="28"/>
          <w:lang w:val="ru-RU"/>
        </w:rPr>
        <w:t xml:space="preserve"> Mlo</w:t>
      </w:r>
      <w:r>
        <w:rPr>
          <w:rFonts w:ascii="Times New Roman" w:hAnsi="Times New Roman"/>
          <w:i w:val="false"/>
          <w:iCs w:val="false"/>
          <w:sz w:val="28"/>
          <w:szCs w:val="28"/>
          <w:lang w:val="ru-RU"/>
        </w:rPr>
        <w:t xml:space="preserve"> томата</w:t>
      </w:r>
    </w:p>
    <w:p>
      <w:pPr>
        <w:pStyle w:val="Normal"/>
        <w:ind w:firstLine="737" w:start="0" w:end="0"/>
        <w:jc w:val="both"/>
        <w:rPr/>
      </w:pPr>
      <w:r>
        <w:rPr>
          <w:rFonts w:ascii="Times New Roman" w:hAnsi="Times New Roman"/>
          <w:i w:val="false"/>
          <w:iCs w:val="false"/>
          <w:sz w:val="28"/>
          <w:szCs w:val="28"/>
          <w:lang w:val="ru-RU"/>
        </w:rPr>
        <w:t>Для поиска потенциальных последовательностей нРНК была использована платформа RGEN Tools (</w:t>
      </w:r>
      <w:hyperlink r:id="rId11">
        <w:r>
          <w:rPr>
            <w:rStyle w:val="Hyperlink"/>
            <w:rFonts w:ascii="Times New Roman" w:hAnsi="Times New Roman"/>
            <w:sz w:val="28"/>
            <w:szCs w:val="28"/>
            <w:lang w:val="ru-RU"/>
          </w:rPr>
          <w:t>http://www.rgenome.net/cas-database/</w:t>
        </w:r>
      </w:hyperlink>
      <w:r>
        <w:rPr>
          <w:rFonts w:ascii="Times New Roman" w:hAnsi="Times New Roman"/>
          <w:i w:val="false"/>
          <w:iCs w:val="false"/>
          <w:sz w:val="28"/>
          <w:szCs w:val="28"/>
          <w:lang w:val="ru-RU"/>
        </w:rPr>
        <w:t xml:space="preserve">) [206]. Для поиска была использована сборка генома томата SL 2.5 от консорциума «SolGenomics Network» [207]. Аннотированные локусы Solyc04g049090, Solyc03g095650, Solyc11g069220, соответствующие генам </w:t>
      </w:r>
      <w:r>
        <w:rPr>
          <w:rFonts w:ascii="Times New Roman" w:hAnsi="Times New Roman"/>
          <w:i/>
          <w:iCs/>
          <w:sz w:val="28"/>
          <w:szCs w:val="28"/>
          <w:lang w:val="ru-RU"/>
        </w:rPr>
        <w:t xml:space="preserve">SlMlo1, SlMlo5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SlMlo8</w:t>
      </w:r>
      <w:r>
        <w:rPr>
          <w:rFonts w:ascii="Times New Roman" w:hAnsi="Times New Roman"/>
          <w:i w:val="false"/>
          <w:iCs w:val="false"/>
          <w:sz w:val="28"/>
          <w:szCs w:val="28"/>
          <w:lang w:val="ru-RU"/>
        </w:rPr>
        <w:t xml:space="preserve"> [19], были выбраны в качестве мишеней для поиска потенциальныех нРНК. </w:t>
      </w:r>
      <w:r>
        <w:rPr>
          <w:rFonts w:eastAsia="Calibri" w:cs="Times New Roman" w:ascii="Times New Roman" w:hAnsi="Times New Roman"/>
          <w:i w:val="false"/>
          <w:iCs w:val="false"/>
          <w:sz w:val="28"/>
          <w:szCs w:val="28"/>
          <w:lang w:val="ru-RU"/>
        </w:rPr>
        <w:t>Длина целевых участков составляла 23 нуклеотида, включая мотив РАМ.</w:t>
      </w:r>
      <w:r>
        <w:rPr>
          <w:rFonts w:eastAsia="Calibri" w:cs="Times New Roman" w:ascii="Times New Roman" w:hAnsi="Times New Roman"/>
          <w:i w:val="false"/>
          <w:iCs w:val="false"/>
          <w:sz w:val="24"/>
          <w:szCs w:val="24"/>
          <w:lang w:val="ru-RU"/>
        </w:rPr>
        <w:t xml:space="preserve"> </w:t>
      </w:r>
      <w:r>
        <w:rPr>
          <w:rFonts w:ascii="Times New Roman" w:hAnsi="Times New Roman"/>
          <w:i w:val="false"/>
          <w:iCs w:val="false"/>
          <w:sz w:val="28"/>
          <w:szCs w:val="28"/>
          <w:lang w:val="ru-RU"/>
        </w:rPr>
        <w:t>Критерием выбора последовательностей-кандидатов нРНК было их расположение в кодирующих областях гена (экзонах), расположенных в среднем регионе гена. Для увеличения вероятности внесения делеций в последовательности генов выбирались два сайта для нРНК, расположенные на расстоянии 40-60 п.н.. Дополнительно отбирались альтернативные последовательности для каждого локуса.</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rPr>
        <w:t>Методика клонирования разработанных последовательностей нРНК в плазмиду pCBC-DT1T2 перед внесением конструкций в растение включает в себя следующие этапы:</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1. Клонирование GoldenGate.</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Первый этап клонирования – амплификация на матрице плазмиды pCBC-DT1T2 со специфичными праймерами (таблица 9). </w:t>
      </w:r>
    </w:p>
    <w:p>
      <w:pPr>
        <w:pStyle w:val="Normal"/>
        <w:ind w:hanging="0" w:start="0" w:end="0"/>
        <w:jc w:val="both"/>
        <w:rPr>
          <w:rFonts w:ascii="Times New Roman" w:hAnsi="Times New Roman"/>
        </w:rPr>
      </w:pPr>
      <w:r>
        <w:rPr>
          <w:rFonts w:ascii="Times New Roman" w:hAnsi="Times New Roman"/>
          <w:sz w:val="28"/>
          <w:szCs w:val="28"/>
          <w:lang w:val="ru-RU"/>
        </w:rPr>
        <w:t>Таблица 8 – ПЦР праймеры для амплификации SCAR и CAPS маркеров устойчивости томата к патогенам</w:t>
      </w:r>
    </w:p>
    <w:p>
      <w:pPr>
        <w:pStyle w:val="Normal"/>
        <w:ind w:hanging="0" w:start="0" w:end="0"/>
        <w:jc w:val="both"/>
        <w:rPr>
          <w:rFonts w:ascii="Times New Roman" w:hAnsi="Times New Roman"/>
        </w:rPr>
      </w:pPr>
      <w:r>
        <w:rPr>
          <w:rFonts w:ascii="Times New Roman" w:hAnsi="Times New Roman"/>
        </w:rPr>
      </w:r>
    </w:p>
    <w:tbl>
      <w:tblPr>
        <w:tblW w:w="9643" w:type="dxa"/>
        <w:jc w:val="start"/>
        <w:tblInd w:w="-5" w:type="dxa"/>
        <w:tblLayout w:type="fixed"/>
        <w:tblCellMar>
          <w:top w:w="55" w:type="dxa"/>
          <w:start w:w="55" w:type="dxa"/>
          <w:bottom w:w="55" w:type="dxa"/>
          <w:end w:w="55" w:type="dxa"/>
        </w:tblCellMar>
      </w:tblPr>
      <w:tblGrid>
        <w:gridCol w:w="1125"/>
        <w:gridCol w:w="63"/>
        <w:gridCol w:w="912"/>
        <w:gridCol w:w="150"/>
        <w:gridCol w:w="812"/>
        <w:gridCol w:w="100"/>
        <w:gridCol w:w="4193"/>
        <w:gridCol w:w="294"/>
        <w:gridCol w:w="855"/>
        <w:gridCol w:w="220"/>
        <w:gridCol w:w="918"/>
      </w:tblGrid>
      <w:tr>
        <w:trPr/>
        <w:tc>
          <w:tcPr>
            <w:tcW w:w="1188" w:type="dxa"/>
            <w:gridSpan w:val="2"/>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Патоген</w:t>
            </w:r>
          </w:p>
        </w:tc>
        <w:tc>
          <w:tcPr>
            <w:tcW w:w="912" w:type="dxa"/>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Локус устойчивости</w:t>
            </w:r>
          </w:p>
        </w:tc>
        <w:tc>
          <w:tcPr>
            <w:tcW w:w="962" w:type="dxa"/>
            <w:gridSpan w:val="2"/>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Маркер</w:t>
            </w:r>
          </w:p>
        </w:tc>
        <w:tc>
          <w:tcPr>
            <w:tcW w:w="4587" w:type="dxa"/>
            <w:gridSpan w:val="3"/>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Праймеры</w:t>
            </w:r>
          </w:p>
        </w:tc>
        <w:tc>
          <w:tcPr>
            <w:tcW w:w="1075" w:type="dxa"/>
            <w:gridSpan w:val="2"/>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Ферменты рестрик-ции</w:t>
            </w:r>
          </w:p>
        </w:tc>
        <w:tc>
          <w:tcPr>
            <w:tcW w:w="918" w:type="dxa"/>
            <w:tcBorders>
              <w:top w:val="single" w:sz="4" w:space="0" w:color="000000"/>
              <w:start w:val="single" w:sz="4" w:space="0" w:color="000000"/>
              <w:bottom w:val="single" w:sz="4" w:space="0" w:color="000000"/>
              <w:end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Ссылки</w:t>
            </w:r>
          </w:p>
        </w:tc>
      </w:tr>
      <w:tr>
        <w:trPr/>
        <w:tc>
          <w:tcPr>
            <w:tcW w:w="1188" w:type="dxa"/>
            <w:gridSpan w:val="2"/>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Phytophtora infestans</w:t>
            </w:r>
          </w:p>
        </w:tc>
        <w:tc>
          <w:tcPr>
            <w:tcW w:w="912"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Ph-3</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Ph3.gsm</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5'-TAGTATGGTCAAACATATGCAG</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5'-CTTCAAGTTGCAGAAAGCTATC</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FD</w:t>
            </w:r>
            <w:r>
              <w:rPr>
                <w:rFonts w:ascii="Times New Roman" w:hAnsi="Times New Roman"/>
                <w:i/>
                <w:iCs/>
                <w:sz w:val="24"/>
                <w:szCs w:val="24"/>
                <w:lang w:val="ru-RU"/>
              </w:rPr>
              <w:t xml:space="preserve"> Hin</w:t>
            </w:r>
            <w:r>
              <w:rPr>
                <w:rFonts w:ascii="Times New Roman" w:hAnsi="Times New Roman"/>
                <w:i w:val="false"/>
                <w:iCs w:val="false"/>
                <w:sz w:val="24"/>
                <w:szCs w:val="24"/>
                <w:lang w:val="ru-RU"/>
              </w:rPr>
              <w:t>c</w:t>
            </w:r>
            <w:r>
              <w:rPr>
                <w:rFonts w:ascii="Times New Roman" w:hAnsi="Times New Roman"/>
                <w:sz w:val="24"/>
                <w:szCs w:val="24"/>
                <w:lang w:val="ru-RU"/>
              </w:rPr>
              <w:t>II</w:t>
            </w:r>
          </w:p>
        </w:tc>
        <w:tc>
          <w:tcPr>
            <w:tcW w:w="918"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[90]</w:t>
            </w:r>
          </w:p>
        </w:tc>
      </w:tr>
      <w:tr>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TG328</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5'-GGTGATCTGCTTATAGACTTGGG</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5'-AAGGTCTAAAGAAGGCTGGTGC</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FD</w:t>
            </w:r>
            <w:r>
              <w:rPr>
                <w:rFonts w:ascii="Times New Roman" w:hAnsi="Times New Roman"/>
                <w:i/>
                <w:iCs/>
                <w:sz w:val="24"/>
                <w:szCs w:val="24"/>
                <w:lang w:val="ru-RU"/>
              </w:rPr>
              <w:t xml:space="preserve"> Mva</w:t>
            </w:r>
            <w:r>
              <w:rPr>
                <w:rFonts w:ascii="Times New Roman" w:hAnsi="Times New Roman"/>
                <w:sz w:val="24"/>
                <w:szCs w:val="24"/>
                <w:lang w:val="ru-RU"/>
              </w:rPr>
              <w:t>I (</w:t>
            </w:r>
            <w:r>
              <w:rPr>
                <w:rFonts w:ascii="Times New Roman" w:hAnsi="Times New Roman"/>
                <w:i/>
                <w:iCs/>
                <w:sz w:val="24"/>
                <w:szCs w:val="24"/>
                <w:lang w:val="ru-RU"/>
              </w:rPr>
              <w:t>Bst</w:t>
            </w:r>
            <w:r>
              <w:rPr>
                <w:rFonts w:ascii="Times New Roman" w:hAnsi="Times New Roman"/>
                <w:sz w:val="24"/>
                <w:szCs w:val="24"/>
                <w:lang w:val="ru-RU"/>
              </w:rPr>
              <w:t>NI) *</w:t>
            </w:r>
          </w:p>
        </w:tc>
        <w:tc>
          <w:tcPr>
            <w:tcW w:w="918"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[80,89]</w:t>
            </w:r>
          </w:p>
        </w:tc>
      </w:tr>
      <w:tr>
        <w:trPr/>
        <w:tc>
          <w:tcPr>
            <w:tcW w:w="1188" w:type="dxa"/>
            <w:gridSpan w:val="2"/>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Fusarium oxysporum</w:t>
            </w:r>
          </w:p>
        </w:tc>
        <w:tc>
          <w:tcPr>
            <w:tcW w:w="912" w:type="dxa"/>
            <w:tcBorders>
              <w:start w:val="single" w:sz="4" w:space="0" w:color="000000"/>
              <w:bottom w:val="single" w:sz="4" w:space="0" w:color="000000"/>
            </w:tcBorders>
          </w:tcPr>
          <w:p>
            <w:pPr>
              <w:pStyle w:val="BodyText"/>
              <w:bidi w:val="0"/>
              <w:spacing w:lineRule="auto" w:line="240" w:before="0" w:after="140"/>
              <w:jc w:val="start"/>
              <w:rPr>
                <w:rFonts w:ascii="Times New Roman" w:hAnsi="Times New Roman"/>
              </w:rPr>
            </w:pPr>
            <w:r>
              <w:rPr>
                <w:rFonts w:ascii="Times New Roman" w:hAnsi="Times New Roman"/>
                <w:i/>
                <w:iCs/>
                <w:sz w:val="24"/>
                <w:szCs w:val="24"/>
                <w:lang w:val="ru-RU"/>
              </w:rPr>
              <w:t>I</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At2 </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5'-CGAATCTGTATATTACATCCGTCGT</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5'-GGTGAATACCGATCATAGTCGAG</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 control (LAT):</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 xml:space="preserve">F: 5'-AGACCACGAGAACGATATTTGC </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5'-TTCTTGCCTTTTCATATCCAGACA</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vMerge w:val="restart"/>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[95]</w:t>
            </w:r>
          </w:p>
        </w:tc>
      </w:tr>
      <w:tr>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tcBorders>
              <w:start w:val="single" w:sz="4" w:space="0" w:color="000000"/>
              <w:bottom w:val="single" w:sz="4" w:space="0" w:color="000000"/>
            </w:tcBorders>
          </w:tcPr>
          <w:p>
            <w:pPr>
              <w:pStyle w:val="BodyText"/>
              <w:bidi w:val="0"/>
              <w:spacing w:lineRule="auto" w:line="240" w:before="0" w:after="140"/>
              <w:jc w:val="start"/>
              <w:rPr>
                <w:rFonts w:ascii="Times New Roman" w:hAnsi="Times New Roman"/>
              </w:rPr>
            </w:pPr>
            <w:r>
              <w:rPr>
                <w:rFonts w:ascii="Times New Roman" w:hAnsi="Times New Roman"/>
                <w:i/>
                <w:iCs/>
                <w:sz w:val="24"/>
                <w:szCs w:val="24"/>
                <w:lang w:val="ru-RU"/>
              </w:rPr>
              <w:t>I2</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SCAR</w:t>
            </w:r>
          </w:p>
          <w:p>
            <w:pPr>
              <w:pStyle w:val="TableContents"/>
              <w:bidi w:val="0"/>
              <w:spacing w:lineRule="auto" w:line="240"/>
              <w:jc w:val="start"/>
              <w:rPr>
                <w:rFonts w:ascii="Times New Roman" w:hAnsi="Times New Roman"/>
              </w:rPr>
            </w:pPr>
            <w:r>
              <w:rPr>
                <w:rFonts w:ascii="Times New Roman" w:hAnsi="Times New Roman"/>
                <w:sz w:val="24"/>
                <w:szCs w:val="24"/>
                <w:lang w:val="ru-RU"/>
              </w:rPr>
              <w:t>Z1063</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5'-ATTTGAAAGCGTGGTATTGC</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5'-CTTAAACTCACCATTAAATC</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 control (Rubisco):</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F: 5'-ATGTCACCACAAACAGAGAC</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5'-CTCACAAGCAGCAGCTAG</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188"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Tomato mosaic virus (ToMV)</w:t>
            </w:r>
          </w:p>
        </w:tc>
        <w:tc>
          <w:tcPr>
            <w:tcW w:w="9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Tm2</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PrRuG086-151</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5'-GAGTTCTTCCGTTCAAATCCTAAGCTTGAGAAG</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5'-CTACTACACTCACGTTGCTGTGATGCAC</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Ksp</w:t>
            </w:r>
            <w:r>
              <w:rPr>
                <w:rFonts w:ascii="Times New Roman" w:hAnsi="Times New Roman"/>
                <w:i w:val="false"/>
                <w:iCs w:val="false"/>
                <w:sz w:val="24"/>
                <w:szCs w:val="24"/>
                <w:lang w:val="ru-RU"/>
              </w:rPr>
              <w:t>A</w:t>
            </w:r>
            <w:r>
              <w:rPr>
                <w:rFonts w:ascii="Times New Roman" w:hAnsi="Times New Roman"/>
                <w:sz w:val="24"/>
                <w:szCs w:val="24"/>
                <w:lang w:val="ru-RU"/>
              </w:rPr>
              <w:t>I (</w:t>
            </w:r>
            <w:r>
              <w:rPr>
                <w:rFonts w:ascii="Times New Roman" w:hAnsi="Times New Roman"/>
                <w:i/>
                <w:iCs/>
                <w:sz w:val="24"/>
                <w:szCs w:val="24"/>
                <w:lang w:val="ru-RU"/>
              </w:rPr>
              <w:t>Hpa</w:t>
            </w:r>
            <w:r>
              <w:rPr>
                <w:rFonts w:ascii="Times New Roman" w:hAnsi="Times New Roman"/>
                <w:sz w:val="24"/>
                <w:szCs w:val="24"/>
                <w:lang w:val="ru-RU"/>
              </w:rPr>
              <w:t>I) *</w:t>
            </w:r>
          </w:p>
        </w:tc>
        <w:tc>
          <w:tcPr>
            <w:tcW w:w="918" w:type="dxa"/>
            <w:tcBorders>
              <w:start w:val="single" w:sz="4" w:space="0" w:color="000000"/>
              <w:bottom w:val="single" w:sz="4" w:space="0" w:color="000000"/>
              <w:end w:val="single" w:sz="4" w:space="0" w:color="000000"/>
            </w:tcBorders>
          </w:tcPr>
          <w:p>
            <w:pPr>
              <w:pStyle w:val="TableContents"/>
              <w:rPr>
                <w:rFonts w:ascii="Times New Roman" w:hAnsi="Times New Roman"/>
                <w:sz w:val="24"/>
                <w:szCs w:val="24"/>
              </w:rPr>
            </w:pPr>
            <w:r>
              <w:rPr>
                <w:rFonts w:ascii="Times New Roman" w:hAnsi="Times New Roman"/>
                <w:sz w:val="24"/>
                <w:szCs w:val="24"/>
              </w:rPr>
              <w:t>[77]</w:t>
            </w:r>
          </w:p>
        </w:tc>
      </w:tr>
      <w:tr>
        <w:trPr/>
        <w:tc>
          <w:tcPr>
            <w:tcW w:w="1188"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Tomato spotted wilt virus (TSWV)</w:t>
            </w:r>
          </w:p>
        </w:tc>
        <w:tc>
          <w:tcPr>
            <w:tcW w:w="9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Sw-5</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NCSw-003</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5'-TCTCGTTATCCAATTTCACC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5'-GCAATTTTGTTTCTTGGTCT</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vMerge w:val="restart"/>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sz w:val="24"/>
                <w:szCs w:val="24"/>
                <w:lang w:val="ru-RU"/>
              </w:rPr>
              <w:t>[208]</w:t>
            </w:r>
          </w:p>
        </w:tc>
      </w:tr>
      <w:tr>
        <w:trPr/>
        <w:tc>
          <w:tcPr>
            <w:tcW w:w="1188" w:type="dxa"/>
            <w:gridSpan w:val="2"/>
            <w:vMerge w:val="restart"/>
            <w:tcBorders>
              <w:start w:val="single" w:sz="4" w:space="0" w:color="000000"/>
              <w:bottom w:val="single" w:sz="4" w:space="0" w:color="000000"/>
            </w:tcBorders>
          </w:tcPr>
          <w:p>
            <w:pPr>
              <w:pStyle w:val="Normal"/>
              <w:rPr>
                <w:rFonts w:ascii="Times New Roman" w:hAnsi="Times New Roman"/>
                <w:sz w:val="24"/>
                <w:szCs w:val="24"/>
              </w:rPr>
            </w:pPr>
            <w:r>
              <w:rPr>
                <w:rFonts w:ascii="Times New Roman" w:hAnsi="Times New Roman"/>
                <w:sz w:val="24"/>
                <w:szCs w:val="24"/>
              </w:rPr>
            </w:r>
          </w:p>
          <w:p>
            <w:pPr>
              <w:pStyle w:val="Normal"/>
              <w:bidi w:val="0"/>
              <w:spacing w:lineRule="auto" w:line="240"/>
              <w:jc w:val="start"/>
              <w:rPr>
                <w:rFonts w:ascii="Times New Roman" w:hAnsi="Times New Roman"/>
              </w:rPr>
            </w:pPr>
            <w:r>
              <w:rPr>
                <w:rFonts w:ascii="Times New Roman" w:hAnsi="Times New Roman"/>
                <w:sz w:val="24"/>
                <w:szCs w:val="24"/>
                <w:lang w:val="ru-RU"/>
              </w:rPr>
              <w:t>Tomato yellow curly leaf virus (TYLCV)</w:t>
            </w:r>
          </w:p>
        </w:tc>
        <w:tc>
          <w:tcPr>
            <w:tcW w:w="912" w:type="dxa"/>
            <w:tcBorders>
              <w:start w:val="single" w:sz="4" w:space="0" w:color="000000"/>
              <w:bottom w:val="single" w:sz="4" w:space="0" w:color="000000"/>
            </w:tcBorders>
          </w:tcPr>
          <w:p>
            <w:pPr>
              <w:pStyle w:val="Normal"/>
              <w:rPr>
                <w:rFonts w:ascii="Times New Roman" w:hAnsi="Times New Roman"/>
                <w:sz w:val="24"/>
                <w:szCs w:val="24"/>
              </w:rPr>
            </w:pPr>
            <w:r>
              <w:rPr>
                <w:rFonts w:ascii="Times New Roman" w:hAnsi="Times New Roman"/>
                <w:sz w:val="24"/>
                <w:szCs w:val="24"/>
              </w:rPr>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NCSw-012</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5'-ATGGTCAACTCGATCAGAAC</w:t>
              <w:tab/>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5'-TTTGGTGAGGATCTGATTTC</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vMerge w:val="continue"/>
            <w:tcBorders>
              <w:start w:val="single" w:sz="4" w:space="0" w:color="000000"/>
              <w:bottom w:val="single" w:sz="4" w:space="0" w:color="000000"/>
              <w:end w:val="single" w:sz="4" w:space="0" w:color="000000"/>
            </w:tcBorders>
          </w:tcPr>
          <w:p>
            <w:pPr>
              <w:pStyle w:val="Normal"/>
              <w:rPr>
                <w:rFonts w:ascii="Times New Roman" w:hAnsi="Times New Roman"/>
                <w:sz w:val="24"/>
                <w:szCs w:val="24"/>
              </w:rPr>
            </w:pPr>
            <w:r>
              <w:rPr>
                <w:rFonts w:ascii="Times New Roman" w:hAnsi="Times New Roman"/>
                <w:sz w:val="24"/>
                <w:szCs w:val="24"/>
              </w:rPr>
            </w:r>
          </w:p>
        </w:tc>
      </w:tr>
      <w:tr>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tcBorders>
              <w:start w:val="single" w:sz="4" w:space="0" w:color="000000"/>
              <w:bottom w:val="single" w:sz="4" w:space="0" w:color="000000"/>
            </w:tcBorders>
          </w:tcPr>
          <w:p>
            <w:pPr>
              <w:pStyle w:val="Normal"/>
              <w:rPr>
                <w:rFonts w:ascii="Times New Roman" w:hAnsi="Times New Roman"/>
                <w:sz w:val="24"/>
                <w:szCs w:val="24"/>
              </w:rPr>
            </w:pPr>
            <w:r>
              <w:rPr>
                <w:rFonts w:ascii="Times New Roman" w:hAnsi="Times New Roman"/>
                <w:sz w:val="24"/>
                <w:szCs w:val="24"/>
              </w:rPr>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NCSw-007</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5'-GTTGCTAACTCGACTCGTTC</w:t>
              <w:tab/>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5'-TCACTCACGTCCTATTGACA</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 xml:space="preserve">FD </w:t>
            </w:r>
            <w:r>
              <w:rPr>
                <w:rFonts w:ascii="Times New Roman" w:hAnsi="Times New Roman"/>
                <w:i/>
                <w:iCs/>
                <w:sz w:val="24"/>
                <w:szCs w:val="24"/>
                <w:lang w:val="ru-RU"/>
              </w:rPr>
              <w:t>Hin</w:t>
            </w:r>
            <w:r>
              <w:rPr>
                <w:rFonts w:ascii="Times New Roman" w:hAnsi="Times New Roman"/>
                <w:i w:val="false"/>
                <w:iCs w:val="false"/>
                <w:sz w:val="24"/>
                <w:szCs w:val="24"/>
                <w:lang w:val="ru-RU"/>
              </w:rPr>
              <w:t>f</w:t>
            </w:r>
            <w:r>
              <w:rPr>
                <w:rFonts w:ascii="Times New Roman" w:hAnsi="Times New Roman"/>
                <w:sz w:val="24"/>
                <w:szCs w:val="24"/>
                <w:lang w:val="ru-RU"/>
              </w:rPr>
              <w:t>I</w:t>
            </w:r>
          </w:p>
        </w:tc>
        <w:tc>
          <w:tcPr>
            <w:tcW w:w="918" w:type="dxa"/>
            <w:vMerge w:val="continue"/>
            <w:tcBorders>
              <w:start w:val="single" w:sz="4" w:space="0" w:color="000000"/>
              <w:bottom w:val="single" w:sz="4" w:space="0" w:color="000000"/>
              <w:end w:val="single" w:sz="4" w:space="0" w:color="000000"/>
            </w:tcBorders>
          </w:tcPr>
          <w:p>
            <w:pPr>
              <w:pStyle w:val="Normal"/>
              <w:rPr>
                <w:rFonts w:ascii="Times New Roman" w:hAnsi="Times New Roman"/>
                <w:sz w:val="24"/>
                <w:szCs w:val="24"/>
              </w:rPr>
            </w:pPr>
            <w:r>
              <w:rPr>
                <w:rFonts w:ascii="Times New Roman" w:hAnsi="Times New Roman"/>
                <w:sz w:val="24"/>
                <w:szCs w:val="24"/>
              </w:rPr>
            </w:r>
          </w:p>
        </w:tc>
      </w:tr>
      <w:tr>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tcBorders>
              <w:start w:val="single" w:sz="4" w:space="0" w:color="000000"/>
              <w:bottom w:val="single" w:sz="4" w:space="0" w:color="000000"/>
            </w:tcBorders>
          </w:tcPr>
          <w:p>
            <w:pPr>
              <w:pStyle w:val="Normal"/>
              <w:rPr>
                <w:rFonts w:ascii="Times New Roman" w:hAnsi="Times New Roman"/>
                <w:sz w:val="24"/>
                <w:szCs w:val="24"/>
              </w:rPr>
            </w:pPr>
            <w:r>
              <w:rPr>
                <w:rFonts w:ascii="Times New Roman" w:hAnsi="Times New Roman"/>
                <w:sz w:val="24"/>
                <w:szCs w:val="24"/>
              </w:rPr>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NCSw-011</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5'-TATCATCCTCATACCCCTTG</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5'-GGATTTTCTCATCATCTCCA</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u w:val="none"/>
                <w:lang w:val="ru-RU"/>
              </w:rPr>
              <w:t>Hpy</w:t>
            </w:r>
            <w:r>
              <w:rPr>
                <w:rFonts w:ascii="Times New Roman" w:hAnsi="Times New Roman"/>
                <w:i w:val="false"/>
                <w:iCs w:val="false"/>
                <w:sz w:val="24"/>
                <w:szCs w:val="24"/>
                <w:u w:val="none"/>
                <w:lang w:val="ru-RU"/>
              </w:rPr>
              <w:t>F3I</w:t>
            </w:r>
            <w:r>
              <w:rPr>
                <w:rFonts w:ascii="Times New Roman" w:hAnsi="Times New Roman"/>
                <w:i/>
                <w:iCs/>
                <w:sz w:val="24"/>
                <w:szCs w:val="24"/>
                <w:u w:val="none"/>
                <w:lang w:val="ru-RU"/>
              </w:rPr>
              <w:t xml:space="preserve"> </w:t>
            </w:r>
            <w:r>
              <w:rPr>
                <w:rFonts w:ascii="Times New Roman" w:hAnsi="Times New Roman"/>
                <w:i w:val="false"/>
                <w:iCs w:val="false"/>
                <w:sz w:val="24"/>
                <w:szCs w:val="24"/>
                <w:u w:val="none"/>
                <w:lang w:val="ru-RU"/>
              </w:rPr>
              <w:t>(</w:t>
            </w:r>
            <w:r>
              <w:rPr>
                <w:rFonts w:ascii="Times New Roman" w:hAnsi="Times New Roman"/>
                <w:i/>
                <w:iCs/>
                <w:sz w:val="24"/>
                <w:szCs w:val="24"/>
                <w:u w:val="none"/>
                <w:lang w:val="ru-RU"/>
              </w:rPr>
              <w:t>Dde</w:t>
            </w:r>
            <w:r>
              <w:rPr>
                <w:rFonts w:ascii="Times New Roman" w:hAnsi="Times New Roman"/>
                <w:sz w:val="24"/>
                <w:szCs w:val="24"/>
                <w:u w:val="none"/>
                <w:lang w:val="ru-RU"/>
              </w:rPr>
              <w:t>I) *</w:t>
            </w:r>
          </w:p>
        </w:tc>
        <w:tc>
          <w:tcPr>
            <w:tcW w:w="918" w:type="dxa"/>
            <w:vMerge w:val="continue"/>
            <w:tcBorders>
              <w:start w:val="single" w:sz="4" w:space="0" w:color="000000"/>
              <w:bottom w:val="single" w:sz="4" w:space="0" w:color="000000"/>
              <w:end w:val="single" w:sz="4" w:space="0" w:color="000000"/>
            </w:tcBorders>
          </w:tcPr>
          <w:p>
            <w:pPr>
              <w:pStyle w:val="Normal"/>
              <w:rPr>
                <w:rFonts w:ascii="Times New Roman" w:hAnsi="Times New Roman"/>
                <w:sz w:val="24"/>
                <w:szCs w:val="24"/>
              </w:rPr>
            </w:pPr>
            <w:r>
              <w:rPr>
                <w:rFonts w:ascii="Times New Roman" w:hAnsi="Times New Roman"/>
                <w:sz w:val="24"/>
                <w:szCs w:val="24"/>
              </w:rPr>
            </w:r>
          </w:p>
        </w:tc>
      </w:tr>
      <w:tr>
        <w:trPr>
          <w:trHeight w:val="1090" w:hRule="atLeast"/>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tcBorders>
              <w:start w:val="single" w:sz="4" w:space="0" w:color="000000"/>
              <w:bottom w:val="single" w:sz="4" w:space="0" w:color="000000"/>
            </w:tcBorders>
          </w:tcPr>
          <w:p>
            <w:pPr>
              <w:pStyle w:val="Normal"/>
              <w:rPr>
                <w:rFonts w:ascii="Times New Roman" w:hAnsi="Times New Roman"/>
                <w:sz w:val="24"/>
                <w:szCs w:val="24"/>
              </w:rPr>
            </w:pPr>
            <w:r>
              <w:rPr>
                <w:rFonts w:ascii="Times New Roman" w:hAnsi="Times New Roman"/>
                <w:sz w:val="24"/>
                <w:szCs w:val="24"/>
              </w:rPr>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SCAR</w:t>
            </w:r>
          </w:p>
          <w:p>
            <w:pPr>
              <w:pStyle w:val="TableContents"/>
              <w:bidi w:val="0"/>
              <w:spacing w:lineRule="auto" w:line="240"/>
              <w:jc w:val="start"/>
              <w:rPr>
                <w:rFonts w:ascii="Times New Roman" w:hAnsi="Times New Roman"/>
              </w:rPr>
            </w:pPr>
            <w:r>
              <w:rPr>
                <w:rFonts w:ascii="Times New Roman" w:hAnsi="Times New Roman"/>
                <w:sz w:val="24"/>
                <w:szCs w:val="24"/>
                <w:lang w:val="ru-RU"/>
              </w:rPr>
              <w:t>Sw5-2</w:t>
            </w:r>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5'-AATTAGGTTCTTGAAGCCCATCT</w:t>
            </w:r>
          </w:p>
          <w:p>
            <w:pPr>
              <w:pStyle w:val="Normal"/>
              <w:bidi w:val="0"/>
              <w:spacing w:lineRule="auto" w:line="240"/>
              <w:jc w:val="start"/>
              <w:rPr>
                <w:rFonts w:ascii="Times New Roman" w:hAnsi="Times New Roman"/>
                <w:sz w:val="20"/>
                <w:szCs w:val="20"/>
              </w:rPr>
            </w:pPr>
            <w:r>
              <w:rPr>
                <w:rFonts w:ascii="Times New Roman" w:hAnsi="Times New Roman"/>
                <w:sz w:val="20"/>
                <w:szCs w:val="20"/>
                <w:lang w:val="ru-RU"/>
              </w:rPr>
              <w:t>R: 5'-TTCCGCATCAGCCAATAGTGT</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rHeight w:val="1250" w:hRule="atLeast"/>
        </w:trPr>
        <w:tc>
          <w:tcPr>
            <w:tcW w:w="1188" w:type="dxa"/>
            <w:gridSpan w:val="2"/>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u w:val="none"/>
                <w:lang w:val="ru-RU"/>
              </w:rPr>
              <w:t>Ty-2</w:t>
            </w:r>
          </w:p>
        </w:tc>
        <w:tc>
          <w:tcPr>
            <w:tcW w:w="96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bookmarkStart w:id="2" w:name="__DdeLink__3951_3807703693"/>
            <w:r>
              <w:rPr>
                <w:rFonts w:ascii="Times New Roman" w:hAnsi="Times New Roman"/>
                <w:sz w:val="24"/>
                <w:szCs w:val="24"/>
                <w:lang w:val="ru-RU"/>
              </w:rPr>
              <w:t>Ty2-UpInDel</w:t>
            </w:r>
            <w:bookmarkEnd w:id="2"/>
          </w:p>
        </w:tc>
        <w:tc>
          <w:tcPr>
            <w:tcW w:w="4587" w:type="dxa"/>
            <w:gridSpan w:val="3"/>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5'-ACCCCAAAAACATTTCTGAAATCCT</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5'-TGGCTATTTTGTGAAAATTCTCACT</w:t>
            </w:r>
          </w:p>
        </w:tc>
        <w:tc>
          <w:tcPr>
            <w:tcW w:w="1075"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18"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[83]</w:t>
            </w:r>
          </w:p>
        </w:tc>
      </w:tr>
      <w:tr>
        <w:trPr>
          <w:trHeight w:val="613" w:hRule="atLeast"/>
        </w:trPr>
        <w:tc>
          <w:tcPr>
            <w:tcW w:w="9642" w:type="dxa"/>
            <w:gridSpan w:val="11"/>
            <w:tcBorders/>
          </w:tcPr>
          <w:p>
            <w:pPr>
              <w:pStyle w:val="Normal"/>
              <w:bidi w:val="0"/>
              <w:spacing w:lineRule="auto" w:line="240" w:before="0" w:after="0"/>
              <w:jc w:val="start"/>
              <w:rPr>
                <w:rFonts w:ascii="Times New Roman" w:hAnsi="Times New Roman"/>
              </w:rPr>
            </w:pPr>
            <w:r>
              <w:rPr>
                <w:rFonts w:ascii="Times New Roman" w:hAnsi="Times New Roman"/>
                <w:i w:val="false"/>
                <w:iCs w:val="false"/>
                <w:sz w:val="28"/>
                <w:szCs w:val="28"/>
                <w:lang w:val="ru-RU"/>
              </w:rPr>
              <w:t>Продолжение таблицы 8</w:t>
            </w:r>
          </w:p>
        </w:tc>
      </w:tr>
      <w:tr>
        <w:trPr>
          <w:trHeight w:val="675" w:hRule="atLeast"/>
          <w:cantSplit w:val="true"/>
        </w:trPr>
        <w:tc>
          <w:tcPr>
            <w:tcW w:w="1125" w:type="dxa"/>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Патоген</w:t>
            </w:r>
          </w:p>
        </w:tc>
        <w:tc>
          <w:tcPr>
            <w:tcW w:w="1125" w:type="dxa"/>
            <w:gridSpan w:val="3"/>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Локус устойчивости</w:t>
            </w:r>
          </w:p>
        </w:tc>
        <w:tc>
          <w:tcPr>
            <w:tcW w:w="912" w:type="dxa"/>
            <w:gridSpan w:val="2"/>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Маркер</w:t>
            </w:r>
          </w:p>
        </w:tc>
        <w:tc>
          <w:tcPr>
            <w:tcW w:w="4193" w:type="dxa"/>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Праймеры</w:t>
            </w:r>
          </w:p>
        </w:tc>
        <w:tc>
          <w:tcPr>
            <w:tcW w:w="1149" w:type="dxa"/>
            <w:gridSpan w:val="2"/>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Ферменты рестрик-ции</w:t>
            </w:r>
          </w:p>
        </w:tc>
        <w:tc>
          <w:tcPr>
            <w:tcW w:w="1138" w:type="dxa"/>
            <w:gridSpan w:val="2"/>
            <w:tcBorders>
              <w:top w:val="single" w:sz="4" w:space="0" w:color="000000"/>
              <w:start w:val="single" w:sz="4" w:space="0" w:color="000000"/>
              <w:bottom w:val="single" w:sz="4" w:space="0" w:color="000000"/>
              <w:end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Ссылки</w:t>
            </w:r>
          </w:p>
        </w:tc>
      </w:tr>
      <w:tr>
        <w:trPr>
          <w:trHeight w:val="675" w:hRule="atLeast"/>
        </w:trPr>
        <w:tc>
          <w:tcPr>
            <w:tcW w:w="1125" w:type="dxa"/>
            <w:vMerge w:val="restart"/>
            <w:tcBorders>
              <w:start w:val="single" w:sz="4" w:space="0" w:color="000000"/>
              <w:bottom w:val="single" w:sz="4" w:space="0" w:color="000000"/>
            </w:tcBorders>
          </w:tcPr>
          <w:p>
            <w:pPr>
              <w:pStyle w:val="Normal"/>
              <w:bidi w:val="0"/>
              <w:spacing w:lineRule="auto" w:line="240"/>
              <w:jc w:val="start"/>
              <w:rPr>
                <w:rFonts w:ascii="Times New Roman" w:hAnsi="Times New Roman"/>
              </w:rPr>
            </w:pPr>
            <w:r>
              <w:rPr>
                <w:rFonts w:ascii="Times New Roman" w:hAnsi="Times New Roman"/>
                <w:b w:val="false"/>
                <w:bCs w:val="false"/>
                <w:i w:val="false"/>
                <w:iCs w:val="false"/>
                <w:sz w:val="24"/>
                <w:szCs w:val="24"/>
                <w:lang w:val="ru-RU"/>
              </w:rPr>
              <w:t>Tomato yellow curly leaf virus (TYLCV)</w:t>
            </w:r>
          </w:p>
        </w:tc>
        <w:tc>
          <w:tcPr>
            <w:tcW w:w="1125" w:type="dxa"/>
            <w:gridSpan w:val="3"/>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b w:val="false"/>
                <w:bCs w:val="false"/>
                <w:i/>
                <w:iCs/>
                <w:sz w:val="24"/>
                <w:szCs w:val="24"/>
                <w:lang w:val="ru-RU"/>
              </w:rPr>
              <w:t>Ty-3</w:t>
            </w:r>
          </w:p>
        </w:tc>
        <w:tc>
          <w:tcPr>
            <w:tcW w:w="91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Ty3-InDel/SNP9</w:t>
            </w:r>
          </w:p>
        </w:tc>
        <w:tc>
          <w:tcPr>
            <w:tcW w:w="4193" w:type="dxa"/>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5'-CCTATCCTCAGTGTTTCGGTCA</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5'-GGCGAAAGACTTTGTGTACACA</w:t>
            </w:r>
          </w:p>
        </w:tc>
        <w:tc>
          <w:tcPr>
            <w:tcW w:w="1149"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u w:val="none"/>
                <w:lang w:val="ru-RU"/>
              </w:rPr>
              <w:t>Bst</w:t>
            </w:r>
            <w:r>
              <w:rPr>
                <w:rFonts w:ascii="Times New Roman" w:hAnsi="Times New Roman"/>
                <w:sz w:val="24"/>
                <w:szCs w:val="24"/>
                <w:lang w:val="ru-RU"/>
              </w:rPr>
              <w:t>1107I (</w:t>
            </w:r>
            <w:r>
              <w:rPr>
                <w:rFonts w:ascii="Times New Roman" w:hAnsi="Times New Roman"/>
                <w:i/>
                <w:iCs/>
                <w:sz w:val="24"/>
                <w:szCs w:val="24"/>
                <w:lang w:val="ru-RU"/>
              </w:rPr>
              <w:t>Bst</w:t>
            </w:r>
            <w:r>
              <w:rPr>
                <w:rFonts w:ascii="Times New Roman" w:hAnsi="Times New Roman"/>
                <w:sz w:val="24"/>
                <w:szCs w:val="24"/>
                <w:lang w:val="ru-RU"/>
              </w:rPr>
              <w:t xml:space="preserve">Z17I) / </w:t>
            </w:r>
            <w:r>
              <w:rPr>
                <w:rFonts w:ascii="Times New Roman" w:hAnsi="Times New Roman"/>
                <w:i/>
                <w:iCs/>
                <w:sz w:val="24"/>
                <w:szCs w:val="24"/>
                <w:lang w:val="ru-RU"/>
              </w:rPr>
              <w:t>Mun</w:t>
            </w:r>
            <w:r>
              <w:rPr>
                <w:rFonts w:ascii="Times New Roman" w:hAnsi="Times New Roman"/>
                <w:sz w:val="24"/>
                <w:szCs w:val="24"/>
                <w:lang w:val="ru-RU"/>
              </w:rPr>
              <w:t>I (</w:t>
            </w:r>
            <w:r>
              <w:rPr>
                <w:rFonts w:ascii="Times New Roman" w:hAnsi="Times New Roman"/>
                <w:i/>
                <w:iCs/>
                <w:sz w:val="24"/>
                <w:szCs w:val="24"/>
                <w:lang w:val="ru-RU"/>
              </w:rPr>
              <w:t>Mfe</w:t>
            </w:r>
            <w:r>
              <w:rPr>
                <w:rFonts w:ascii="Times New Roman" w:hAnsi="Times New Roman"/>
                <w:sz w:val="24"/>
                <w:szCs w:val="24"/>
                <w:lang w:val="ru-RU"/>
              </w:rPr>
              <w:t>I)*</w:t>
            </w:r>
          </w:p>
        </w:tc>
        <w:tc>
          <w:tcPr>
            <w:tcW w:w="1138" w:type="dxa"/>
            <w:gridSpan w:val="2"/>
            <w:vMerge w:val="restart"/>
            <w:tcBorders>
              <w:start w:val="single" w:sz="4" w:space="0" w:color="000000"/>
              <w:bottom w:val="single" w:sz="4" w:space="0" w:color="000000"/>
              <w:end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[73]</w:t>
            </w:r>
          </w:p>
        </w:tc>
      </w:tr>
      <w:tr>
        <w:trPr/>
        <w:tc>
          <w:tcPr>
            <w:tcW w:w="1125"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125" w:type="dxa"/>
            <w:gridSpan w:val="3"/>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912"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Ty3-SNP17</w:t>
            </w:r>
          </w:p>
        </w:tc>
        <w:tc>
          <w:tcPr>
            <w:tcW w:w="4193" w:type="dxa"/>
            <w:tcBorders>
              <w:start w:val="single" w:sz="4" w:space="0" w:color="000000"/>
              <w:bottom w:val="single" w:sz="4" w:space="0" w:color="000000"/>
            </w:tcBorders>
          </w:tcPr>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F: 5'-TCTCAGGTGATGCTGAGCAC</w:t>
            </w:r>
          </w:p>
          <w:p>
            <w:pPr>
              <w:pStyle w:val="TableContents"/>
              <w:bidi w:val="0"/>
              <w:spacing w:lineRule="auto" w:line="240"/>
              <w:jc w:val="start"/>
              <w:rPr>
                <w:rFonts w:ascii="Times New Roman" w:hAnsi="Times New Roman"/>
                <w:sz w:val="20"/>
                <w:szCs w:val="20"/>
              </w:rPr>
            </w:pPr>
            <w:r>
              <w:rPr>
                <w:rFonts w:ascii="Times New Roman" w:hAnsi="Times New Roman"/>
                <w:sz w:val="20"/>
                <w:szCs w:val="20"/>
                <w:lang w:val="ru-RU"/>
              </w:rPr>
              <w:t>R: 5'-AGAGAACGAAAACGAAATTTCAAACA</w:t>
            </w:r>
          </w:p>
        </w:tc>
        <w:tc>
          <w:tcPr>
            <w:tcW w:w="1149" w:type="dxa"/>
            <w:gridSpan w:val="2"/>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Rsa</w:t>
            </w:r>
            <w:r>
              <w:rPr>
                <w:rFonts w:ascii="Times New Roman" w:hAnsi="Times New Roman"/>
                <w:sz w:val="24"/>
                <w:szCs w:val="24"/>
                <w:lang w:val="ru-RU"/>
              </w:rPr>
              <w:t>I</w:t>
            </w:r>
          </w:p>
        </w:tc>
        <w:tc>
          <w:tcPr>
            <w:tcW w:w="1138" w:type="dxa"/>
            <w:gridSpan w:val="2"/>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9642" w:type="dxa"/>
            <w:gridSpan w:val="11"/>
            <w:tcBorders/>
          </w:tcPr>
          <w:p>
            <w:pPr>
              <w:pStyle w:val="Normal"/>
              <w:bidi w:val="0"/>
              <w:spacing w:lineRule="auto" w:line="240"/>
              <w:jc w:val="start"/>
              <w:rPr>
                <w:rFonts w:ascii="Times New Roman" w:hAnsi="Times New Roman"/>
                <w:sz w:val="28"/>
                <w:szCs w:val="28"/>
              </w:rPr>
            </w:pPr>
            <w:r>
              <w:rPr>
                <w:rFonts w:ascii="Times New Roman" w:hAnsi="Times New Roman"/>
                <w:i w:val="false"/>
                <w:iCs w:val="false"/>
                <w:sz w:val="28"/>
                <w:szCs w:val="28"/>
                <w:lang w:val="ru-RU"/>
              </w:rPr>
              <w:t>* Изошизомеры ферментов, использованных в оригинальных работах (в скобках)</w:t>
            </w:r>
          </w:p>
          <w:p>
            <w:pPr>
              <w:pStyle w:val="Normal"/>
              <w:bidi w:val="0"/>
              <w:spacing w:lineRule="auto" w:line="240"/>
              <w:jc w:val="start"/>
              <w:rPr>
                <w:rFonts w:ascii="Times New Roman" w:hAnsi="Times New Roman"/>
                <w:sz w:val="28"/>
                <w:szCs w:val="28"/>
              </w:rPr>
            </w:pPr>
            <w:r>
              <w:rPr>
                <w:rFonts w:ascii="Times New Roman" w:hAnsi="Times New Roman"/>
                <w:i w:val="false"/>
                <w:iCs w:val="false"/>
                <w:sz w:val="28"/>
                <w:szCs w:val="28"/>
                <w:lang w:val="ru-RU"/>
              </w:rPr>
              <w:t>FD – ферменты рестрикции серии FastDigest</w:t>
            </w:r>
            <w:r>
              <w:rPr>
                <w:rFonts w:ascii="Times New Roman" w:hAnsi="Times New Roman"/>
                <w:b w:val="false"/>
                <w:bCs w:val="false"/>
                <w:i w:val="false"/>
                <w:iCs w:val="false"/>
                <w:sz w:val="28"/>
                <w:szCs w:val="28"/>
                <w:lang w:val="ru-RU"/>
              </w:rPr>
              <w:t>™</w:t>
            </w:r>
            <w:r>
              <w:rPr>
                <w:rFonts w:ascii="Times New Roman" w:hAnsi="Times New Roman"/>
                <w:i w:val="false"/>
                <w:iCs w:val="false"/>
                <w:sz w:val="28"/>
                <w:szCs w:val="28"/>
                <w:lang w:val="ru-RU"/>
              </w:rPr>
              <w:t xml:space="preserve"> (Thermo Fisher Scientific, США)</w:t>
            </w:r>
          </w:p>
        </w:tc>
      </w:tr>
    </w:tbl>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Для GoldenGate клонирования использовали </w:t>
      </w:r>
      <w:r>
        <w:rPr>
          <w:rFonts w:cs="Times New Roman" w:ascii="Times New Roman" w:hAnsi="Times New Roman"/>
          <w:i/>
          <w:iCs/>
          <w:sz w:val="28"/>
          <w:szCs w:val="28"/>
          <w:lang w:val="ru-RU"/>
        </w:rPr>
        <w:t>Pfu</w:t>
      </w:r>
      <w:r>
        <w:rPr>
          <w:rFonts w:cs="Times New Roman" w:ascii="Times New Roman" w:hAnsi="Times New Roman"/>
          <w:sz w:val="28"/>
          <w:szCs w:val="28"/>
          <w:lang w:val="ru-RU"/>
        </w:rPr>
        <w:t>-полимеразу для обеспечения наибольшей точности сборки и исключения возникновения нежелательных мутаций. Реакционная смесь включала: 1Х буфер, 1.5 ммоль/л MgSO</w:t>
      </w:r>
      <w:r>
        <w:rPr>
          <w:rFonts w:cs="Times New Roman" w:ascii="Times New Roman" w:hAnsi="Times New Roman"/>
          <w:sz w:val="28"/>
          <w:szCs w:val="28"/>
          <w:vertAlign w:val="subscript"/>
          <w:lang w:val="ru-RU"/>
        </w:rPr>
        <w:t>4</w:t>
      </w:r>
      <w:r>
        <w:rPr>
          <w:rFonts w:cs="Times New Roman" w:ascii="Times New Roman" w:hAnsi="Times New Roman"/>
          <w:sz w:val="28"/>
          <w:szCs w:val="28"/>
          <w:lang w:val="ru-RU"/>
        </w:rPr>
        <w:t>, 0,16 ммоль/л dNTPs, матрицу плазмиды pCBC-DT1T2 (разбавленная в 200 раз) – 1 мкл, праймеры: 0.4 мкмоль/л DT1-BsF, 0.02 мкмоль/л  DT1-F0, 0.02 мкмоль/л DT2-R0, 0.4 мкмоль/л DT2-BsR, 1 единица Pfu-полимеразы. В результате амплифицируются участки, размером 626 п.о., включающие gRNA-scaffold_1, терминатор U6-26t, промотор U6-29p и два участка внесения делеции, длиной 19 пар нуклеотидов. Программа ПЦР для GoldenGate-сборки плазмиды pCBC-DT1T2 приведена в таблице 10.</w:t>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Таблица 9 – Специфичные праймеры для GoldenGate-сборки плазмиды pCBC-DT1T2. Указаны вакантные позиции для вставки последоваельностей нРНК</w:t>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643" w:type="dxa"/>
        <w:jc w:val="start"/>
        <w:tblInd w:w="-4" w:type="dxa"/>
        <w:tblLayout w:type="fixed"/>
        <w:tblCellMar>
          <w:top w:w="0" w:type="dxa"/>
          <w:start w:w="108" w:type="dxa"/>
          <w:bottom w:w="0" w:type="dxa"/>
          <w:end w:w="108" w:type="dxa"/>
        </w:tblCellMar>
      </w:tblPr>
      <w:tblGrid>
        <w:gridCol w:w="3685"/>
        <w:gridCol w:w="5957"/>
      </w:tblGrid>
      <w:tr>
        <w:trPr/>
        <w:tc>
          <w:tcPr>
            <w:tcW w:w="368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Тип праймера</w:t>
            </w:r>
          </w:p>
        </w:tc>
        <w:tc>
          <w:tcPr>
            <w:tcW w:w="5957" w:type="dxa"/>
            <w:tcBorders>
              <w:top w:val="single" w:sz="4" w:space="0" w:color="000000"/>
              <w:start w:val="single" w:sz="4" w:space="0" w:color="000000"/>
              <w:bottom w:val="single" w:sz="4" w:space="0" w:color="000000"/>
              <w:end w:val="single" w:sz="4" w:space="0" w:color="000000"/>
            </w:tcBorders>
          </w:tcPr>
          <w:p>
            <w:pPr>
              <w:pStyle w:val="Normal"/>
              <w:spacing w:lineRule="auto" w:line="240"/>
              <w:ind w:hanging="0" w:start="0" w:end="34"/>
              <w:jc w:val="both"/>
              <w:rPr>
                <w:rFonts w:ascii="Times New Roman" w:hAnsi="Times New Roman"/>
              </w:rPr>
            </w:pPr>
            <w:r>
              <w:rPr>
                <w:rFonts w:cs="Times New Roman" w:ascii="Times New Roman" w:hAnsi="Times New Roman"/>
                <w:sz w:val="24"/>
                <w:szCs w:val="24"/>
                <w:lang w:val="ru-RU"/>
              </w:rPr>
              <w:t>Последовательность праймера</w:t>
            </w:r>
          </w:p>
        </w:tc>
      </w:tr>
      <w:tr>
        <w:trPr/>
        <w:tc>
          <w:tcPr>
            <w:tcW w:w="3685"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DT1-BsF</w:t>
            </w:r>
          </w:p>
        </w:tc>
        <w:tc>
          <w:tcPr>
            <w:tcW w:w="5957" w:type="dxa"/>
            <w:tcBorders>
              <w:start w:val="single" w:sz="4" w:space="0" w:color="000000"/>
              <w:bottom w:val="single" w:sz="4" w:space="0" w:color="000000"/>
              <w:end w:val="single" w:sz="4" w:space="0" w:color="000000"/>
            </w:tcBorders>
          </w:tcPr>
          <w:p>
            <w:pPr>
              <w:pStyle w:val="Normal"/>
              <w:spacing w:lineRule="auto" w:line="240"/>
              <w:ind w:hanging="0" w:start="0" w:end="34"/>
              <w:jc w:val="both"/>
              <w:rPr>
                <w:rFonts w:ascii="Times New Roman" w:hAnsi="Times New Roman"/>
              </w:rPr>
            </w:pPr>
            <w:r>
              <w:rPr>
                <w:rFonts w:cs="Times New Roman" w:ascii="Times New Roman" w:hAnsi="Times New Roman"/>
                <w:sz w:val="24"/>
                <w:szCs w:val="24"/>
                <w:lang w:val="ru-RU"/>
              </w:rPr>
              <w:t>ATATATGGTCTCGATT</w:t>
            </w:r>
            <w:r>
              <w:rPr>
                <w:rFonts w:cs="Times New Roman" w:ascii="Times New Roman" w:hAnsi="Times New Roman"/>
                <w:b/>
                <w:bCs/>
                <w:i w:val="false"/>
                <w:iCs w:val="false"/>
                <w:strike w:val="false"/>
                <w:dstrike w:val="false"/>
                <w:sz w:val="24"/>
                <w:szCs w:val="24"/>
                <w:u w:val="single"/>
                <w:lang w:val="ru-RU"/>
              </w:rPr>
              <w:t>-[нРНК1]-</w:t>
            </w:r>
            <w:r>
              <w:rPr>
                <w:rFonts w:cs="Times New Roman" w:ascii="Times New Roman" w:hAnsi="Times New Roman"/>
                <w:sz w:val="24"/>
                <w:szCs w:val="24"/>
                <w:lang w:val="ru-RU"/>
              </w:rPr>
              <w:t>TT</w:t>
            </w:r>
          </w:p>
        </w:tc>
      </w:tr>
      <w:tr>
        <w:trPr/>
        <w:tc>
          <w:tcPr>
            <w:tcW w:w="368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DT1-F0</w:t>
            </w:r>
          </w:p>
        </w:tc>
        <w:tc>
          <w:tcPr>
            <w:tcW w:w="595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w:t>
            </w:r>
            <w:r>
              <w:rPr>
                <w:rFonts w:cs="Times New Roman" w:ascii="Times New Roman" w:hAnsi="Times New Roman"/>
                <w:b/>
                <w:bCs/>
                <w:i w:val="false"/>
                <w:iCs w:val="false"/>
                <w:strike w:val="false"/>
                <w:dstrike w:val="false"/>
                <w:sz w:val="24"/>
                <w:szCs w:val="24"/>
                <w:u w:val="single"/>
                <w:lang w:val="ru-RU"/>
              </w:rPr>
              <w:t>-[нРНК1]-</w:t>
            </w:r>
            <w:r>
              <w:rPr>
                <w:rFonts w:cs="Times New Roman" w:ascii="Times New Roman" w:hAnsi="Times New Roman"/>
                <w:sz w:val="24"/>
                <w:szCs w:val="24"/>
                <w:lang w:val="ru-RU"/>
              </w:rPr>
              <w:t>GTTTTAGAGCTAGAAATAGC</w:t>
            </w:r>
          </w:p>
        </w:tc>
      </w:tr>
      <w:tr>
        <w:trPr/>
        <w:tc>
          <w:tcPr>
            <w:tcW w:w="368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DT2-R0</w:t>
            </w:r>
          </w:p>
        </w:tc>
        <w:tc>
          <w:tcPr>
            <w:tcW w:w="595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AAC</w:t>
            </w:r>
            <w:r>
              <w:rPr>
                <w:rFonts w:cs="Times New Roman" w:ascii="Times New Roman" w:hAnsi="Times New Roman"/>
                <w:b/>
                <w:bCs/>
                <w:i w:val="false"/>
                <w:iCs w:val="false"/>
                <w:strike w:val="false"/>
                <w:dstrike w:val="false"/>
                <w:sz w:val="24"/>
                <w:szCs w:val="24"/>
                <w:u w:val="single"/>
                <w:lang w:val="ru-RU"/>
              </w:rPr>
              <w:t>-[нРНК2]-</w:t>
            </w:r>
            <w:r>
              <w:rPr>
                <w:rFonts w:cs="Times New Roman" w:ascii="Times New Roman" w:hAnsi="Times New Roman"/>
                <w:sz w:val="24"/>
                <w:szCs w:val="24"/>
                <w:lang w:val="ru-RU"/>
              </w:rPr>
              <w:t>AATCTCTTAGTCGACTCTAC</w:t>
            </w:r>
          </w:p>
        </w:tc>
      </w:tr>
      <w:tr>
        <w:trPr/>
        <w:tc>
          <w:tcPr>
            <w:tcW w:w="368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DT2-BsR</w:t>
            </w:r>
          </w:p>
        </w:tc>
        <w:tc>
          <w:tcPr>
            <w:tcW w:w="595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ATTATTGGTCTCGAAAC</w:t>
            </w:r>
            <w:r>
              <w:rPr>
                <w:rFonts w:cs="Times New Roman" w:ascii="Times New Roman" w:hAnsi="Times New Roman"/>
                <w:b/>
                <w:bCs/>
                <w:i w:val="false"/>
                <w:iCs w:val="false"/>
                <w:strike w:val="false"/>
                <w:dstrike w:val="false"/>
                <w:sz w:val="24"/>
                <w:szCs w:val="24"/>
                <w:u w:val="single"/>
                <w:lang w:val="ru-RU"/>
              </w:rPr>
              <w:t>-[нРНК2]-</w:t>
            </w:r>
            <w:r>
              <w:rPr>
                <w:rFonts w:cs="Times New Roman" w:ascii="Times New Roman" w:hAnsi="Times New Roman"/>
                <w:sz w:val="24"/>
                <w:szCs w:val="24"/>
                <w:lang w:val="ru-RU"/>
              </w:rPr>
              <w:t>AA</w:t>
            </w:r>
          </w:p>
        </w:tc>
      </w:tr>
    </w:tbl>
    <w:p>
      <w:pPr>
        <w:pStyle w:val="Normal"/>
        <w:spacing w:lineRule="auto" w:line="240" w:before="0" w:after="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ind w:hanging="0" w:start="0" w:end="0"/>
        <w:jc w:val="both"/>
        <w:rPr>
          <w:rFonts w:ascii="Times New Roman" w:hAnsi="Times New Roman"/>
        </w:rPr>
      </w:pPr>
      <w:r>
        <w:rPr>
          <w:rFonts w:cs="Times New Roman" w:ascii="Times New Roman" w:hAnsi="Times New Roman"/>
          <w:sz w:val="28"/>
          <w:szCs w:val="28"/>
          <w:lang w:val="ru-RU"/>
        </w:rPr>
        <w:t>Таблица 10– Программа ПЦР для GoldenGate-сборки плазмиды pCBC-DT1T2</w:t>
      </w:r>
    </w:p>
    <w:p>
      <w:pPr>
        <w:pStyle w:val="Normal"/>
        <w:spacing w:lineRule="auto" w:line="240" w:before="0" w:after="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6339" w:type="dxa"/>
        <w:jc w:val="center"/>
        <w:tblInd w:w="0" w:type="dxa"/>
        <w:tblLayout w:type="fixed"/>
        <w:tblCellMar>
          <w:top w:w="0" w:type="dxa"/>
          <w:start w:w="108" w:type="dxa"/>
          <w:bottom w:w="0" w:type="dxa"/>
          <w:end w:w="108" w:type="dxa"/>
        </w:tblCellMar>
      </w:tblPr>
      <w:tblGrid>
        <w:gridCol w:w="2547"/>
        <w:gridCol w:w="2079"/>
        <w:gridCol w:w="1713"/>
      </w:tblGrid>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Температура</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Длительность</w:t>
            </w:r>
          </w:p>
        </w:tc>
        <w:tc>
          <w:tcPr>
            <w:tcW w:w="17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Кол-во циклов</w:t>
            </w:r>
          </w:p>
        </w:tc>
      </w:tr>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94 ºС</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2 минуты</w:t>
            </w:r>
          </w:p>
        </w:tc>
        <w:tc>
          <w:tcPr>
            <w:tcW w:w="17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1 цикл</w:t>
            </w:r>
          </w:p>
        </w:tc>
      </w:tr>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94 ºС</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15 секунд</w:t>
            </w:r>
          </w:p>
        </w:tc>
        <w:tc>
          <w:tcPr>
            <w:tcW w:w="1713" w:type="dxa"/>
            <w:vMerge w:val="restart"/>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30 циклов</w:t>
            </w:r>
          </w:p>
        </w:tc>
      </w:tr>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60 ºС</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30 секунд</w:t>
            </w:r>
          </w:p>
        </w:tc>
        <w:tc>
          <w:tcPr>
            <w:tcW w:w="171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68 ºС</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1 минута</w:t>
            </w:r>
          </w:p>
        </w:tc>
        <w:tc>
          <w:tcPr>
            <w:tcW w:w="171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2547" w:type="dxa"/>
            <w:tcBorders>
              <w:top w:val="single" w:sz="4" w:space="0" w:color="000000"/>
              <w:start w:val="single" w:sz="4" w:space="0" w:color="000000"/>
              <w:bottom w:val="single" w:sz="4" w:space="0" w:color="000000"/>
              <w:end w:val="single" w:sz="4" w:space="0" w:color="000000"/>
            </w:tcBorders>
          </w:tcPr>
          <w:p>
            <w:pPr>
              <w:pStyle w:val="Normal"/>
              <w:spacing w:lineRule="auto" w:line="240"/>
              <w:ind w:firstLine="142" w:start="0" w:end="0"/>
              <w:jc w:val="both"/>
              <w:rPr>
                <w:rFonts w:ascii="Times New Roman" w:hAnsi="Times New Roman"/>
              </w:rPr>
            </w:pPr>
            <w:r>
              <w:rPr>
                <w:rFonts w:cs="Times New Roman" w:ascii="Times New Roman" w:hAnsi="Times New Roman"/>
                <w:sz w:val="24"/>
                <w:szCs w:val="24"/>
                <w:lang w:val="ru-RU"/>
              </w:rPr>
              <w:t>68 ºС</w:t>
            </w:r>
          </w:p>
        </w:tc>
        <w:tc>
          <w:tcPr>
            <w:tcW w:w="207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5 минут</w:t>
            </w:r>
          </w:p>
        </w:tc>
        <w:tc>
          <w:tcPr>
            <w:tcW w:w="17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1 цикл</w:t>
            </w:r>
          </w:p>
        </w:tc>
      </w:tr>
    </w:tbl>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Рестрикцию и лигирование вектора проводили следующим образом: к пост-ПЦР реакционной смеси, содержащей собранную плазмиду pCBC-DT1T2, объемом 2 мкл, добавляли равный объем плазмиды pKSE 401 (концентрация 100 нг/мкл), 1Х T4 лигазный буфер, 1Х БСА, 1 единица эндонуклеазы </w:t>
      </w:r>
      <w:r>
        <w:rPr>
          <w:rFonts w:cs="Times New Roman" w:ascii="Times New Roman" w:hAnsi="Times New Roman"/>
          <w:i/>
          <w:iCs/>
          <w:sz w:val="28"/>
          <w:szCs w:val="28"/>
          <w:lang w:val="ru-RU"/>
        </w:rPr>
        <w:t>Bsa</w:t>
      </w:r>
      <w:r>
        <w:rPr>
          <w:rFonts w:cs="Times New Roman" w:ascii="Times New Roman" w:hAnsi="Times New Roman"/>
          <w:sz w:val="28"/>
          <w:szCs w:val="28"/>
          <w:lang w:val="ru-RU"/>
        </w:rPr>
        <w:t xml:space="preserve">I, 1 единица T4 ДНК лигазы; финальный объем доводили до 15 мкл. Инкубация длилась 5 часов при 37°C. Далее, температуру повышали до 50°C на 5 минут, затем до 80°C на 10 минут. </w:t>
      </w:r>
    </w:p>
    <w:p>
      <w:pPr>
        <w:pStyle w:val="Normal"/>
        <w:numPr>
          <w:ilvl w:val="0"/>
          <w:numId w:val="0"/>
        </w:numPr>
        <w:spacing w:lineRule="auto" w:line="240"/>
        <w:ind w:hanging="0" w:start="737" w:end="0"/>
        <w:jc w:val="both"/>
        <w:rPr>
          <w:rFonts w:ascii="Times New Roman" w:hAnsi="Times New Roman"/>
        </w:rPr>
      </w:pPr>
      <w:r>
        <w:rPr>
          <w:rFonts w:cs="Times New Roman" w:ascii="Times New Roman" w:hAnsi="Times New Roman"/>
          <w:i w:val="false"/>
          <w:iCs w:val="false"/>
          <w:sz w:val="28"/>
          <w:szCs w:val="28"/>
          <w:lang w:val="ru-RU"/>
        </w:rPr>
        <w:t>2. Подготовка компетентных клеток</w:t>
      </w:r>
      <w:r>
        <w:rPr>
          <w:rFonts w:cs="Times New Roman" w:ascii="Times New Roman" w:hAnsi="Times New Roman"/>
          <w:i/>
          <w:iCs/>
          <w:sz w:val="28"/>
          <w:szCs w:val="28"/>
          <w:lang w:val="ru-RU"/>
        </w:rPr>
        <w:t xml:space="preserve"> E.coli </w:t>
      </w:r>
      <w:r>
        <w:rPr>
          <w:rFonts w:cs="Times New Roman" w:ascii="Times New Roman" w:hAnsi="Times New Roman"/>
          <w:i w:val="false"/>
          <w:iCs w:val="false"/>
          <w:sz w:val="28"/>
          <w:szCs w:val="28"/>
          <w:lang w:val="ru-RU"/>
        </w:rPr>
        <w:t>Dh5α и их трансформация.</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Суспензию компетентных клеток</w:t>
      </w:r>
      <w:r>
        <w:rPr>
          <w:rFonts w:cs="Times New Roman" w:ascii="Times New Roman" w:hAnsi="Times New Roman"/>
          <w:i/>
          <w:iCs/>
          <w:sz w:val="28"/>
          <w:szCs w:val="28"/>
          <w:lang w:val="ru-RU"/>
        </w:rPr>
        <w:t xml:space="preserve"> E.coli </w:t>
      </w:r>
      <w:r>
        <w:rPr>
          <w:rFonts w:cs="Times New Roman" w:ascii="Times New Roman" w:hAnsi="Times New Roman"/>
          <w:i w:val="false"/>
          <w:iCs w:val="false"/>
          <w:sz w:val="28"/>
          <w:szCs w:val="28"/>
          <w:lang w:val="ru-RU"/>
        </w:rPr>
        <w:t xml:space="preserve">линии Dh5α в глицерине </w:t>
      </w:r>
      <w:r>
        <w:rPr>
          <w:rFonts w:cs="Times New Roman" w:ascii="Times New Roman" w:hAnsi="Times New Roman"/>
          <w:sz w:val="28"/>
          <w:szCs w:val="28"/>
          <w:lang w:val="ru-RU"/>
        </w:rPr>
        <w:t>объемом 50 мкл (глицериновый сток) размораживали после хранения при температуре -80°C и вносили в 3 мл жидкой среды ЛБ без селективного антибиотика, затем инкубировали при 37°C в течение 16 часов при непрерывном перемешивании. Затем 50 мкл ночной культуры переносили в 100 мл свежей питательной среды ЛБ. После достижения OD600-0,4-0,6 клетки осаждали центрифугированием при 4°C, 4000 оборотов в минуту 10 минут. Полученный осадок ресуспендировали в 2 мл раствора RF1 (100 ммоль/л хлорида рубидия, 50 ммоль/л четырехводного хлорида магния, 30 ммоль/л ацетата калия, 10 ммоль/л двуводного хлорида кальция, 15% об. глицерина). Клетки инкубировали во льду в течение 10 минут, затем снова осаждали при тех же условиях. Осажденные клетки ресуспендировали в 4 мл раствора RF2 (20 ммоль/л MOPS, 75 ммоль/л хлорида кальция, 10 ммоль/л хлорида рубидия и 15% об. глицерина). Затем раствор помещали в лед еще на 15 минут, затем делили на аликвоты по 100 мкл и помещали на хранение при температуре -80°C до дальнейшего использования.</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Для проведения трансформации компетентные клетки помещали в лед на 15 минут для оттаивания, после чего добавляли 5 мкл лигированной плазмиды pKSE401 и инкубировали во льду в течение 30 минут. Далее проводили «тепловой шок» путем инкубации при 42°C в течение 1 минуты, с последующим охлаждением на льду в течение 5 минут. Далее, к клеткам добавляли 250 мкл жидкой питательной среды ЛБ и инкубировали 1 час при температуре 37°C с постоянным перемешиванием. Затем клетки осаждали центрифугированием в течении 5 минут при скорости 5000 оборотов в минуту, 250 мкл надосадочной жидкости удаляли, осадок ресуспендировали в оставшейся жидкости. Клетки выращивали 16 часов при 37°C на твердой питательной среде ЛБ с селективным антибиотиком канамицином. </w:t>
      </w:r>
    </w:p>
    <w:p>
      <w:pPr>
        <w:pStyle w:val="Normal"/>
        <w:spacing w:lineRule="auto" w:line="240"/>
        <w:ind w:firstLine="709" w:start="0" w:end="0"/>
        <w:jc w:val="both"/>
        <w:rPr>
          <w:rFonts w:ascii="Times New Roman" w:hAnsi="Times New Roman"/>
        </w:rPr>
      </w:pPr>
      <w:r>
        <w:rPr>
          <w:rFonts w:cs="Times New Roman" w:ascii="Times New Roman" w:hAnsi="Times New Roman"/>
          <w:i w:val="false"/>
          <w:iCs w:val="false"/>
          <w:sz w:val="28"/>
          <w:szCs w:val="28"/>
          <w:lang w:val="ru-RU"/>
        </w:rPr>
        <w:t>Для отбора трансформированных колоний методом Colony PCR к</w:t>
      </w:r>
      <w:r>
        <w:rPr>
          <w:rFonts w:cs="Times New Roman" w:ascii="Times New Roman" w:hAnsi="Times New Roman"/>
          <w:sz w:val="28"/>
          <w:szCs w:val="28"/>
          <w:lang w:val="ru-RU"/>
        </w:rPr>
        <w:t xml:space="preserve">аждую колонию инокулировали в жидкую среду ЛБ с канамицином объемом 2 мл и инкубировали при непрерывном перемешивании в течение 16 часов при 37°C. Далее среду с клетками использовали для ПЦР с праймерами U6-26pF и U6-29pR (таблица 11). Прямой праймер захватывает участок промотора U6-26p, который находится в плазмиде pKSE 401 до GoldenGate клонирования, а обратный праймер – промотора U6-29p ампликона с матрицы плазмиды pCBC-DT1DT2. Микс ПЦР состоит из: 1Х Taq buffer, 0,2 µM dNTP, 0,2 µM праймеры U6-26pF и U6-29pR, 1 единица Taq-полимеразы. Матрицей амплификации служили 2 мкл среды с инокулированными бактериями без этапа выделения ДНК.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Программа амплификации включала в себя: первичную денатурацию при 95ºС в течение 3 минут, 30 циклов, включающих 95ºС 20 секунд, 58ºС 20 секунд и 72ºС 1 минуту. Финальная элонгация длилась 5 минут при 72 ºС. </w:t>
      </w:r>
      <w:bookmarkStart w:id="3" w:name="_Hlk175320133"/>
      <w:bookmarkEnd w:id="3"/>
      <w:r>
        <w:rPr>
          <w:rFonts w:cs="Times New Roman" w:ascii="Times New Roman" w:hAnsi="Times New Roman"/>
          <w:sz w:val="28"/>
          <w:szCs w:val="28"/>
          <w:lang w:val="ru-RU"/>
        </w:rPr>
        <w:t>Продукт ПЦР анализировали в 1,5% агарозном ТАЕ-геле. Для используемого вектора ожидаемый размер продукта – 726 п.н.</w:t>
      </w:r>
    </w:p>
    <w:p>
      <w:pPr>
        <w:pStyle w:val="Normal"/>
        <w:spacing w:lineRule="auto" w:line="24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uppressAutoHyphens w:val="false"/>
        <w:spacing w:lineRule="auto" w:line="240"/>
        <w:ind w:hanging="0" w:start="0" w:end="0"/>
        <w:jc w:val="both"/>
        <w:rPr>
          <w:rFonts w:ascii="Times New Roman" w:hAnsi="Times New Roman"/>
        </w:rPr>
      </w:pPr>
      <w:r>
        <w:rPr>
          <w:rFonts w:cs="Times New Roman" w:ascii="Times New Roman" w:hAnsi="Times New Roman"/>
          <w:sz w:val="28"/>
          <w:szCs w:val="28"/>
          <w:lang w:val="ru-RU"/>
        </w:rPr>
        <w:t>Таблица 11 – Праймеры для отбора трансформированных колоний</w:t>
      </w:r>
    </w:p>
    <w:p>
      <w:pPr>
        <w:pStyle w:val="Normal"/>
        <w:suppressAutoHyphens w:val="false"/>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477" w:type="dxa"/>
        <w:jc w:val="start"/>
        <w:tblInd w:w="80" w:type="dxa"/>
        <w:tblLayout w:type="fixed"/>
        <w:tblCellMar>
          <w:top w:w="0" w:type="dxa"/>
          <w:start w:w="108" w:type="dxa"/>
          <w:bottom w:w="0" w:type="dxa"/>
          <w:end w:w="108" w:type="dxa"/>
        </w:tblCellMar>
      </w:tblPr>
      <w:tblGrid>
        <w:gridCol w:w="2209"/>
        <w:gridCol w:w="7267"/>
      </w:tblGrid>
      <w:tr>
        <w:trPr/>
        <w:tc>
          <w:tcPr>
            <w:tcW w:w="220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Название</w:t>
            </w:r>
          </w:p>
        </w:tc>
        <w:tc>
          <w:tcPr>
            <w:tcW w:w="726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Последовательность 5’-3’</w:t>
            </w:r>
          </w:p>
        </w:tc>
      </w:tr>
      <w:tr>
        <w:trPr/>
        <w:tc>
          <w:tcPr>
            <w:tcW w:w="220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U6-26p F</w:t>
            </w:r>
          </w:p>
        </w:tc>
        <w:tc>
          <w:tcPr>
            <w:tcW w:w="7267" w:type="dxa"/>
            <w:tcBorders>
              <w:top w:val="single" w:sz="4" w:space="0" w:color="000000"/>
              <w:start w:val="single" w:sz="4" w:space="0" w:color="000000"/>
              <w:bottom w:val="single" w:sz="4" w:space="0" w:color="000000"/>
              <w:end w:val="single" w:sz="4" w:space="0" w:color="000000"/>
            </w:tcBorders>
          </w:tcPr>
          <w:p>
            <w:pPr>
              <w:pStyle w:val="Normal"/>
              <w:tabs>
                <w:tab w:val="clear" w:pos="709"/>
                <w:tab w:val="right" w:pos="9355" w:leader="none"/>
              </w:tabs>
              <w:spacing w:lineRule="auto" w:line="240"/>
              <w:jc w:val="both"/>
              <w:rPr>
                <w:rFonts w:ascii="Times New Roman" w:hAnsi="Times New Roman"/>
              </w:rPr>
            </w:pPr>
            <w:r>
              <w:rPr>
                <w:rFonts w:cs="Times New Roman" w:ascii="Times New Roman" w:hAnsi="Times New Roman"/>
                <w:sz w:val="28"/>
                <w:szCs w:val="28"/>
                <w:lang w:val="ru-RU"/>
              </w:rPr>
              <w:t>TGTCCCAGGATTAGAATGATTAGGC</w:t>
            </w:r>
          </w:p>
        </w:tc>
      </w:tr>
      <w:tr>
        <w:trPr/>
        <w:tc>
          <w:tcPr>
            <w:tcW w:w="2209"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U6-29p R</w:t>
            </w:r>
          </w:p>
        </w:tc>
        <w:tc>
          <w:tcPr>
            <w:tcW w:w="726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AGCCCTCTTCTTTCGATCCATCAAC</w:t>
            </w:r>
          </w:p>
        </w:tc>
      </w:tr>
    </w:tbl>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После подтверждения, 200 мкл суспензии клеток инокулировали в 5 мл среды ЛБ с селективным антибиотиком канамицином и инкубировали в течение 16 часов при 37°C и непрерывным перемешиванием. Из выращенной культуры готовили глицериновые стоки (150 мкл 100% глицерина и 850 мкл инокулята) трансформированных клеток для длительного хранения в низкотемпературных условиях (-80</w:t>
      </w:r>
      <w:r>
        <w:rPr>
          <w:rFonts w:cs="Liberation Serif" w:ascii="Times New Roman" w:hAnsi="Times New Roman"/>
          <w:sz w:val="28"/>
          <w:szCs w:val="28"/>
          <w:lang w:val="ru-RU"/>
        </w:rPr>
        <w:t>°</w:t>
      </w:r>
      <w:r>
        <w:rPr>
          <w:rFonts w:cs="Times New Roman" w:ascii="Times New Roman" w:hAnsi="Times New Roman"/>
          <w:sz w:val="28"/>
          <w:szCs w:val="28"/>
          <w:lang w:val="ru-RU"/>
        </w:rPr>
        <w:t xml:space="preserve">С). </w:t>
      </w:r>
    </w:p>
    <w:p>
      <w:pPr>
        <w:pStyle w:val="Normal"/>
        <w:spacing w:lineRule="auto" w:line="240"/>
        <w:ind w:firstLine="709" w:start="0" w:end="0"/>
        <w:jc w:val="both"/>
        <w:rPr>
          <w:rFonts w:ascii="Times New Roman" w:hAnsi="Times New Roman"/>
        </w:rPr>
      </w:pPr>
      <w:r>
        <w:rPr>
          <w:rFonts w:cs="Times New Roman" w:ascii="Times New Roman" w:hAnsi="Times New Roman"/>
          <w:i w:val="false"/>
          <w:iCs w:val="false"/>
          <w:sz w:val="28"/>
          <w:szCs w:val="28"/>
          <w:lang w:val="ru-RU"/>
        </w:rPr>
        <w:t xml:space="preserve">Для дальнейшего использования клонированного вектора pKSE401 плазмидную ДНК выделяли коммерческим набором </w:t>
      </w:r>
      <w:r>
        <w:rPr>
          <w:rFonts w:cs="Times New Roman" w:ascii="Times New Roman" w:hAnsi="Times New Roman"/>
          <w:sz w:val="28"/>
          <w:szCs w:val="28"/>
          <w:lang w:val="ru-RU"/>
        </w:rPr>
        <w:t xml:space="preserve">GeneJET Plasmid Miniprep Kit (Thermo Fisher Scientific, США), в соответствии с протоколом производителя. </w:t>
      </w:r>
    </w:p>
    <w:p>
      <w:pPr>
        <w:pStyle w:val="Normal"/>
        <w:numPr>
          <w:ilvl w:val="0"/>
          <w:numId w:val="0"/>
        </w:numPr>
        <w:spacing w:lineRule="auto" w:line="240"/>
        <w:ind w:hanging="0" w:start="737" w:end="0"/>
        <w:jc w:val="both"/>
        <w:rPr>
          <w:rFonts w:ascii="Times New Roman" w:hAnsi="Times New Roman"/>
        </w:rPr>
      </w:pPr>
      <w:r>
        <w:rPr>
          <w:rFonts w:cs="Times New Roman" w:ascii="Times New Roman" w:hAnsi="Times New Roman"/>
          <w:i w:val="false"/>
          <w:iCs w:val="false"/>
          <w:sz w:val="28"/>
          <w:szCs w:val="28"/>
          <w:lang w:val="ru-RU"/>
        </w:rPr>
        <w:t>3. Подготовка компетентных клеток ЕНА105 и их трансформация.</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200 мкл суспензии клеток </w:t>
      </w:r>
      <w:r>
        <w:rPr>
          <w:rFonts w:cs="Times New Roman" w:ascii="Times New Roman" w:hAnsi="Times New Roman"/>
          <w:i/>
          <w:sz w:val="28"/>
          <w:szCs w:val="28"/>
          <w:lang w:val="ru-RU"/>
        </w:rPr>
        <w:t xml:space="preserve">Agrobacterium tumefaciens </w:t>
      </w:r>
      <w:r>
        <w:rPr>
          <w:rFonts w:cs="Times New Roman" w:ascii="Times New Roman" w:hAnsi="Times New Roman"/>
          <w:i w:val="false"/>
          <w:iCs w:val="false"/>
          <w:sz w:val="28"/>
          <w:szCs w:val="28"/>
          <w:lang w:val="ru-RU"/>
        </w:rPr>
        <w:t xml:space="preserve">(размороженные глицериновые стоки) линии ЕНА105 </w:t>
      </w:r>
      <w:r>
        <w:rPr>
          <w:rFonts w:cs="Times New Roman" w:ascii="Times New Roman" w:hAnsi="Times New Roman"/>
          <w:sz w:val="28"/>
          <w:szCs w:val="28"/>
          <w:lang w:val="ru-RU"/>
        </w:rPr>
        <w:t xml:space="preserve">вносили в жидкую YEP-среду объемом 300 мл, содержащую рифампицин, и инкубировали в течении 16 часов при температуре 28ºC с постоянным перемешиванием. Далее суспензию центрифугировали 10 минут при 4ºC, 5000 оборотов, супернатант отбрасывали. Осадок ресуспендировали </w:t>
      </w:r>
      <w:r>
        <w:rPr>
          <w:rFonts w:ascii="Times New Roman" w:hAnsi="Times New Roman"/>
          <w:sz w:val="28"/>
          <w:szCs w:val="28"/>
          <w:lang w:val="ru-RU"/>
        </w:rPr>
        <w:t xml:space="preserve">в </w:t>
      </w:r>
      <w:r>
        <w:rPr>
          <w:rFonts w:cs="Times New Roman" w:ascii="Times New Roman" w:hAnsi="Times New Roman"/>
          <w:sz w:val="28"/>
          <w:szCs w:val="28"/>
          <w:lang w:val="ru-RU"/>
        </w:rPr>
        <w:t xml:space="preserve">10 мл стерильного глицерина (10%), далее снова осаждали клетки при тех же условиях. Далее повторяли ресуспендирование и осаждение клеток в 15 мл глицерина при тех же условиях. После удаления супернатанта осадок ресуспендировали в 1.5 мл глицерина и делили на аликвоты по 50 мкл для дальнейшего хранения при -80 ºC.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Транформацию агробактерий плазмидой pKSE401 осуществляли методом электропорации. Кюветы для электропорации, размороженные плазмиды и бактерии помещали на лед перед использованием. Смесь, содержащая 5 мкл плазмидной ДНК и 50 мкл суспензии клеток, аккуратно вносили в кюветы. Условия электропорации – 2400 V, 200 Om. Средняя продолжительность электрического импульса – 4.8-5.3 мс. Далее содержимое кюветы переносили в 1 мл YEP-среды без антибиотика и инкубировали 3 часа при 28ºC, с постоянным перемешиванием. После клетки осаждали при 5000 оборотах в течении 5 минут, 1 мл надосадочной жидкости отбрасывали, после чего осадок ресуспендировали в оставшейся среде и наносили на чашки Петри с твердой YEP-средой, канамицином и рифампицином. Клетки выращивали двое суток при 28ºC.</w:t>
      </w:r>
    </w:p>
    <w:p>
      <w:pPr>
        <w:pStyle w:val="Normal"/>
        <w:spacing w:lineRule="auto" w:line="240"/>
        <w:ind w:firstLine="709" w:start="0" w:end="0"/>
        <w:jc w:val="both"/>
        <w:rPr/>
      </w:pPr>
      <w:r>
        <w:rPr>
          <w:rFonts w:cs="Times New Roman" w:ascii="Times New Roman" w:hAnsi="Times New Roman"/>
          <w:sz w:val="28"/>
          <w:szCs w:val="28"/>
          <w:lang w:val="ru-RU"/>
        </w:rPr>
        <w:t xml:space="preserve">Отбор трансформированных колоний осуществляли при помощи </w:t>
      </w:r>
      <w:r>
        <w:rPr>
          <w:rStyle w:val="PageNumber"/>
          <w:rFonts w:cs="Times New Roman" w:ascii="Times New Roman" w:hAnsi="Times New Roman"/>
          <w:sz w:val="28"/>
          <w:szCs w:val="28"/>
          <w:lang w:val="ru-RU"/>
        </w:rPr>
        <w:t xml:space="preserve">ПЦР с праймерами </w:t>
      </w:r>
      <w:r>
        <w:rPr>
          <w:rFonts w:cs="Times New Roman" w:ascii="Times New Roman" w:hAnsi="Times New Roman"/>
          <w:sz w:val="28"/>
          <w:szCs w:val="28"/>
          <w:lang w:val="ru-RU"/>
        </w:rPr>
        <w:t>U6-26pF и U6-29pR по протоколу, описанному выше</w:t>
      </w:r>
      <w:r>
        <w:rPr>
          <w:rStyle w:val="PageNumber"/>
          <w:rFonts w:cs="Times New Roman" w:ascii="Times New Roman" w:hAnsi="Times New Roman"/>
          <w:sz w:val="28"/>
          <w:szCs w:val="28"/>
          <w:lang w:val="ru-RU"/>
        </w:rPr>
        <w:t xml:space="preserve">. Аналогично, готовили глицериновые стоки трансформированных клеток для длительного хранения. </w:t>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firstLine="709" w:start="0" w:end="0"/>
        <w:jc w:val="both"/>
        <w:rPr/>
      </w:pPr>
      <w:r>
        <w:rPr>
          <w:rStyle w:val="2"/>
          <w:rFonts w:ascii="Times New Roman" w:hAnsi="Times New Roman"/>
          <w:b w:val="false"/>
          <w:bCs w:val="false"/>
          <w:sz w:val="28"/>
          <w:szCs w:val="28"/>
          <w:lang w:val="ru-RU"/>
        </w:rPr>
        <w:t xml:space="preserve">2.2.2.2 </w:t>
      </w:r>
      <w:bookmarkStart w:id="4" w:name="_Toc175563968"/>
      <w:r>
        <w:rPr>
          <w:rStyle w:val="2"/>
          <w:rFonts w:ascii="Times New Roman" w:hAnsi="Times New Roman"/>
          <w:b w:val="false"/>
          <w:bCs w:val="false"/>
          <w:sz w:val="28"/>
          <w:szCs w:val="28"/>
          <w:lang w:val="ru-RU"/>
        </w:rPr>
        <w:t>Редактирование генома томата. Получение трансформированных растений</w:t>
      </w:r>
      <w:bookmarkEnd w:id="4"/>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Получение трансформированных растений томата проводили в несколько этапов: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1. Кокультивация эксплантов с агробактериями.</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2. Промывка и пересадка эксплантов на среду с антибиотиками.</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3. Постоянный мониторинг растений на предмет заражения среды бактериями, пересадка не менее раза в две недели на свежую среду.</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4. Процесс укоренения.</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5. Адаптация проростков к почве.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Внесение плазмиды в растение томата осуществляли при помощи агробактериальной трансформации. Для этого предварительно готовили ночные культуры агробактерий, несущие векторные конструкции. Для этого 20 мкл из глицеринового стока клеток инокулировали в 5 мл YEP с канамицином и рифампицином и выращивались не менее 16 часов при 28</w:t>
      </w:r>
      <w:r>
        <w:rPr>
          <w:rFonts w:cs="Times New Roman" w:ascii="Times New Roman" w:hAnsi="Times New Roman"/>
          <w:position w:val="0"/>
          <w:sz w:val="28"/>
          <w:sz w:val="28"/>
          <w:szCs w:val="28"/>
          <w:vertAlign w:val="baseline"/>
          <w:lang w:val="ru-RU"/>
        </w:rPr>
        <w:t>˚</w:t>
      </w:r>
      <w:r>
        <w:rPr>
          <w:rFonts w:cs="Times New Roman" w:ascii="Times New Roman" w:hAnsi="Times New Roman"/>
          <w:sz w:val="28"/>
          <w:szCs w:val="28"/>
          <w:lang w:val="ru-RU"/>
        </w:rPr>
        <w:t xml:space="preserve">С с постоянным перемешиванием.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Семена томата выбранных сортов проращивали в стерильных условиях, на увлажненной стерильной фильтровальной бумаге в закрытых чашках Петри. На зеленых проростках делали надрезы с 4-х сторон стерильным лезвием для лучшего проникновения бактерий в растение.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Для трансформации растений 200 мкл суспензии агробактерий вносили в 30 мл среды Мурасиге-Скуга с 3% сахарозой и 0,2 ммоль/л ацетосирингона и  нкубировали 1 час в темноте. Далее, травмированные проростки помещали в среду с агробактериями и инкубировали 15 минут с постоянным перемешиванием, после  дважды промывали в среде МС с 3% сахарозой и комбинацией антибиотиков тиментина и цефатоксима в концентрации 300 мкг/мл. Ацетосирингон, фенольное соединение, выделяемое растениями, способствует экспрессии гена вирулентности (vir) в агробактериях, и включение этой молекулы-индуктора в среду для совместного культивирования обычно увеличивает частоту трансформации </w:t>
      </w:r>
      <w:r>
        <w:fldChar w:fldCharType="begin"/>
      </w:r>
      <w:r>
        <w:rPr>
          <w:sz w:val="28"/>
          <w:szCs w:val="28"/>
          <w:rFonts w:cs="Times New Roman" w:ascii="Times New Roman" w:hAnsi="Times New Roman"/>
          <w:lang w:val="ru-RU"/>
        </w:rPr>
        <w:instrText xml:space="preserve">ADDIN ZOTERO_ITEM CSL_CITATION {"citationID":"Cix5UwG3","properties":{"formattedCitation":"[17]","plainCitation":"[17]","noteIndex":0},"citationItems":[{"id":93,"uris":["http://zotero.org/users/local/qosASev8/items/GL8TSQCZ"],"itemData":{"id":93,"type":"article-journal","abstract":"Transient gene expression utilizing syringe agroinfiltration offers a simple and efficient technique for different transgenic applications. Leaves of Nicotiana benthamiana show reliable and high transformation efficiency, but in quantitative assays also a certain degree of variation. We used a nested design in our agroinfiltration experiments to dissect the sources of this variation.","container-title":"Plant Methods","DOI":"10.1186/s13007-015-0091-5","ISSN":"1746-4811","issue":"1","journalAbbreviation":"Plant Methods","page":"47","source":"BioMed Central","title":"Within leaf variation is the largest source of variation in agroinfiltration of Nicotiana benthamiana","volume":"11","author":[{"family":"Bashandy","given":"Hany"},{"family":"Jalkanen","given":"Salla"},{"family":"Teeri","given":"Teemu H."}],"issued":{"date-parts":[["2015",10,14]]}}}],"schema":"https://github.com/citation-style-language/schema/raw/master/csl-citation.json"}</w:instrText>
      </w:r>
      <w:r>
        <w:rPr>
          <w:rFonts w:cs="Times New Roman" w:ascii="Times New Roman" w:hAnsi="Times New Roman"/>
          <w:sz w:val="28"/>
          <w:szCs w:val="28"/>
          <w:lang w:val="ru-RU"/>
        </w:rPr>
      </w:r>
      <w:r>
        <w:rPr>
          <w:sz w:val="28"/>
          <w:szCs w:val="28"/>
          <w:rFonts w:cs="Times New Roman" w:ascii="Times New Roman" w:hAnsi="Times New Roman"/>
          <w:lang w:val="ru-RU"/>
        </w:rPr>
        <w:fldChar w:fldCharType="separate"/>
      </w:r>
      <w:r>
        <w:rPr>
          <w:rFonts w:cs="Times New Roman" w:ascii="Times New Roman" w:hAnsi="Times New Roman"/>
          <w:sz w:val="28"/>
          <w:szCs w:val="28"/>
          <w:lang w:val="ru-RU"/>
        </w:rPr>
        <w:t>[17]</w:t>
      </w:r>
      <w:r>
        <w:rPr>
          <w:rFonts w:cs="Times New Roman" w:ascii="Times New Roman" w:hAnsi="Times New Roman"/>
          <w:sz w:val="28"/>
          <w:szCs w:val="28"/>
          <w:lang w:val="ru-RU"/>
        </w:rPr>
      </w:r>
      <w:r>
        <w:rPr>
          <w:sz w:val="28"/>
          <w:szCs w:val="28"/>
          <w:rFonts w:cs="Times New Roman" w:ascii="Times New Roman" w:hAnsi="Times New Roman"/>
          <w:lang w:val="ru-RU"/>
        </w:rPr>
        <w:fldChar w:fldCharType="end"/>
      </w:r>
      <w:r>
        <w:rPr>
          <w:rFonts w:cs="Times New Roman" w:ascii="Times New Roman" w:hAnsi="Times New Roman"/>
          <w:sz w:val="28"/>
          <w:szCs w:val="28"/>
          <w:lang w:val="ru-RU"/>
        </w:rPr>
        <w:t xml:space="preserve">.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После промывания средой МС с антибиотиками растения высаживали на твердую среду МС с 3% сахарозой, гормонами ИУК 0,5 мг/л и БАП 3 мг/л, комбинацией витаминов 1 мг/л В1, 1 мг/л В6 и 0,5 мг/л РР, и 0,1 г/л мио-инозитола (таблица 5) и выращивали в течении 48 часов в темноте.</w:t>
      </w:r>
    </w:p>
    <w:p>
      <w:pPr>
        <w:pStyle w:val="Normal"/>
        <w:spacing w:lineRule="auto" w:line="240"/>
        <w:ind w:firstLine="709" w:start="0" w:end="0"/>
        <w:jc w:val="both"/>
        <w:rPr>
          <w:rFonts w:ascii="Times New Roman" w:hAnsi="Times New Roman"/>
        </w:rPr>
      </w:pPr>
      <w:r>
        <w:rPr>
          <w:rFonts w:ascii="Times New Roman" w:hAnsi="Times New Roman"/>
          <w:sz w:val="28"/>
          <w:szCs w:val="28"/>
        </w:rPr>
        <w:t>После предварительного культивирования растения дважды промывали в среде МС с сахарозой и комбинацией тиментина и цефатоксима по 15 минут, и высаживали на среду с дополнительно добавленными антибиотиками: тиментином, цефатоксимом и канамицином (для отбора трансформированных томатов). По мере появления колоний бактерий, а также не менее одного раза в две недели растения промывали жидкой средой МС с антибиотикаии и пересаживали</w:t>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Таблица 12 – Дополнительные компоненты среды Мурасиге-Скуга </w:t>
      </w:r>
    </w:p>
    <w:p>
      <w:pPr>
        <w:pStyle w:val="Normal"/>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471" w:type="dxa"/>
        <w:jc w:val="start"/>
        <w:tblInd w:w="83" w:type="dxa"/>
        <w:tblLayout w:type="fixed"/>
        <w:tblCellMar>
          <w:top w:w="0" w:type="dxa"/>
          <w:start w:w="108" w:type="dxa"/>
          <w:bottom w:w="0" w:type="dxa"/>
          <w:end w:w="108" w:type="dxa"/>
        </w:tblCellMar>
      </w:tblPr>
      <w:tblGrid>
        <w:gridCol w:w="4682"/>
        <w:gridCol w:w="4788"/>
      </w:tblGrid>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Компонент</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Концентрация</w:t>
            </w:r>
          </w:p>
        </w:tc>
      </w:tr>
      <w:tr>
        <w:trPr>
          <w:trHeight w:val="332" w:hRule="atLeast"/>
        </w:trPr>
        <w:tc>
          <w:tcPr>
            <w:tcW w:w="4682" w:type="dxa"/>
            <w:tcBorders>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Сахароза</w:t>
            </w:r>
          </w:p>
        </w:tc>
        <w:tc>
          <w:tcPr>
            <w:tcW w:w="4788" w:type="dxa"/>
            <w:tcBorders>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30 г/л</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ИУК</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0,5 мг/л</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БАП</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3 мг/л</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В1</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1 мг/л</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В6</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1 мг/л</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РР</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 xml:space="preserve">0,5 мг/л </w:t>
            </w:r>
          </w:p>
        </w:tc>
      </w:tr>
      <w:tr>
        <w:trPr>
          <w:trHeight w:val="332" w:hRule="atLeast"/>
        </w:trPr>
        <w:tc>
          <w:tcPr>
            <w:tcW w:w="4682"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4"/>
                <w:szCs w:val="24"/>
                <w:lang w:val="ru-RU"/>
              </w:rPr>
              <w:t>Мио-инозитол</w:t>
            </w:r>
          </w:p>
        </w:tc>
        <w:tc>
          <w:tcPr>
            <w:tcW w:w="4788"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ind w:firstLine="709" w:start="0" w:end="0"/>
              <w:jc w:val="both"/>
              <w:rPr>
                <w:rFonts w:ascii="Times New Roman" w:hAnsi="Times New Roman"/>
              </w:rPr>
            </w:pPr>
            <w:r>
              <w:rPr>
                <w:rFonts w:cs="Times New Roman" w:ascii="Times New Roman" w:hAnsi="Times New Roman"/>
                <w:sz w:val="24"/>
                <w:szCs w:val="24"/>
                <w:lang w:val="ru-RU"/>
              </w:rPr>
              <w:t>0,1 г/л</w:t>
            </w:r>
          </w:p>
        </w:tc>
      </w:tr>
    </w:tbl>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на свежую питательную среду. Растения выраивали при 16-часовом фотопериоде, температуре 24-26˚С и влажности воздуха не менее 60%. </w:t>
      </w:r>
    </w:p>
    <w:p>
      <w:pPr>
        <w:pStyle w:val="Normal"/>
        <w:spacing w:lineRule="auto" w:line="240"/>
        <w:ind w:firstLine="709" w:start="0" w:end="0"/>
        <w:jc w:val="both"/>
        <w:rPr>
          <w:rFonts w:ascii="Times New Roman" w:hAnsi="Times New Roman"/>
        </w:rPr>
      </w:pPr>
      <w:r>
        <w:rPr>
          <w:rFonts w:ascii="Times New Roman" w:hAnsi="Times New Roman"/>
          <w:sz w:val="28"/>
          <w:szCs w:val="28"/>
          <w:lang w:val="ru-RU"/>
        </w:rPr>
        <w:t xml:space="preserve">Приблизительно через 3-4 недели происходит образование побегов из каллуса. Побеги длиной 2-3 см отделяли от каллуса и пересаживали на среду без гормонов, но с обязательным содержанием прочих компонентов. После образования 1-2 корней (2-3 день корнеобразования) регенеранты высаживалия в стерильную почву, содержащую вермикулит в соотношении 1:1. Перед этим растения очищали от остатков твердой питательной среды и промывали в растворе циркона. В течение первой недели высаженные растения помещались под пластиковыми колпаками с отверстиями для свободного проникновения воздуха, после чего колпаки убирали.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Отбор трансформированных клонов проводили методом ПЦР для детекции Т-ДНК из регенерантов. Выделение ДНК из растений осуществляли с использованием CTAB буфера, как описано в разделе 2.2.1.2. Непосредственный отбор осуществляли при помощи ПЦР с праймерами U6-26pF и U6-29pR, как описано выше. Положительный результат говорит о наличии вставки, для определения работоспособности конструкции, несущей систему редактирования генома проводили оценку экспрессии направляющих РНК и белка Cas9.</w:t>
      </w:r>
    </w:p>
    <w:p>
      <w:pPr>
        <w:pStyle w:val="Normal"/>
        <w:spacing w:lineRule="auto" w:line="240"/>
        <w:ind w:firstLine="709" w:start="0" w:end="0"/>
        <w:jc w:val="both"/>
        <w:rPr>
          <w:rFonts w:ascii="Times New Roman" w:hAnsi="Times New Roman"/>
        </w:rPr>
      </w:pPr>
      <w:r>
        <w:rPr>
          <w:rFonts w:ascii="Times New Roman" w:hAnsi="Times New Roman"/>
        </w:rPr>
      </w:r>
    </w:p>
    <w:p>
      <w:pPr>
        <w:pStyle w:val="Heading2"/>
        <w:spacing w:lineRule="auto" w:line="240" w:before="0" w:after="0"/>
        <w:ind w:firstLine="709" w:start="0" w:end="0"/>
        <w:jc w:val="both"/>
        <w:rPr/>
      </w:pPr>
      <w:r>
        <w:rPr>
          <w:rStyle w:val="2"/>
          <w:rFonts w:ascii="Times New Roman" w:hAnsi="Times New Roman"/>
          <w:b w:val="false"/>
          <w:bCs w:val="false"/>
          <w:sz w:val="28"/>
          <w:szCs w:val="28"/>
          <w:lang w:val="ru-RU"/>
        </w:rPr>
        <w:t>2.2.2.3</w:t>
      </w:r>
      <w:r>
        <w:rPr>
          <w:rStyle w:val="2"/>
          <w:rFonts w:eastAsia="Noto Serif CJK SC" w:cs="Lohit Devanagari" w:ascii="Times New Roman" w:hAnsi="Times New Roman"/>
          <w:b w:val="false"/>
          <w:bCs w:val="false"/>
          <w:sz w:val="28"/>
          <w:szCs w:val="28"/>
          <w:lang w:val="ru-RU"/>
        </w:rPr>
        <w:t xml:space="preserve"> </w:t>
      </w:r>
      <w:bookmarkStart w:id="5" w:name="_Toc175563969"/>
      <w:r>
        <w:rPr>
          <w:rFonts w:ascii="Times New Roman" w:hAnsi="Times New Roman"/>
          <w:b w:val="false"/>
          <w:bCs w:val="false"/>
          <w:sz w:val="28"/>
          <w:szCs w:val="28"/>
          <w:lang w:val="ru-RU"/>
        </w:rPr>
        <w:t>Анализ экспрессии направляющих РНК, белка Cas9 и оценка мутаций</w:t>
      </w:r>
      <w:bookmarkEnd w:id="5"/>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Выделение РНК для анализа экспрессии нРНУ осуществляли при помощи коммерческих наборов: Total RNA Purification Kits. Norgen Biotek, Канада. Для предотвращения ложноположительного результата из-за случайно амплифицированной ДНК, образцы РНК  обрабатывали ДНКзой 1.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Обратную транскрипцию проводили в реакционной смеси, включающей 0,5 ммоль/л олиго-dT, 0,5 ммоль/л случайного гексамерного праймера и 3 мкл обработанной ДНКзой 1 РНК в финальном объеме 15 мкл, согласно протоколу производителя обратной транскриптазы. Анализ экспрессии проводили при помощи классической ОТ-ПЦР со специфичными праймерами (таблица 13). Микс ПЦР состоял из 1Х Taq буфера, 0,2 мкмоль/л dNTP, 0,2 мкмоль/л каждого праймера, 1 единица Taq-полимеразы. </w:t>
      </w:r>
    </w:p>
    <w:p>
      <w:pPr>
        <w:pStyle w:val="Normal"/>
        <w:suppressAutoHyphens w:val="true"/>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uppressAutoHyphens w:val="true"/>
        <w:spacing w:lineRule="auto" w:line="240"/>
        <w:ind w:hanging="0" w:start="0" w:end="0"/>
        <w:jc w:val="both"/>
        <w:rPr>
          <w:rFonts w:ascii="Times New Roman" w:hAnsi="Times New Roman"/>
        </w:rPr>
      </w:pPr>
      <w:r>
        <w:rPr>
          <w:rFonts w:cs="Times New Roman" w:ascii="Times New Roman" w:hAnsi="Times New Roman"/>
          <w:sz w:val="28"/>
          <w:szCs w:val="28"/>
          <w:lang w:val="ru-RU"/>
        </w:rPr>
        <w:t>Таблица 13– Праймеры для определения экспрессии нРНК</w:t>
      </w:r>
    </w:p>
    <w:p>
      <w:pPr>
        <w:pStyle w:val="Normal"/>
        <w:suppressAutoHyphens w:val="true"/>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641" w:type="dxa"/>
        <w:jc w:val="start"/>
        <w:tblInd w:w="-4" w:type="dxa"/>
        <w:tblLayout w:type="fixed"/>
        <w:tblCellMar>
          <w:top w:w="0" w:type="dxa"/>
          <w:start w:w="108" w:type="dxa"/>
          <w:bottom w:w="0" w:type="dxa"/>
          <w:end w:w="108" w:type="dxa"/>
        </w:tblCellMar>
      </w:tblPr>
      <w:tblGrid>
        <w:gridCol w:w="1649"/>
        <w:gridCol w:w="46"/>
        <w:gridCol w:w="4481"/>
        <w:gridCol w:w="3464"/>
      </w:tblGrid>
      <w:tr>
        <w:trPr/>
        <w:tc>
          <w:tcPr>
            <w:tcW w:w="1649"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Название праймера</w:t>
            </w:r>
          </w:p>
        </w:tc>
        <w:tc>
          <w:tcPr>
            <w:tcW w:w="4527" w:type="dxa"/>
            <w:gridSpan w:val="2"/>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Последовательность 5’-3’</w:t>
            </w:r>
          </w:p>
        </w:tc>
        <w:tc>
          <w:tcPr>
            <w:tcW w:w="3464"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Tm, ºC</w:t>
            </w:r>
          </w:p>
        </w:tc>
      </w:tr>
      <w:tr>
        <w:trPr/>
        <w:tc>
          <w:tcPr>
            <w:tcW w:w="1649"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Crispr-1</w:t>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F</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GGGAGACCTCGTTTGGACGT</w:t>
            </w:r>
          </w:p>
        </w:tc>
        <w:tc>
          <w:tcPr>
            <w:tcW w:w="3464"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53</w:t>
            </w:r>
          </w:p>
          <w:p>
            <w:pPr>
              <w:pStyle w:val="Normal"/>
              <w:suppressAutoHyphens w:val="true"/>
              <w:spacing w:lineRule="auto" w:line="240"/>
              <w:jc w:val="both"/>
              <w:rPr>
                <w:rFonts w:ascii="Times New Roman" w:hAnsi="Times New Roman" w:cs="Times New Roman"/>
                <w:sz w:val="24"/>
                <w:szCs w:val="24"/>
                <w:lang w:val="ru-RU"/>
              </w:rPr>
            </w:pPr>
            <w:r>
              <w:rPr>
                <w:rFonts w:cs="Times New Roman" w:ascii="Times New Roman" w:hAnsi="Times New Roman"/>
                <w:sz w:val="24"/>
                <w:szCs w:val="24"/>
                <w:lang w:val="ru-RU"/>
              </w:rPr>
            </w:r>
          </w:p>
        </w:tc>
      </w:tr>
      <w:tr>
        <w:trPr/>
        <w:tc>
          <w:tcPr>
            <w:tcW w:w="1649"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R</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TGAGAGATTCAGATTTGCAA</w:t>
            </w:r>
          </w:p>
        </w:tc>
        <w:tc>
          <w:tcPr>
            <w:tcW w:w="3464"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649"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Crispr-5</w:t>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F</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TTCTACATGGATCGAGATAT</w:t>
            </w:r>
          </w:p>
        </w:tc>
        <w:tc>
          <w:tcPr>
            <w:tcW w:w="3464"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50</w:t>
            </w:r>
          </w:p>
        </w:tc>
      </w:tr>
      <w:tr>
        <w:trPr/>
        <w:tc>
          <w:tcPr>
            <w:tcW w:w="1649"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R</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GTACAACCGTCAAGAATAAG</w:t>
            </w:r>
          </w:p>
        </w:tc>
        <w:tc>
          <w:tcPr>
            <w:tcW w:w="3464"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649"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Crispr-8</w:t>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F</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TATATTTCCGGTGACTTAGA</w:t>
            </w:r>
          </w:p>
        </w:tc>
        <w:tc>
          <w:tcPr>
            <w:tcW w:w="3464" w:type="dxa"/>
            <w:vMerge w:val="restart"/>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4"/>
                <w:szCs w:val="24"/>
                <w:lang w:val="ru-RU"/>
              </w:rPr>
              <w:t>51</w:t>
            </w:r>
          </w:p>
        </w:tc>
      </w:tr>
      <w:tr>
        <w:trPr/>
        <w:tc>
          <w:tcPr>
            <w:tcW w:w="1649"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46"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jc w:val="both"/>
              <w:rPr>
                <w:rFonts w:ascii="Times New Roman" w:hAnsi="Times New Roman"/>
              </w:rPr>
            </w:pPr>
            <w:r>
              <w:rPr>
                <w:rFonts w:cs="Times New Roman" w:ascii="Times New Roman" w:hAnsi="Times New Roman"/>
                <w:sz w:val="28"/>
                <w:szCs w:val="28"/>
                <w:lang w:val="ru-RU"/>
              </w:rPr>
              <w:t>R</w:t>
            </w:r>
          </w:p>
        </w:tc>
        <w:tc>
          <w:tcPr>
            <w:tcW w:w="4481" w:type="dxa"/>
            <w:tcBorders>
              <w:top w:val="single" w:sz="4" w:space="0" w:color="000000"/>
              <w:start w:val="single" w:sz="4" w:space="0" w:color="000000"/>
              <w:bottom w:val="single" w:sz="4" w:space="0" w:color="000000"/>
              <w:end w:val="single" w:sz="4" w:space="0" w:color="000000"/>
            </w:tcBorders>
          </w:tcPr>
          <w:p>
            <w:pPr>
              <w:pStyle w:val="Normal"/>
              <w:suppressAutoHyphens w:val="true"/>
              <w:spacing w:lineRule="auto" w:line="240" w:before="57" w:after="57"/>
              <w:jc w:val="both"/>
              <w:rPr>
                <w:rFonts w:ascii="Times New Roman" w:hAnsi="Times New Roman"/>
              </w:rPr>
            </w:pPr>
            <w:r>
              <w:rPr>
                <w:rFonts w:cs="Times New Roman" w:ascii="Times New Roman" w:hAnsi="Times New Roman"/>
                <w:sz w:val="24"/>
                <w:szCs w:val="24"/>
                <w:lang w:val="ru-RU"/>
              </w:rPr>
              <w:t>AAACTCGCCGGACTCCGCCA</w:t>
            </w:r>
          </w:p>
        </w:tc>
        <w:tc>
          <w:tcPr>
            <w:tcW w:w="3464"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bl>
    <w:p>
      <w:pPr>
        <w:pStyle w:val="Normal"/>
        <w:spacing w:lineRule="auto" w:line="240"/>
        <w:ind w:firstLine="709" w:start="0" w:end="0"/>
        <w:jc w:val="both"/>
        <w:rPr>
          <w:rFonts w:ascii="Times New Roman" w:hAnsi="Times New Roman"/>
        </w:rPr>
      </w:pPr>
      <w:r>
        <w:rPr>
          <w:rFonts w:ascii="Times New Roman" w:hAnsi="Times New Roman"/>
        </w:rPr>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Программа амплификации включала: начальную денатурацию при 94°C в течение 2 минут, 35 циклов денатурации при 94°C в течение 40 секунд, отжиг в течение 40 секунд и элонгацию при 72°C в течение 40 секунд. Финальная элонгация – 10 минут при температуре 72°C. Результат ПЦР проверяли электрофорезом в 1,5% агарозном геле.</w:t>
      </w:r>
    </w:p>
    <w:p>
      <w:pPr>
        <w:pStyle w:val="Normal"/>
        <w:spacing w:lineRule="auto" w:line="240"/>
        <w:ind w:firstLine="709" w:start="0" w:end="0"/>
        <w:jc w:val="both"/>
        <w:rPr>
          <w:rFonts w:ascii="Times New Roman" w:hAnsi="Times New Roman"/>
        </w:rPr>
      </w:pPr>
      <w:r>
        <w:rPr>
          <w:rFonts w:cs="Times New Roman" w:ascii="Times New Roman" w:hAnsi="Times New Roman"/>
          <w:bCs/>
          <w:i w:val="false"/>
          <w:iCs w:val="false"/>
          <w:sz w:val="28"/>
          <w:szCs w:val="28"/>
          <w:lang w:val="ru-RU"/>
        </w:rPr>
        <w:t>Определение экспрессии белка Cas9 проводили методом электрофореза в ПААГ и вестерн-блоттинга. В</w:t>
      </w:r>
      <w:r>
        <w:rPr>
          <w:rFonts w:cs="Times New Roman" w:ascii="Times New Roman" w:hAnsi="Times New Roman"/>
          <w:bCs/>
          <w:sz w:val="28"/>
          <w:szCs w:val="28"/>
          <w:lang w:val="ru-RU"/>
        </w:rPr>
        <w:t xml:space="preserve">ыделение белков из растительного осуществлялось ESB-буфером (9 моль/л мочевина, 4,5% SDS, 75 ммоль/л Tris-HCl pH 6.8, 7,5% β-меркаптоэтанол – непосредственно перед выделением). 100 мг листьев растирали в ступке с добавлением буфера в соотношении 1:5, гомогенат переносили в пробирки и инкубировали 10 минут при 100ºC, после чего был центрифугировали при 10000 оборотах в течении 10 минут. Надосадочную жидкость с белками отбирали и хранили при -20ºC. </w:t>
      </w:r>
    </w:p>
    <w:p>
      <w:pPr>
        <w:pStyle w:val="Normal"/>
        <w:spacing w:lineRule="auto" w:line="240"/>
        <w:ind w:firstLine="709" w:start="0" w:end="0"/>
        <w:jc w:val="both"/>
        <w:rPr>
          <w:rFonts w:ascii="Times New Roman" w:hAnsi="Times New Roman"/>
        </w:rPr>
      </w:pPr>
      <w:r>
        <w:rPr>
          <w:rFonts w:cs="Times New Roman" w:ascii="Times New Roman" w:hAnsi="Times New Roman"/>
          <w:bCs/>
          <w:sz w:val="28"/>
          <w:szCs w:val="28"/>
          <w:lang w:val="ru-RU"/>
        </w:rPr>
        <w:t xml:space="preserve">Оценка качества выделения проводилась в 7,5% полиакриламидном SDS-денатурирующем гель-электрофорезе (ПААГ). </w:t>
      </w:r>
      <w:r>
        <w:rPr>
          <w:rFonts w:cs="Times New Roman" w:ascii="Times New Roman" w:hAnsi="Times New Roman"/>
          <w:sz w:val="28"/>
          <w:szCs w:val="28"/>
          <w:lang w:val="ru-RU"/>
        </w:rPr>
        <w:t xml:space="preserve">К 22 мкл образца добавляли 8 мкл буфера четырехкратного загрузочного буфера (200 мМ Трис-HCl рН 6,8, 400 мМ 2-меркаптоэтанол, 4% додецилсульфат натрия, 0,01% бромфеноловый синий, 40% глицерин). Далее проводилась денатурация в течение 5 минут при 100˚С перед непосредственным добавлением в гель. Для проведения электрофореза подготавливается 7,5% ПААГ, состоящий из двух фракций: разрешающей (таблица 14) и концентрирующей (таблица 15).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Готовые образцы объемом 25 мкл вносили в лунки. Используемый буфер в качестве электропроводника –трис-глициновый буфер с рН 8,3 (25 мМ Трис, 250 мМ глицин и 10% додецилсульфат натрия). Условия электрофореза –сила тока 40 мА и напряжение 160 В.</w:t>
      </w:r>
    </w:p>
    <w:p>
      <w:pPr>
        <w:pStyle w:val="Normal"/>
        <w:spacing w:lineRule="auto" w:line="240"/>
        <w:ind w:firstLine="709" w:start="0" w:end="0"/>
        <w:jc w:val="both"/>
        <w:rPr>
          <w:rFonts w:ascii="Times New Roman" w:hAnsi="Times New Roman"/>
        </w:rPr>
      </w:pPr>
      <w:r>
        <w:rPr>
          <w:rFonts w:ascii="Times New Roman" w:hAnsi="Times New Roman"/>
          <w:sz w:val="28"/>
          <w:szCs w:val="28"/>
        </w:rPr>
        <w:t>После электрофореза гель окрашивали в течение 5-10 минут при частом перемешивании в 300 мл раствора кумасси (0,25% кумасси синий R250, 45% этанола и 10% уксусной кислоты). Затем гель промывали в 200 мл промывочного</w:t>
      </w:r>
    </w:p>
    <w:p>
      <w:pPr>
        <w:pStyle w:val="Normal"/>
        <w:spacing w:lineRule="auto" w:line="240"/>
        <w:ind w:hanging="0" w:start="0" w:end="0"/>
        <w:jc w:val="both"/>
        <w:rPr>
          <w:rFonts w:ascii="Times New Roman" w:hAnsi="Times New Roman"/>
        </w:rPr>
      </w:pPr>
      <w:r>
        <w:rPr>
          <w:rFonts w:ascii="Times New Roman" w:hAnsi="Times New Roman"/>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Таблица 14 – Компоненты разрешающего геля</w:t>
      </w:r>
    </w:p>
    <w:p>
      <w:pPr>
        <w:pStyle w:val="Normal"/>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641" w:type="dxa"/>
        <w:jc w:val="start"/>
        <w:tblInd w:w="-4" w:type="dxa"/>
        <w:tblLayout w:type="fixed"/>
        <w:tblCellMar>
          <w:top w:w="0" w:type="dxa"/>
          <w:start w:w="108" w:type="dxa"/>
          <w:bottom w:w="0" w:type="dxa"/>
          <w:end w:w="108" w:type="dxa"/>
        </w:tblCellMar>
      </w:tblPr>
      <w:tblGrid>
        <w:gridCol w:w="1557"/>
        <w:gridCol w:w="923"/>
        <w:gridCol w:w="1325"/>
        <w:gridCol w:w="1745"/>
        <w:gridCol w:w="1995"/>
        <w:gridCol w:w="2095"/>
      </w:tblGrid>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Реактив</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Конц.</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Сток</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6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 xml:space="preserve">5 мл </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4,5 мл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Вода</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2,13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1,78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1,62 мл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Бис-акриламид АА:BIS=29:1</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7,5%</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30%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1,5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1,25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1,14 мл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Трис-HCl рН 8,8</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375Мм</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1М</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2,25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1,88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1,71 мл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SDS</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0,1%</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60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50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45,6 мкл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PSA</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0,1%</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60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50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45,6 мкл</w:t>
            </w:r>
          </w:p>
        </w:tc>
      </w:tr>
      <w:tr>
        <w:trPr/>
        <w:tc>
          <w:tcPr>
            <w:tcW w:w="1557"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TEMED</w:t>
            </w:r>
          </w:p>
        </w:tc>
        <w:tc>
          <w:tcPr>
            <w:tcW w:w="923"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1 мкл/мл</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5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4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before="57" w:after="57"/>
              <w:jc w:val="both"/>
              <w:rPr>
                <w:rFonts w:ascii="Times New Roman" w:hAnsi="Times New Roman"/>
              </w:rPr>
            </w:pPr>
            <w:r>
              <w:rPr>
                <w:rFonts w:cs="Times New Roman" w:ascii="Times New Roman" w:hAnsi="Times New Roman"/>
                <w:sz w:val="28"/>
                <w:szCs w:val="28"/>
                <w:lang w:val="ru-RU"/>
              </w:rPr>
              <w:t>3,65 мкл</w:t>
            </w:r>
          </w:p>
        </w:tc>
      </w:tr>
    </w:tbl>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Таблица 15 – Компоненты концентрирующего геля </w:t>
      </w:r>
    </w:p>
    <w:p>
      <w:pPr>
        <w:pStyle w:val="Normal"/>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641" w:type="dxa"/>
        <w:jc w:val="start"/>
        <w:tblInd w:w="-4" w:type="dxa"/>
        <w:tblLayout w:type="fixed"/>
        <w:tblCellMar>
          <w:top w:w="0" w:type="dxa"/>
          <w:start w:w="108" w:type="dxa"/>
          <w:bottom w:w="0" w:type="dxa"/>
          <w:end w:w="108" w:type="dxa"/>
        </w:tblCellMar>
      </w:tblPr>
      <w:tblGrid>
        <w:gridCol w:w="1598"/>
        <w:gridCol w:w="882"/>
        <w:gridCol w:w="1325"/>
        <w:gridCol w:w="1745"/>
        <w:gridCol w:w="1995"/>
        <w:gridCol w:w="2095"/>
      </w:tblGrid>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Реактив</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Конц.</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Сток</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4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3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 мл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Вода</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2,7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2,1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1,4 мл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Бис-акриламид АА:BIS=29:1</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5%</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30%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0,67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0,5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0,33 мл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Трис-HCl рН 6,8</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0,13М</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1М</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0,5 мл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0,38 мл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0,25 мл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SDS</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0,1%</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10%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40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30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20 мкл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PSA</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0,1%</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10%</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40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30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20 мкл</w:t>
            </w:r>
          </w:p>
        </w:tc>
      </w:tr>
      <w:tr>
        <w:trPr/>
        <w:tc>
          <w:tcPr>
            <w:tcW w:w="1598"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TEMED</w:t>
            </w:r>
          </w:p>
        </w:tc>
        <w:tc>
          <w:tcPr>
            <w:tcW w:w="882"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1 мкл/мл</w:t>
            </w:r>
          </w:p>
        </w:tc>
        <w:tc>
          <w:tcPr>
            <w:tcW w:w="132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w:t>
            </w:r>
          </w:p>
        </w:tc>
        <w:tc>
          <w:tcPr>
            <w:tcW w:w="174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4 мкл</w:t>
            </w:r>
          </w:p>
        </w:tc>
        <w:tc>
          <w:tcPr>
            <w:tcW w:w="19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3 мкл</w:t>
            </w:r>
          </w:p>
        </w:tc>
        <w:tc>
          <w:tcPr>
            <w:tcW w:w="2095"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8"/>
                <w:szCs w:val="28"/>
                <w:lang w:val="ru-RU"/>
              </w:rPr>
              <w:t>2 мкл</w:t>
            </w:r>
          </w:p>
        </w:tc>
      </w:tr>
    </w:tbl>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раствора (5% уксусной кислоты, 20% изопропанола) в течение двух часов после удаления раствора кумасси.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Для проведения вестерн-блоттинга электрофорез проводили по протоколу, описанному выше, без стадии окрашивания. Перенос на мембрану осуществляли сразу же после завершения процедуры разделения методом полусухого переноса белков на мембрану PVDF.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Подготовка процедуры переноса осуществлялась следующим образом:</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1. 4 листка ватмана, того же размера, что и гель, и мембрана, погружаются в буфер для переноса (47,9 мМ Триса, 38,6 мМ глицин, 10% додецилсульфат натрия и 40% пропанол) и переносятся стопкой на электронный катод (нижнюю пластину) устройства для переноса.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2. Концентрирующий слой геля отрезается, разрешающий гель погружается в буфер для переноса, после чего помещается на ватман.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3. На гель накладывается мембрану, пропитанная сначала  изопропанолом, а затем буфером для переноса.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4. Сверху помещается стопка из 4 листов ватмана, пропитанных буфером для переноса.</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5. Закрывается верхняя пластина – анодный электрод.</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Перенос проводили при напряжение 80 мА геля в течение двух часов. После завершения переноса мембрану промывали в течение 10 минут в 10 мл буфера TBS (50 мм Tis-HCl, рН 7,6, 150 мм NaCl). После этого блокировали пустые пор мембраны в 10 мл раствора TBS с добавлением 5% обезжиренного сухого молока в течение часа при комнатной температуре. После завершения инкубации трижды по пять минут промыть в TBST (50 мМ Трис-HCl, рН-7,6, 150 мМ NaCl, 0,1% Tween20). Далее мембрану инкубироваи с первичными антителами белку Cas9. Для этого приготовить раствор, содержащий 5мл TBS, 5% сухое молоко и первичные специфичные антитела к белку Cas9 в разведении 1:2000. Мембрану инкубировали 12 ч при температуре 4°C и промывали в TBST.</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Затем мембрану поместить в раствор для инкубации со вторичными антителами на час при комнатной температуре. Использовать в качестве раствора 10 мл TBS с 5% сухим обезжиренным молоком и антителами, специфичными к кроличьему иммуноглобулину, конъюгированные с щелочной фосфатазой (Anti-Rabbit IgG Alkaline Phosphatase, Sigma) в разведении 1:30000. Затем мембрану так, как уже было описано, промыть в буфере TBST.</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Для проявления белка на поверхности мембраны, ее инкубировать в субстрате в течение 30 минут при постоянном перемешивании в темноте. Субстрат к щелочной фосфатазе состоит из 10 мл реакционного буфера (0,1 мМ Трис-HCl, рН 9,5, 0,5 мМ NaCl и 5 мМ MgCl</w:t>
      </w:r>
      <w:r>
        <w:rPr>
          <w:rFonts w:cs="Times New Roman" w:ascii="Times New Roman" w:hAnsi="Times New Roman"/>
          <w:sz w:val="28"/>
          <w:szCs w:val="28"/>
          <w:vertAlign w:val="subscript"/>
          <w:lang w:val="ru-RU"/>
        </w:rPr>
        <w:t>2</w:t>
      </w:r>
      <w:r>
        <w:rPr>
          <w:rFonts w:cs="Times New Roman" w:ascii="Times New Roman" w:hAnsi="Times New Roman"/>
          <w:sz w:val="28"/>
          <w:szCs w:val="28"/>
          <w:lang w:val="ru-RU"/>
        </w:rPr>
        <w:t xml:space="preserve">), 66 мкл NBT (0,5 г,  растворенного в 10 мл 70%-ного DMSO) и 33 мкл BCIP (0,5 г, растворенного в 10 мл 100%-ного DMSO). При необходимости инкубационный период продлить. После удаления субстрата, для промывки мембраны использовать дистиллированную воду.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После этого можно визуально оценить экспрессию целевого белка. Размер белка Cas9 – 160 кДа.</w:t>
      </w:r>
    </w:p>
    <w:p>
      <w:pPr>
        <w:pStyle w:val="Normal"/>
        <w:spacing w:lineRule="auto" w:line="240"/>
        <w:ind w:firstLine="709" w:start="0" w:end="0"/>
        <w:jc w:val="both"/>
        <w:rPr>
          <w:rFonts w:ascii="Times New Roman" w:hAnsi="Times New Roman"/>
        </w:rPr>
      </w:pPr>
      <w:r>
        <w:rPr>
          <w:rFonts w:cs="Times New Roman" w:ascii="Times New Roman" w:hAnsi="Times New Roman"/>
          <w:i/>
          <w:iCs/>
          <w:sz w:val="28"/>
          <w:szCs w:val="28"/>
          <w:lang w:val="ru-RU"/>
        </w:rPr>
        <w:t>Анализ мутаций при помощи NGS-секвенирования</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После оценки экспрессии всех направляющих РНК и белка Cas9 проводится анализ делеций в геноме томата.  Первоначально необходимо провести ПЦР (таблица 9) на матрице выделенной ДНК из трансформированных томатов. При дизайне праймеров учитывалось ожидаемое нахождение делеции. </w:t>
      </w:r>
    </w:p>
    <w:p>
      <w:pPr>
        <w:pStyle w:val="Normal"/>
        <w:spacing w:lineRule="auto" w:line="240"/>
        <w:ind w:firstLine="709" w:start="0" w:end="0"/>
        <w:jc w:val="both"/>
        <w:rPr>
          <w:rFonts w:ascii="Times New Roman" w:hAnsi="Times New Roman"/>
        </w:rPr>
      </w:pPr>
      <w:r>
        <w:rPr>
          <w:rFonts w:cs="Times New Roman" w:ascii="Times New Roman" w:hAnsi="Times New Roman"/>
          <w:sz w:val="28"/>
          <w:szCs w:val="28"/>
          <w:lang w:val="ru-RU"/>
        </w:rPr>
        <w:t xml:space="preserve">Микс ПЦР состоит из: 1Х Taq buffer, 0,2 µM dNTP, 0,2 µM каждого праймера, 1 единица Taq-полимеразы. Программа амплификации следующая: первичная денатурация при 94ºС в течение 2 минут, 35 циклов, включающих 94ºС 40 секунд, 58ºС 40 секунд и 72ºС 1 минуту. Финальная элонгация длится 5 минут при 72 ºС. Продукт ПЦР анализируется в 1,5% агарозном ТАЕ-геле. </w:t>
      </w:r>
    </w:p>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 xml:space="preserve">Таблица 16 – Праймеры для анализа мутаций в генах </w:t>
      </w:r>
      <w:r>
        <w:rPr>
          <w:rFonts w:cs="Times New Roman" w:ascii="Times New Roman" w:hAnsi="Times New Roman"/>
          <w:i/>
          <w:iCs/>
          <w:sz w:val="28"/>
          <w:szCs w:val="28"/>
          <w:lang w:val="ru-RU"/>
        </w:rPr>
        <w:t>Mlo</w:t>
      </w:r>
    </w:p>
    <w:p>
      <w:pPr>
        <w:pStyle w:val="Normal"/>
        <w:spacing w:lineRule="auto" w:line="24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664" w:type="dxa"/>
        <w:jc w:val="start"/>
        <w:tblInd w:w="-24" w:type="dxa"/>
        <w:tblLayout w:type="fixed"/>
        <w:tblCellMar>
          <w:top w:w="0" w:type="dxa"/>
          <w:start w:w="108" w:type="dxa"/>
          <w:bottom w:w="0" w:type="dxa"/>
          <w:end w:w="108" w:type="dxa"/>
        </w:tblCellMar>
      </w:tblPr>
      <w:tblGrid>
        <w:gridCol w:w="1013"/>
        <w:gridCol w:w="3583"/>
        <w:gridCol w:w="4001"/>
        <w:gridCol w:w="1066"/>
      </w:tblGrid>
      <w:tr>
        <w:trPr/>
        <w:tc>
          <w:tcPr>
            <w:tcW w:w="10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Ген</w:t>
            </w:r>
          </w:p>
        </w:tc>
        <w:tc>
          <w:tcPr>
            <w:tcW w:w="358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Прямой праймер 5’-3’</w:t>
            </w:r>
          </w:p>
        </w:tc>
        <w:tc>
          <w:tcPr>
            <w:tcW w:w="400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Обратный праймер 5’-3’</w:t>
            </w:r>
          </w:p>
        </w:tc>
        <w:tc>
          <w:tcPr>
            <w:tcW w:w="1066"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Размер продукта, п.н.*</w:t>
            </w:r>
          </w:p>
        </w:tc>
      </w:tr>
      <w:tr>
        <w:trPr/>
        <w:tc>
          <w:tcPr>
            <w:tcW w:w="10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i/>
                <w:iCs/>
                <w:sz w:val="24"/>
                <w:szCs w:val="24"/>
                <w:lang w:val="ru-RU"/>
              </w:rPr>
              <w:t>SlMlo1</w:t>
            </w:r>
          </w:p>
        </w:tc>
        <w:tc>
          <w:tcPr>
            <w:tcW w:w="358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TTGACCGACACTTCATTCGT</w:t>
            </w:r>
          </w:p>
        </w:tc>
        <w:tc>
          <w:tcPr>
            <w:tcW w:w="400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TGAGTTTTGTACGGGGGAGA</w:t>
            </w:r>
          </w:p>
        </w:tc>
        <w:tc>
          <w:tcPr>
            <w:tcW w:w="1066"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842</w:t>
            </w:r>
          </w:p>
        </w:tc>
      </w:tr>
      <w:tr>
        <w:trPr/>
        <w:tc>
          <w:tcPr>
            <w:tcW w:w="10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i/>
                <w:iCs/>
                <w:sz w:val="24"/>
                <w:szCs w:val="24"/>
                <w:lang w:val="ru-RU"/>
              </w:rPr>
              <w:t>SlMlo5</w:t>
            </w:r>
          </w:p>
        </w:tc>
        <w:tc>
          <w:tcPr>
            <w:tcW w:w="358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GGTTATGGCGCTTGCATATT</w:t>
            </w:r>
          </w:p>
        </w:tc>
        <w:tc>
          <w:tcPr>
            <w:tcW w:w="400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TGGCTAGAGTTTAGATTTGTGTCTTT</w:t>
            </w:r>
          </w:p>
        </w:tc>
        <w:tc>
          <w:tcPr>
            <w:tcW w:w="1066"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693</w:t>
            </w:r>
          </w:p>
        </w:tc>
      </w:tr>
      <w:tr>
        <w:trPr/>
        <w:tc>
          <w:tcPr>
            <w:tcW w:w="101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i/>
                <w:iCs/>
                <w:sz w:val="24"/>
                <w:szCs w:val="24"/>
                <w:lang w:val="ru-RU"/>
              </w:rPr>
              <w:t>SlMlo8</w:t>
            </w:r>
          </w:p>
        </w:tc>
        <w:tc>
          <w:tcPr>
            <w:tcW w:w="358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TGATCAACATACACTGCAACG</w:t>
            </w:r>
          </w:p>
        </w:tc>
        <w:tc>
          <w:tcPr>
            <w:tcW w:w="400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TGATTTATAAGCATTGGCATTGA</w:t>
            </w:r>
          </w:p>
        </w:tc>
        <w:tc>
          <w:tcPr>
            <w:tcW w:w="1066"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593</w:t>
            </w:r>
          </w:p>
        </w:tc>
      </w:tr>
    </w:tbl>
    <w:p>
      <w:pPr>
        <w:pStyle w:val="Normal"/>
        <w:spacing w:lineRule="auto" w:line="240"/>
        <w:ind w:hanging="0" w:start="0" w:end="0"/>
        <w:jc w:val="both"/>
        <w:rPr>
          <w:rFonts w:ascii="Times New Roman" w:hAnsi="Times New Roman"/>
        </w:rPr>
      </w:pPr>
      <w:r>
        <w:rPr>
          <w:rFonts w:cs="Times New Roman" w:ascii="Times New Roman" w:hAnsi="Times New Roman"/>
          <w:sz w:val="28"/>
          <w:szCs w:val="28"/>
          <w:lang w:val="ru-RU"/>
        </w:rPr>
        <w:t>*Указание ожидаемого размера для амплифицированного фрагмента с матрицы ДНК без делеций</w:t>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firstLine="709" w:start="0" w:end="0"/>
        <w:jc w:val="both"/>
        <w:rPr>
          <w:rFonts w:ascii="Times New Roman" w:hAnsi="Times New Roman"/>
        </w:rPr>
      </w:pPr>
      <w:r>
        <w:rPr>
          <w:rFonts w:cs="Times New Roman" w:ascii="Times New Roman" w:hAnsi="Times New Roman"/>
          <w:i w:val="false"/>
          <w:iCs w:val="false"/>
          <w:sz w:val="28"/>
          <w:szCs w:val="28"/>
          <w:lang w:val="ru-RU"/>
        </w:rPr>
        <w:t>Секвенирование выполнялось на устройстве MinION Mk1B от компании Oxford Nanopore Technologies (ONT), с использованием набора SQK-RBK114.96. Подготовка библиотеки осуществлялась согласно протоколу производителя. 200 нг выделенной ДНК переносили в ПЦР пробирки. Объем доводили до 10 мкл безнуклеазной водой. Затем, добавляли 1,5 мкл баркода (RB01-96 для каждого отдельного образца). Смесь инкубировали при 30оС и 80 оС по 2 мин. После инкубации, охлажденные образцы были объединены в одной пробирке Eppendorf DNA LoBind tube 1,5 мл.</w:t>
      </w:r>
    </w:p>
    <w:p>
      <w:pPr>
        <w:pStyle w:val="Normal"/>
        <w:spacing w:lineRule="auto" w:line="240"/>
        <w:ind w:firstLine="709" w:start="0" w:end="0"/>
        <w:jc w:val="both"/>
        <w:rPr>
          <w:rFonts w:ascii="Times New Roman" w:hAnsi="Times New Roman"/>
        </w:rPr>
      </w:pPr>
      <w:r>
        <w:rPr>
          <w:rFonts w:cs="Times New Roman" w:ascii="Times New Roman" w:hAnsi="Times New Roman"/>
          <w:i w:val="false"/>
          <w:iCs w:val="false"/>
          <w:sz w:val="28"/>
          <w:szCs w:val="28"/>
          <w:lang w:val="ru-RU"/>
        </w:rPr>
        <w:t>Очистка проводилась с помощью AMPure XP Beads (AXP, поставленного в наборе). Суспензию магнитных частиц добавляли в соотношении 1:1 и инкубировали в течение 10 мин при комнатной температуре. Далее проводили осаждение частиц на магните. Осадок дважды промывали 80% спиртом. Подсушенный осадок растворяли буфером для элюции (EB). Затем, образцы инкубировали в течение 10 мин при комнатной температуре для освобождения иммобилизованных нуклеиновых кислот. Магнитные частицы удалялись путем осаждения их на магните, супернатант переносили в новую пробирку Eppendorf LoBind tube 1,5 мл. Отбирали 1 мкл элюированного образца для измерения концентрации на Qubit Flex Fluorometer (Thermo Fisher Scientific, США) с использованием набора dsDNA High-Sensitivity Assay kit. 11 мкл очищенной ДНК переносили в другую пробирку и добавляли 1 мкл адаптера (RA, rapid adapter), предварительно разбавленный в буфере (ADB, adapter buffer). Реакцию инкубировали 5 мин.</w:t>
      </w:r>
    </w:p>
    <w:p>
      <w:pPr>
        <w:pStyle w:val="Normal"/>
        <w:spacing w:lineRule="auto" w:line="240"/>
        <w:ind w:firstLine="709" w:start="0" w:end="0"/>
        <w:jc w:val="both"/>
        <w:rPr>
          <w:rFonts w:ascii="Times New Roman" w:hAnsi="Times New Roman"/>
        </w:rPr>
      </w:pPr>
      <w:r>
        <w:rPr>
          <w:rFonts w:cs="Times New Roman" w:ascii="Times New Roman" w:hAnsi="Times New Roman"/>
          <w:i w:val="false"/>
          <w:iCs w:val="false"/>
          <w:sz w:val="28"/>
          <w:szCs w:val="28"/>
          <w:lang w:val="ru-RU"/>
        </w:rPr>
        <w:t>Далее проводилась подготовка ячейки с нанопорами – FLOMIN114 Flow Cell – при помощи микса для прайминга из компонентов набора (Flow Cell Flush (FCF) и Flow Cell Tether (FCT)). В течение 5 минутной инкубации, была подготовлена библиотека для загрузки (37,5 мкл буфера для сиквенса (SB, sequencing buffer), 25,5 мкл частиц для библиотеки (LIB, library beads) и 12 мкл ДНК образцов). После завершения прайминга дополнительными 200 мкл микса, осуществлялась загрузка 75 мкл готовой библиотеки капельно в отверстие ячейки для образцов. Секвенирование проводилось с помощью программного обеспечения MinKNOW (v 24.06.8). Процесс бейзколлинга выполнялся с импользованием Dorado (v 7.4.12) бейзколлера, с одновременным триммингом баркодов. Выравнивание прочтений на референсные последовательности генов из сборки генома томата SolCap 3.0 проводилось программой Geneious Prime® 2024.0.5.</w:t>
      </w:r>
    </w:p>
    <w:p>
      <w:pPr>
        <w:pStyle w:val="Normal"/>
        <w:spacing w:lineRule="auto" w:line="240"/>
        <w:ind w:firstLine="709"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2.2.2.4 Идентификация возбудителя и тест устойчивости</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Для испытания устойчивости регенерантов к мучнистой росе был осуществлен поиск и идентификация живого возбудителя. Листья томатов с характерными симптомами мучнистой росы были обнаружены и собраны в частной теплице в Алматинской области, Казахстан. Смыв конидий с фрагментов листьев с белыми мучнистыми пятнами осуществлялся стандартным фосфатным буферным солевым раствором (PBS) (137 мМ хлорида натрия, 2 мМ хлорида калия, 10 мМ фосфатный буфер pH 7,4; Amresco, США). Полученная суспензия конидий немедленно использовалась для инфицирования живых растений, выращенных из смеси гибридных семян на универсальном грунте </w:t>
      </w:r>
      <w:r>
        <w:rPr>
          <w:rFonts w:ascii="Times New Roman" w:hAnsi="Times New Roman"/>
          <w:sz w:val="28"/>
          <w:szCs w:val="28"/>
          <w:lang w:val="ru-RU"/>
        </w:rPr>
        <w:t>при</w:t>
      </w:r>
      <w:r>
        <w:rPr>
          <w:rFonts w:cs="Times New Roman" w:ascii="Times New Roman" w:hAnsi="Times New Roman"/>
          <w:i w:val="false"/>
          <w:iCs w:val="false"/>
          <w:sz w:val="28"/>
          <w:szCs w:val="28"/>
          <w:lang w:val="ru-RU"/>
        </w:rPr>
        <w:t xml:space="preserve"> следующих условиях: 20°C, относительная влажность 50%, световой день 12 ч. Инокуляция проводилась на растениях возрастом не менее месяца путем опрыскивания листьев суспензией. За состоянием инокулированных растений следили ежедневно, при необходимости проводился перенос инфекции на свежие здоровые растения для поддержания живой культуры гриба аналогичным способом. </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Микроскопические наблюдения проводильсь до инокуляции растений и во время культивирования гриба </w:t>
      </w:r>
      <w:r>
        <w:rPr>
          <w:rFonts w:cs="Times New Roman" w:ascii="Times New Roman" w:hAnsi="Times New Roman"/>
          <w:i/>
          <w:iCs/>
          <w:sz w:val="28"/>
          <w:szCs w:val="28"/>
          <w:lang w:val="ru-RU"/>
        </w:rPr>
        <w:t>in vivo</w:t>
      </w:r>
      <w:r>
        <w:rPr>
          <w:rFonts w:cs="Times New Roman" w:ascii="Times New Roman" w:hAnsi="Times New Roman"/>
          <w:i w:val="false"/>
          <w:iCs w:val="false"/>
          <w:sz w:val="28"/>
          <w:szCs w:val="28"/>
          <w:lang w:val="ru-RU"/>
        </w:rPr>
        <w:t>. Наблюдение методом классической световой микроскопии проводилось на препаратах, приготовленных несколькими способами несколькими способами:</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1. Нефиксированные мицелий и конидии. Фрагмент прозрачной клейкой ленты прикладывался к инфицированным листья томата, затем помещался на предметное стекло клеевой стороной вверх. После этого наносилась капля раствора анилинового синего в лактоглицероле, и сверху накладывалось покровное стекло.</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2. Термически фиксированные мицелий и конидии. Фрагмент листа томата с белыми мучнистыми пятнами прижимался к предметному стеклу, покрытому 10% раствором глицерина в PBS. После высушивания на воздухе предметное стекло фиксировали быстрым нагреванием спиртовой горелкой, удаляли фрагмент листа, гриб на предметном стекле окрашивали в течение часа 0,05%-ным водным раствором метиленового синего, промывали дистиллированной водой и высушивали на воздухе. </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3. Фиксированные фрагменты зараженных листьев. Свежие листья томата с признаками инфекции выдерживались в 96% этаноле в течение ночи с целью фиксации и обесцвечивания, затем окрашивались раствором Гимзы-Романовского, промывались в дистиллированной воде и помещались на предметное стекло для наблюдения. </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Кроме того, свежеполученные влажные препараты (PBS суспензия) конидий наблюдали с помощью темнопольной и фазово-контрастной микроскопии без окрашивания или иной обработки. </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Для молекулярной идентификации гриба использолась ПЦР с последующим секвенированием. Суспензия конидий в PBS буфере была непосредственно использована для амплификации области гена рРНК праймерами AITS (5'-CGATTGAATGGCTAAGTGAGG) и TW14 (5'-GCTATCCTGAGGGAAACTTC), согласно Bradshaw и Tobin [29]. Реакционная смесь для ПЦР готовилась в конечном объеме 50 мкл и содержала 1U Phusion® dDNA-polymerase (Thermo Fisher, США) с 10 мкл поставляемого реакционного буфера (пятикратный исходный раствор), 1 мкл 10 мМ смеси dNTP, 2 мкл каждого праймера (10 мкМ) и 5 мкл суспензии конидий, приготовленной непосредственно перед использованием. Результаты ПЦР проверялись электрофорезом в 1,5% агарозном геле в трис-ацетатном электрофоретическом буфере. Количественное определение продукта амплификации проводили с помощью набора реагентов Qubit with dsDNA Broad Range.</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Секвенирование продукта ПЦР проводили на приборе Oxford Nanopore MinION, как описано выше. Полученные прочтения были картированы на референсный геном </w:t>
      </w:r>
      <w:r>
        <w:rPr>
          <w:rFonts w:cs="Times New Roman" w:ascii="Times New Roman" w:hAnsi="Times New Roman"/>
          <w:i/>
          <w:iCs/>
          <w:sz w:val="28"/>
          <w:szCs w:val="28"/>
          <w:lang w:val="ru-RU"/>
        </w:rPr>
        <w:t xml:space="preserve">Erysiphe </w:t>
      </w:r>
      <w:r>
        <w:rPr>
          <w:rFonts w:cs="Times New Roman" w:ascii="Times New Roman" w:hAnsi="Times New Roman"/>
          <w:i w:val="false"/>
          <w:iCs w:val="false"/>
          <w:sz w:val="28"/>
          <w:szCs w:val="28"/>
          <w:lang w:val="ru-RU"/>
        </w:rPr>
        <w:t>[</w:t>
      </w:r>
      <w:r>
        <w:rPr>
          <w:rFonts w:cs="Times New Roman" w:ascii="Times New Roman" w:hAnsi="Times New Roman"/>
          <w:i/>
          <w:iCs/>
          <w:sz w:val="28"/>
          <w:szCs w:val="28"/>
          <w:lang w:val="ru-RU"/>
        </w:rPr>
        <w:t>Oidium</w:t>
      </w:r>
      <w:r>
        <w:rPr>
          <w:rFonts w:cs="Times New Roman" w:ascii="Times New Roman" w:hAnsi="Times New Roman"/>
          <w:i w:val="false"/>
          <w:iCs w:val="false"/>
          <w:sz w:val="28"/>
          <w:szCs w:val="28"/>
          <w:lang w:val="ru-RU"/>
        </w:rPr>
        <w:t>]</w:t>
      </w:r>
      <w:r>
        <w:rPr>
          <w:rFonts w:cs="Times New Roman" w:ascii="Times New Roman" w:hAnsi="Times New Roman"/>
          <w:i/>
          <w:iCs/>
          <w:sz w:val="28"/>
          <w:szCs w:val="28"/>
          <w:lang w:val="ru-RU"/>
        </w:rPr>
        <w:t xml:space="preserve"> neolycopersici</w:t>
      </w:r>
      <w:r>
        <w:rPr>
          <w:rFonts w:cs="Times New Roman" w:ascii="Times New Roman" w:hAnsi="Times New Roman"/>
          <w:i w:val="false"/>
          <w:iCs w:val="false"/>
          <w:sz w:val="28"/>
          <w:szCs w:val="28"/>
          <w:lang w:val="ru-RU"/>
        </w:rPr>
        <w:t xml:space="preserve"> ASM361085v1 (https://www.ncbi.nlm.nih.gov/genome/; номер доступа GCA_003610855.1) [209] с помощью инструмента BWA-MEM с параметрами, рекомендованными для длинных прочтений Nanopore [210]. Для получения консенсусной целевой последовательности, покрытой считываниями, использовали программу UGENE [211]. NCBI Blast [212] был использован для идентификации полученных последовательностей.</w:t>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Заражение регенерантов с отредактированным геномом проводилось вышеописанным способом. Детекция симптомов осуществлялась спустя 15 дней после инокуляции. Для оценки степени развития инфекции учитывались количество и диаметр наблюдаемых пятен поражения мучнистой росой. Для каждой линии использовали не менее 5 повторов (индивидуальных растений). Различия в величинах симптомов среди групп по мутациям (MLO1, MLO5, MLO8, MLO1+MLO5, MLO1+MLO8, MLO5+MLO8) оценивали статистически с использованием  </w:t>
      </w:r>
      <w:r>
        <w:rPr>
          <w:rFonts w:cs="Times New Roman" w:ascii="Times New Roman" w:hAnsi="Times New Roman"/>
          <w:i/>
          <w:iCs/>
          <w:sz w:val="28"/>
          <w:szCs w:val="28"/>
          <w:lang w:val="ru-RU"/>
        </w:rPr>
        <w:t>t-</w:t>
      </w:r>
      <w:r>
        <w:rPr>
          <w:rFonts w:cs="Times New Roman" w:ascii="Times New Roman" w:hAnsi="Times New Roman"/>
          <w:i w:val="false"/>
          <w:iCs w:val="false"/>
          <w:sz w:val="28"/>
          <w:szCs w:val="28"/>
          <w:lang w:val="ru-RU"/>
        </w:rPr>
        <w:t>теста Уэлча [213], с учетом поправки Бонферрони на множественные сравнения [214]. Для расчета статистики была использована среда R [196].</w:t>
      </w:r>
    </w:p>
    <w:p>
      <w:pPr>
        <w:pStyle w:val="Normal"/>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2.2.3 </w:t>
      </w:r>
      <w:r>
        <w:rPr>
          <w:rFonts w:eastAsia="Times New Roman" w:cs="Times New Roman" w:ascii="Times New Roman" w:hAnsi="Times New Roman"/>
          <w:b w:val="false"/>
          <w:bCs/>
          <w:i w:val="false"/>
          <w:iCs w:val="false"/>
          <w:color w:val="auto"/>
          <w:sz w:val="28"/>
          <w:szCs w:val="28"/>
          <w:lang w:val="ru-RU" w:bidi="ar-SA"/>
        </w:rPr>
        <w:t>Сравнительный</w:t>
      </w:r>
      <w:r>
        <w:rPr>
          <w:rFonts w:ascii="Times New Roman" w:hAnsi="Times New Roman"/>
          <w:b w:val="false"/>
          <w:i w:val="false"/>
          <w:iCs w:val="false"/>
          <w:sz w:val="28"/>
          <w:szCs w:val="28"/>
          <w:lang w:val="ru-RU"/>
        </w:rPr>
        <w:t xml:space="preserve"> анализа генов и белков группы </w:t>
      </w:r>
      <w:r>
        <w:rPr>
          <w:rFonts w:ascii="Times New Roman" w:hAnsi="Times New Roman"/>
          <w:b w:val="false"/>
          <w:i/>
          <w:iCs/>
          <w:sz w:val="28"/>
          <w:szCs w:val="28"/>
          <w:lang w:val="ru-RU"/>
        </w:rPr>
        <w:t>Mlo</w:t>
      </w:r>
      <w:r>
        <w:rPr>
          <w:rFonts w:ascii="Times New Roman" w:hAnsi="Times New Roman"/>
          <w:b w:val="false"/>
          <w:i w:val="false"/>
          <w:iCs w:val="false"/>
          <w:sz w:val="28"/>
          <w:szCs w:val="28"/>
          <w:lang w:val="ru-RU"/>
        </w:rPr>
        <w:t xml:space="preserve"> в доступных геномах растений для оценки пределов применимости результатов редактирования генома томата</w:t>
      </w:r>
    </w:p>
    <w:p>
      <w:pPr>
        <w:pStyle w:val="Normal"/>
        <w:ind w:firstLine="737" w:start="0" w:end="0"/>
        <w:jc w:val="both"/>
        <w:rPr>
          <w:rFonts w:ascii="Times New Roman" w:hAnsi="Times New Roman"/>
        </w:rPr>
      </w:pPr>
      <w:r>
        <w:rPr>
          <w:rFonts w:ascii="Times New Roman" w:hAnsi="Times New Roman"/>
          <w:b w:val="false"/>
          <w:i w:val="false"/>
          <w:iCs w:val="false"/>
          <w:sz w:val="28"/>
          <w:szCs w:val="28"/>
          <w:lang w:val="ru-RU"/>
        </w:rPr>
        <w:t xml:space="preserve">2.2.3.1 Анализ внутривидовой изменчивости генов </w:t>
      </w:r>
      <w:r>
        <w:rPr>
          <w:rFonts w:ascii="Times New Roman" w:hAnsi="Times New Roman"/>
          <w:b w:val="false"/>
          <w:i/>
          <w:iCs/>
          <w:sz w:val="28"/>
          <w:szCs w:val="28"/>
          <w:lang w:val="ru-RU"/>
        </w:rPr>
        <w:t xml:space="preserve">Mlo </w:t>
      </w:r>
      <w:r>
        <w:rPr>
          <w:rFonts w:ascii="Times New Roman" w:hAnsi="Times New Roman"/>
          <w:b w:val="false"/>
          <w:i w:val="false"/>
          <w:iCs w:val="false"/>
          <w:sz w:val="28"/>
          <w:szCs w:val="28"/>
          <w:lang w:val="ru-RU"/>
        </w:rPr>
        <w:t>томата</w:t>
      </w:r>
    </w:p>
    <w:p>
      <w:pPr>
        <w:pStyle w:val="Normal"/>
        <w:ind w:firstLine="737" w:start="0" w:end="0"/>
        <w:jc w:val="both"/>
        <w:rPr/>
      </w:pPr>
      <w:r>
        <w:rPr>
          <w:rFonts w:ascii="Times New Roman" w:hAnsi="Times New Roman"/>
          <w:i w:val="false"/>
          <w:iCs w:val="false"/>
          <w:sz w:val="28"/>
          <w:szCs w:val="28"/>
          <w:lang w:val="ru-RU"/>
        </w:rPr>
        <w:t xml:space="preserve">Для оценки вариабельности генов томата, выбранных для редактирования, были использованы открытые данные о вариациях генома томата, предоставленные Solanum Genomics Consortium (США) [215]. Данные включают полногеномные вариации 166 сортов томатов, включая домашние, полудомашние и дикие линии томатов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var. </w:t>
      </w:r>
      <w:r>
        <w:rPr>
          <w:rFonts w:ascii="Times New Roman" w:hAnsi="Times New Roman"/>
          <w:i/>
          <w:iCs/>
          <w:sz w:val="28"/>
          <w:szCs w:val="28"/>
          <w:lang w:val="ru-RU"/>
        </w:rPr>
        <w:t>lycopersicum</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var. </w:t>
      </w:r>
      <w:r>
        <w:rPr>
          <w:rFonts w:ascii="Times New Roman" w:hAnsi="Times New Roman"/>
          <w:i/>
          <w:iCs/>
          <w:sz w:val="28"/>
          <w:szCs w:val="28"/>
          <w:lang w:val="ru-RU"/>
        </w:rPr>
        <w:t>сerasiforme</w:t>
      </w:r>
      <w:r>
        <w:rPr>
          <w:rFonts w:ascii="Times New Roman" w:hAnsi="Times New Roman"/>
          <w:i w:val="false"/>
          <w:iCs w:val="false"/>
          <w:sz w:val="28"/>
          <w:szCs w:val="28"/>
          <w:lang w:val="ru-RU"/>
        </w:rPr>
        <w:t xml:space="preserve">. Данные  были использованы для оценки изменчивости последовательностей генов </w:t>
      </w:r>
      <w:r>
        <w:rPr>
          <w:rFonts w:ascii="Times New Roman" w:hAnsi="Times New Roman"/>
          <w:i/>
          <w:iCs/>
          <w:sz w:val="28"/>
          <w:szCs w:val="28"/>
          <w:lang w:val="ru-RU"/>
        </w:rPr>
        <w:t>SlMLO</w:t>
      </w:r>
      <w:r>
        <w:rPr>
          <w:rFonts w:ascii="Times New Roman" w:hAnsi="Times New Roman"/>
          <w:i w:val="false"/>
          <w:iCs w:val="false"/>
          <w:sz w:val="28"/>
          <w:szCs w:val="28"/>
          <w:lang w:val="ru-RU"/>
        </w:rPr>
        <w:t xml:space="preserve"> томата в отношении их кодирующей структуры. Геномные варианты  были загружены с веб-страницы проекта Varitome в формате VCF (</w:t>
      </w:r>
      <w:hyperlink r:id="rId12">
        <w:r>
          <w:rPr>
            <w:rStyle w:val="Hyperlink"/>
            <w:rFonts w:ascii="Times New Roman" w:hAnsi="Times New Roman"/>
            <w:sz w:val="28"/>
            <w:szCs w:val="28"/>
            <w:lang w:val="ru-RU"/>
          </w:rPr>
          <w:t>https://solgenomics.net/ftp/varitome/GWAS/VCFs/</w:t>
        </w:r>
      </w:hyperlink>
      <w:r>
        <w:rPr>
          <w:rFonts w:ascii="Times New Roman" w:hAnsi="Times New Roman"/>
          <w:i w:val="false"/>
          <w:iCs w:val="false"/>
          <w:sz w:val="28"/>
          <w:szCs w:val="28"/>
          <w:lang w:val="ru-RU"/>
        </w:rPr>
        <w:t xml:space="preserve">). Геномные характеристики, соответствующие генам </w:t>
      </w:r>
      <w:r>
        <w:rPr>
          <w:rFonts w:ascii="Times New Roman" w:hAnsi="Times New Roman"/>
          <w:i/>
          <w:iCs/>
          <w:sz w:val="28"/>
          <w:szCs w:val="28"/>
          <w:lang w:val="ru-RU"/>
        </w:rPr>
        <w:t>SlMLO</w:t>
      </w:r>
      <w:r>
        <w:rPr>
          <w:rFonts w:ascii="Times New Roman" w:hAnsi="Times New Roman"/>
          <w:i w:val="false"/>
          <w:iCs w:val="false"/>
          <w:sz w:val="28"/>
          <w:szCs w:val="28"/>
          <w:lang w:val="ru-RU"/>
        </w:rPr>
        <w:t xml:space="preserve"> томата, в формате BED были загружены с сайта  SGN (</w:t>
      </w:r>
      <w:hyperlink r:id="rId13">
        <w:r>
          <w:rPr>
            <w:rStyle w:val="Hyperlink"/>
            <w:rFonts w:ascii="Times New Roman" w:hAnsi="Times New Roman"/>
            <w:sz w:val="28"/>
            <w:szCs w:val="28"/>
            <w:lang w:val="ru-RU"/>
          </w:rPr>
          <w:t>https://solgenomics.net/organism/Solanum_lycopersicum/genome</w:t>
        </w:r>
      </w:hyperlink>
      <w:r>
        <w:rPr>
          <w:rFonts w:ascii="Times New Roman" w:hAnsi="Times New Roman"/>
          <w:i w:val="false"/>
          <w:iCs w:val="false"/>
          <w:sz w:val="28"/>
          <w:szCs w:val="28"/>
          <w:lang w:val="ru-RU"/>
        </w:rPr>
        <w:t>) [207]. При необходимости конвертация BED и VCF файлов между сборками генома томата Sl2.5 и Sl3.0 осуществлялась с помощью Ensembl Assembly Converter Tools (</w:t>
      </w:r>
      <w:hyperlink r:id="rId14">
        <w:r>
          <w:rPr>
            <w:rStyle w:val="Hyperlink"/>
            <w:rFonts w:ascii="Times New Roman" w:hAnsi="Times New Roman"/>
            <w:sz w:val="28"/>
            <w:szCs w:val="28"/>
            <w:lang w:val="ru-RU"/>
          </w:rPr>
          <w:t>http://plants.ensembl.org/Solanum_lycopersicum/Tools/AssemblyConverter?db=core</w:t>
        </w:r>
      </w:hyperlink>
      <w:r>
        <w:rPr>
          <w:rFonts w:ascii="Times New Roman" w:hAnsi="Times New Roman"/>
          <w:i w:val="false"/>
          <w:iCs w:val="false"/>
          <w:sz w:val="28"/>
          <w:szCs w:val="28"/>
          <w:lang w:val="ru-RU"/>
        </w:rPr>
        <w:t>) [216]. Программы Bcftools  и Samtools [217] использовались для извлечения вариантов, соответствующих генам SlMLO, из VCF-файла на основе геномных интервалов BED. Для аннотирования вариантов SlMLO использовался инструмент Ensemble VEP [218]. Для общей обработки данных использовалась среда программирования R [196].</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2.2.3.2 Анализ последовательностей белков группы MLO у наземных растений</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Аминокислотные последовательности белков MLO были получены из баз данных UniProt и NCBI Protein в формате FASTA. Поиск данных в UniProt осуществлялся по ключевым словам «MLO» в поле «Name» и «Viridiplantae» в поле «Taxonomy». Данные из NCBI были получены с использованием поискового термина «MLO», а затем отфильтрованы для исключения некорректных совпадений. Для унификации формата заголовков последовательностей, слияния наборов данных и предварительной проверки и фильтрации данных был использован пользовательский скрипт на языке R. По длине последовательностей отбрасывались отклонения с использованием пороговых перцентилей, выбранных на основе графической сводки данных. Кроме того, были исключены все последовательности, содержащие в своем описании слова «fragment» или «partial».</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Для того чтобы наше исследование соответствовало предыдущим, мы сравнили наш набор данных с ранее обнаруженными белками MLO, специфичными для растений. В качестве эталонного набора данных для сравнения мы использовали последовательности белков MLO из предыдущего исследования (табл. 2). Во-первых, мы создали локальную базу данных BLAST для нашего объединенного набора данных белковых последовательностей MLO. Во-вторых, мы провели BLAST-поиск белков из референсного набора данных по нашей локальной базе данных. В-третьих, результаты BLAST были сопоставлены с белковыми данными MLO с помощью общего скрипта R. Для каждого полного или почти полного совпадения (порог 99 %) название белка из запроса (например, SlMLO1, AtMLO2) прикреплялось к строке заголовка FASTA соответствующей последовательности объекта.</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Множественное выравнивание последовательностей выбранных белков было выполнено с помощью MAFFT на веб-платформе Galaxy, с матрицей замен BLOSUM62. Полученное выравнивание проверяли, уточняли и фильтровали вручную с помощью UGENE и R/Bioconductor. Позиции с процентом пробелов 99% и выше были отфильтрованы, а относительно консервативные части выравнивания были выбраны и скомпонованы вместе для дальнейшего филогенетического анализа. Филогенетический анализ проводился с помощью R с пакетами «phangorn» и «ape». «Дерево соседних связей рассчитывалось с использованием матрицы расстояний, основанной на модели аминокислотных замен JTT (функции phangorn::dist.ml(), phangorn::NJ(), ape::plot.phylo()). После проверки полученного дерева наиболее удаленная последовательность водорослей была произвольно выбрана в качестве корневого дерева. Поиск мотивов осуществлялся с помощью программы MEME 5.3.3. Результаты поиска мотивов были загружены в R с помощью пакета «universalmotif». Мотивы с более чем 100 встречаемостью были сопоставлены с нашим набором данных MLO и учтены в филогенетических кладах. Матрица частот встречаемости мотивов в кладах была подвергнута анализу главных компонент для выявления мотивов, способствующих разделению кладов. Белки MLO из семейства Solanaceae были дополнительно отобраны в соответствии с результатами филогенетического анализа, полноразмерные последовательности были выровнены с помощью MAFFT и исследованы в соответствии с их групповой принадлежностью.</w:t>
      </w:r>
    </w:p>
    <w:p>
      <w:pPr>
        <w:pStyle w:val="Normal"/>
        <w:ind w:firstLine="713" w:start="0" w:end="0"/>
        <w:jc w:val="both"/>
        <w:rPr>
          <w:rFonts w:ascii="Times New Roman" w:hAnsi="Times New Roman"/>
          <w:i/>
          <w:i/>
          <w:iCs/>
          <w:sz w:val="28"/>
          <w:szCs w:val="28"/>
          <w:lang w:val="ru-RU"/>
        </w:rPr>
      </w:pPr>
      <w:r>
        <w:rPr>
          <w:rFonts w:ascii="Times New Roman" w:hAnsi="Times New Roman"/>
          <w:i/>
          <w:iCs/>
          <w:sz w:val="28"/>
          <w:szCs w:val="28"/>
          <w:lang w:val="ru-RU"/>
        </w:rPr>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r>
        <w:br w:type="page"/>
      </w:r>
    </w:p>
    <w:p>
      <w:pPr>
        <w:pStyle w:val="Normal"/>
        <w:spacing w:before="0" w:after="0"/>
        <w:ind w:firstLine="737" w:start="0" w:end="0"/>
        <w:jc w:val="center"/>
        <w:rPr>
          <w:rFonts w:ascii="Times New Roman" w:hAnsi="Times New Roman"/>
        </w:rPr>
      </w:pPr>
      <w:r>
        <w:rPr>
          <w:rFonts w:ascii="Times New Roman" w:hAnsi="Times New Roman"/>
          <w:b/>
          <w:bCs/>
          <w:sz w:val="28"/>
          <w:szCs w:val="28"/>
          <w:lang w:val="ru-RU"/>
        </w:rPr>
        <w:t>3 РЕЗУЛЬТАТЫ И ОБСУЖДЕНИЕ</w:t>
      </w:r>
    </w:p>
    <w:p>
      <w:pPr>
        <w:pStyle w:val="Normal"/>
        <w:ind w:firstLine="737" w:start="0" w:end="0"/>
        <w:jc w:val="center"/>
        <w:rPr>
          <w:rFonts w:ascii="Times New Roman" w:hAnsi="Times New Roman"/>
          <w:b/>
          <w:bCs/>
          <w:sz w:val="28"/>
          <w:szCs w:val="28"/>
          <w:lang w:val="ru-RU"/>
        </w:rPr>
      </w:pPr>
      <w:r>
        <w:rPr>
          <w:rFonts w:ascii="Times New Roman" w:hAnsi="Times New Roman"/>
          <w:b/>
          <w:bCs/>
          <w:sz w:val="28"/>
          <w:szCs w:val="28"/>
          <w:lang w:val="ru-RU"/>
        </w:rPr>
      </w:r>
    </w:p>
    <w:p>
      <w:pPr>
        <w:pStyle w:val="Normal"/>
        <w:ind w:firstLine="737" w:start="0" w:end="0"/>
        <w:jc w:val="both"/>
        <w:rPr>
          <w:rFonts w:ascii="Times New Roman" w:hAnsi="Times New Roman"/>
        </w:rPr>
      </w:pPr>
      <w:r>
        <w:rPr>
          <w:rFonts w:ascii="Times New Roman" w:hAnsi="Times New Roman"/>
          <w:sz w:val="28"/>
          <w:szCs w:val="28"/>
          <w:lang w:val="ru-RU"/>
        </w:rPr>
        <w:t>3.1 Генетическая структура коллекции сортов томата казахстанской и зарубежной селекции</w:t>
      </w:r>
    </w:p>
    <w:p>
      <w:pPr>
        <w:pStyle w:val="Normal"/>
        <w:suppressAutoHyphens w:val="false"/>
        <w:bidi w:val="0"/>
        <w:ind w:firstLine="737" w:start="0" w:end="0"/>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Всего в исследовании было проанализировано 68 сортов томатов, в том числе 15 сортов отечественного происхождения [219]. Большинство из этих сортов представляют собой генофонд томатов, используемых в текущих селекционных программах КазНИИ Плодоовощеводства. Местные сорта Меруерт, Восторг, Лучезарный и Самаладай, а также российские сорта Новичок и Рассвет 362 допущены к коммерческому использованию в Казахстане (Министерство сельского хозяйства Республики Казахстан). По результатам SSR-генотипирования четыре маркера – LEPRP4, LESODB, LECHSOD и LEMDDNb – оказались мономорфными для всех сортов томата (таблица 17). LEPRP4 также имел самый высокий уровень отсутствующих генотипов среди всех маркеров (11,76%). Маркеры LELE25, LELEUZIP и LECHSOD были получены во всех исследованных образцах. Остальные маркеры не превысили коэффициент отсутствия 7,35%, что соответствует пяти отсутствующим образцам из 68. Среди полиморфных маркеров LEATRACAb, LPHSF24 и TMS58 имели уровни наблюдаемой гетерозиготности, существенно не отличающиеся от ожидаемых значений. Маркер LEMDDNA имел несколько более высокую наблюдаемую гетерозиготность (значение </w:t>
      </w:r>
      <w:r>
        <w:rPr>
          <w:rFonts w:eastAsia="Times New Roman" w:cs="Times New Roman" w:ascii="Times New Roman" w:hAnsi="Times New Roman"/>
          <w:b w:val="false"/>
          <w:bCs w:val="false"/>
          <w:i/>
          <w:iCs/>
          <w:sz w:val="28"/>
          <w:szCs w:val="28"/>
          <w:lang w:val="ru-RU" w:eastAsia="ru-RU"/>
        </w:rPr>
        <w:t>p</w:t>
      </w:r>
      <w:r>
        <w:rPr>
          <w:rFonts w:eastAsia="Times New Roman" w:cs="Times New Roman" w:ascii="Times New Roman" w:hAnsi="Times New Roman"/>
          <w:b w:val="false"/>
          <w:bCs w:val="false"/>
          <w:sz w:val="28"/>
          <w:szCs w:val="28"/>
          <w:lang w:val="ru-RU" w:eastAsia="ru-RU"/>
        </w:rPr>
        <w:t xml:space="preserve"> = 0,0003; порог значимости 0,001); остальные пять маркеров имели значительно более низкие наблюдаемые значения по сравнению с ожидаемыми значениями (значения </w:t>
      </w:r>
      <w:r>
        <w:rPr>
          <w:rFonts w:eastAsia="Times New Roman" w:cs="Times New Roman" w:ascii="Times New Roman" w:hAnsi="Times New Roman"/>
          <w:b w:val="false"/>
          <w:bCs w:val="false"/>
          <w:i/>
          <w:iCs/>
          <w:sz w:val="28"/>
          <w:szCs w:val="28"/>
          <w:lang w:val="ru-RU" w:eastAsia="ru-RU"/>
        </w:rPr>
        <w:t>p</w:t>
      </w:r>
      <w:r>
        <w:rPr>
          <w:rFonts w:eastAsia="Times New Roman" w:cs="Times New Roman" w:ascii="Times New Roman" w:hAnsi="Times New Roman"/>
          <w:b w:val="false"/>
          <w:bCs w:val="false"/>
          <w:sz w:val="28"/>
          <w:szCs w:val="28"/>
          <w:lang w:val="ru-RU" w:eastAsia="ru-RU"/>
        </w:rPr>
        <w:t xml:space="preserve"> близки к нулю). Генетическая гетерогенность исследованных выборок была выявлена с помощью байесовского кластерного анализа (рисунок 8). Результаты, полученные с помощью двух алгоритмов, реализованных в программах MrBayes и STRUCTURE, сравнивались для получения более детальной картины генетической структуры образцов. По результатам MrBayes большинство изученных сортов томата образовали крупное поддерево со слабой внутренней структурой. Результаты, полученные с помощью STRUCTURE, позволили разбить данные на пять кластеров в соответствии с лучшим значением ΔK. Первая группа (показана бледно-зеленым цветом) представляла собой наиболее отчетливую группу, представляющую собой компактную подгруппу на дереве; наибольшая вероятность была присвоена сортам Липень (Украина), Яблочный (Узбекистан), Чопортула (Грузия) и Шалун (Россия), имеющим идентичные генотипы. Единственным казахстанским сортом, включенным в этот кластер, был местный вариант сорта Яблочный; однако он располагался отдельно от остальных на дереве и отличался от своих узбекских родственников двумя маркерами: LE21085 и TMS58. Другой отдельный кластер (показан желтым цветом) включал в себя два небольших подкластера в дереве; Типичными представителями этой группы были сорта Аян (Казахстан), Ружа (Беларусь), Никола (Россия) и Пятница (местная селекционная линия на основе российского сорта). Остальные три кластера (показаны красным, синим и фиолетовым) представляли собой смешанный набор подгрупп и промежуточных генотипов внутри главного поддерева.</w:t>
      </w:r>
    </w:p>
    <w:p>
      <w:pPr>
        <w:pStyle w:val="Normal"/>
        <w:widowControl w:val="false"/>
        <w:shd w:val="clear" w:fill="FFFFFF"/>
        <w:tabs>
          <w:tab w:val="clear" w:pos="709"/>
          <w:tab w:val="left" w:pos="567" w:leader="none"/>
        </w:tabs>
        <w:suppressAutoHyphens w:val="false"/>
        <w:bidi w:val="0"/>
        <w:spacing w:lineRule="auto" w:line="240" w:before="0" w:after="0"/>
        <w:ind w:firstLine="737" w:start="0" w:end="0"/>
        <w:contextualSpacing/>
        <w:jc w:val="center"/>
        <w:rPr>
          <w:rFonts w:ascii="Times New Roman" w:hAnsi="Times New Roman"/>
        </w:rPr>
      </w:pPr>
      <w: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5740400" cy="5837555"/>
            <wp:effectExtent l="0" t="0" r="0" b="0"/>
            <wp:wrapTopAndBottom/>
            <wp:docPr id="8"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descr="" title=""/>
                    <pic:cNvPicPr>
                      <a:picLocks noChangeAspect="1" noChangeArrowheads="1"/>
                    </pic:cNvPicPr>
                  </pic:nvPicPr>
                  <pic:blipFill>
                    <a:blip r:embed="rId15"/>
                    <a:stretch>
                      <a:fillRect/>
                    </a:stretch>
                  </pic:blipFill>
                  <pic:spPr bwMode="auto">
                    <a:xfrm>
                      <a:off x="0" y="0"/>
                      <a:ext cx="5740400" cy="5837555"/>
                    </a:xfrm>
                    <a:prstGeom prst="rect">
                      <a:avLst/>
                    </a:prstGeom>
                  </pic:spPr>
                </pic:pic>
              </a:graphicData>
            </a:graphic>
          </wp:anchor>
        </w:drawing>
      </w:r>
      <w:r>
        <w:rPr>
          <w:rFonts w:eastAsia="Times New Roman" w:cs="Times New Roman" w:ascii="Times New Roman" w:hAnsi="Times New Roman"/>
          <w:b w:val="false"/>
          <w:bCs w:val="false"/>
          <w:sz w:val="28"/>
          <w:szCs w:val="28"/>
          <w:lang w:val="ru-RU" w:eastAsia="ru-RU"/>
        </w:rPr>
        <w:t>Рисунок 8</w:t>
      </w:r>
      <w:r>
        <w:rPr>
          <w:rFonts w:eastAsia="Calibri" w:cs="Times New Roman" w:ascii="Times New Roman" w:hAnsi="Times New Roman"/>
          <w:b w:val="false"/>
          <w:bCs w:val="false"/>
          <w:sz w:val="28"/>
          <w:szCs w:val="28"/>
          <w:lang w:val="ru-RU" w:eastAsia="ru-RU"/>
        </w:rPr>
        <w:t xml:space="preserve"> </w:t>
      </w:r>
      <w:r>
        <w:rPr>
          <w:rFonts w:eastAsia="Calibri" w:cs="Times New Roman" w:ascii="Times New Roman" w:hAnsi="Times New Roman"/>
          <w:b w:val="false"/>
          <w:bCs w:val="false"/>
          <w:i/>
          <w:sz w:val="28"/>
          <w:szCs w:val="28"/>
          <w:lang w:val="ru-RU" w:eastAsia="ru-RU"/>
        </w:rPr>
        <w:t>–</w:t>
      </w:r>
      <w:r>
        <w:rPr>
          <w:rFonts w:eastAsia="Calibri" w:cs="Times New Roman" w:ascii="Times New Roman" w:hAnsi="Times New Roman"/>
          <w:b w:val="false"/>
          <w:bCs w:val="false"/>
          <w:sz w:val="28"/>
          <w:szCs w:val="28"/>
          <w:lang w:val="ru-RU" w:eastAsia="ru-RU"/>
        </w:rPr>
        <w:t xml:space="preserve"> </w:t>
      </w:r>
      <w:r>
        <w:rPr>
          <w:rFonts w:eastAsia="Times New Roman" w:cs="Times New Roman" w:ascii="Times New Roman" w:hAnsi="Times New Roman"/>
          <w:b w:val="false"/>
          <w:bCs w:val="false"/>
          <w:sz w:val="28"/>
          <w:szCs w:val="28"/>
          <w:lang w:val="ru-RU" w:eastAsia="ru-RU"/>
        </w:rPr>
        <w:t>Результаты изучения генетической структуры селекционной коллекции сортов томата: A) Байесовское дерево генетической структуры; B) график генетической структуры алгоритма STRUCTURE; C) Результаты генотипирования по SCAR и CAPS маркерам устойчивости.</w:t>
      </w:r>
    </w:p>
    <w:p>
      <w:pPr>
        <w:pStyle w:val="Normal"/>
        <w:widowControl w:val="false"/>
        <w:shd w:val="clear" w:fill="FFFFFF"/>
        <w:tabs>
          <w:tab w:val="clear" w:pos="709"/>
          <w:tab w:val="left" w:pos="567" w:leader="none"/>
        </w:tabs>
        <w:bidi w:val="0"/>
        <w:spacing w:lineRule="auto" w:line="240" w:before="0" w:after="0"/>
        <w:ind w:firstLine="737" w:start="0" w:end="0"/>
        <w:contextualSpacing/>
        <w:jc w:val="both"/>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widowControl w:val="false"/>
        <w:shd w:val="clear" w:fill="FFFFFF"/>
        <w:tabs>
          <w:tab w:val="clear" w:pos="709"/>
          <w:tab w:val="left" w:pos="567" w:leader="none"/>
        </w:tabs>
        <w:bidi w:val="0"/>
        <w:spacing w:lineRule="auto" w:line="240" w:before="0" w:after="0"/>
        <w:ind w:firstLine="737"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Пятнадцать сортов томата являются результатом селекционной работы, созданной в Казахстане. Все местные сорта показали высокое генетическое сходство по использованным SSR-маркерам (рисунок 9). Из всех 11 полиморфных маркеров только три маркера продемонстрировали вариации генотипа внутри местных сортов: LEMDDNA с набором обнаруженных аллелей 211, 213, 227, 233; LELEUZIP с аллелями 102, 105, 106; и TMS58 с аллелями 226, 228, 230. Маркеры LELE25, LEATRACAb и TM63 имели только два различающихся генотипа среди 15 местных сортов, а маркер LE20592 имел единственный различающийся генотип у сорта Сладкоежка. Этот сорт был самым отличительным среди всех местных сортов. Сорта Янтарный, Лидер, Лучезарный, Меруерт, Восторг, Мечта </w:t>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Таблица 17 – Результаты генотипирования сортов томата с использованием микросателлитных маркеров</w:t>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tbl>
      <w:tblPr>
        <w:tblW w:w="9364" w:type="dxa"/>
        <w:jc w:val="start"/>
        <w:tblInd w:w="-1" w:type="dxa"/>
        <w:tblLayout w:type="fixed"/>
        <w:tblCellMar>
          <w:top w:w="55" w:type="dxa"/>
          <w:start w:w="55" w:type="dxa"/>
          <w:bottom w:w="55" w:type="dxa"/>
          <w:end w:w="55" w:type="dxa"/>
        </w:tblCellMar>
      </w:tblPr>
      <w:tblGrid>
        <w:gridCol w:w="1203"/>
        <w:gridCol w:w="443"/>
        <w:gridCol w:w="1648"/>
        <w:gridCol w:w="961"/>
        <w:gridCol w:w="782"/>
        <w:gridCol w:w="1087"/>
        <w:gridCol w:w="1476"/>
        <w:gridCol w:w="1762"/>
      </w:tblGrid>
      <w:tr>
        <w:trPr/>
        <w:tc>
          <w:tcPr>
            <w:tcW w:w="1203"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Маркер</w:t>
            </w:r>
          </w:p>
        </w:tc>
        <w:tc>
          <w:tcPr>
            <w:tcW w:w="443"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N</w:t>
            </w:r>
          </w:p>
        </w:tc>
        <w:tc>
          <w:tcPr>
            <w:tcW w:w="1648"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Аллели</w:t>
            </w:r>
          </w:p>
        </w:tc>
        <w:tc>
          <w:tcPr>
            <w:tcW w:w="961"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Частотпропу-щенных генотипов</w:t>
            </w:r>
          </w:p>
        </w:tc>
        <w:tc>
          <w:tcPr>
            <w:tcW w:w="782"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val="false"/>
                <w:iCs w:val="false"/>
                <w:sz w:val="24"/>
                <w:szCs w:val="24"/>
                <w:lang w:val="ru-RU"/>
              </w:rPr>
              <w:t>MAF</w:t>
            </w:r>
          </w:p>
        </w:tc>
        <w:tc>
          <w:tcPr>
            <w:tcW w:w="1087"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H</w:t>
            </w:r>
            <w:r>
              <w:rPr>
                <w:rFonts w:ascii="Times New Roman" w:hAnsi="Times New Roman"/>
                <w:i/>
                <w:iCs/>
                <w:sz w:val="24"/>
                <w:szCs w:val="24"/>
                <w:vertAlign w:val="subscript"/>
                <w:lang w:val="ru-RU"/>
              </w:rPr>
              <w:t>e</w:t>
            </w:r>
          </w:p>
        </w:tc>
        <w:tc>
          <w:tcPr>
            <w:tcW w:w="1476" w:type="dxa"/>
            <w:tcBorders>
              <w:top w:val="single" w:sz="2" w:space="0" w:color="000000"/>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H</w:t>
            </w:r>
            <w:r>
              <w:rPr>
                <w:rFonts w:ascii="Times New Roman" w:hAnsi="Times New Roman"/>
                <w:i/>
                <w:iCs/>
                <w:sz w:val="24"/>
                <w:szCs w:val="24"/>
                <w:vertAlign w:val="subscript"/>
                <w:lang w:val="ru-RU"/>
              </w:rPr>
              <w:t>o</w:t>
            </w:r>
          </w:p>
        </w:tc>
        <w:tc>
          <w:tcPr>
            <w:tcW w:w="1762" w:type="dxa"/>
            <w:tcBorders>
              <w:top w:val="single" w:sz="2" w:space="0" w:color="000000"/>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H</w:t>
            </w:r>
            <w:r>
              <w:rPr>
                <w:rFonts w:ascii="Times New Roman" w:hAnsi="Times New Roman"/>
                <w:i/>
                <w:iCs/>
                <w:sz w:val="24"/>
                <w:szCs w:val="24"/>
                <w:vertAlign w:val="subscript"/>
                <w:lang w:val="ru-RU"/>
              </w:rPr>
              <w:t xml:space="preserve">e </w:t>
            </w:r>
            <w:r>
              <w:rPr>
                <w:rFonts w:ascii="Times New Roman" w:hAnsi="Times New Roman"/>
                <w:i w:val="false"/>
                <w:iCs w:val="false"/>
                <w:position w:val="0"/>
                <w:sz w:val="24"/>
                <w:sz w:val="24"/>
                <w:szCs w:val="24"/>
                <w:vertAlign w:val="baseline"/>
                <w:lang w:val="ru-RU"/>
              </w:rPr>
              <w:t xml:space="preserve">vs. </w:t>
            </w:r>
            <w:r>
              <w:rPr>
                <w:rFonts w:ascii="Times New Roman" w:hAnsi="Times New Roman"/>
                <w:i/>
                <w:iCs/>
                <w:position w:val="0"/>
                <w:sz w:val="24"/>
                <w:sz w:val="24"/>
                <w:szCs w:val="24"/>
                <w:vertAlign w:val="baseline"/>
                <w:lang w:val="ru-RU"/>
              </w:rPr>
              <w:t>H</w:t>
            </w:r>
            <w:r>
              <w:rPr>
                <w:rFonts w:ascii="Times New Roman" w:hAnsi="Times New Roman"/>
                <w:i/>
                <w:iCs/>
                <w:sz w:val="24"/>
                <w:szCs w:val="24"/>
                <w:vertAlign w:val="subscript"/>
                <w:lang w:val="ru-RU"/>
              </w:rPr>
              <w:t xml:space="preserve">o  </w:t>
            </w:r>
            <w:r>
              <w:rPr>
                <w:rFonts w:ascii="Times New Roman" w:hAnsi="Times New Roman"/>
                <w:i w:val="false"/>
                <w:iCs w:val="false"/>
                <w:position w:val="0"/>
                <w:sz w:val="24"/>
                <w:sz w:val="24"/>
                <w:szCs w:val="24"/>
                <w:vertAlign w:val="baseline"/>
                <w:lang w:val="ru-RU"/>
              </w:rPr>
              <w:t>(</w:t>
            </w:r>
            <w:r>
              <w:rPr>
                <w:rFonts w:ascii="Times New Roman" w:hAnsi="Times New Roman"/>
                <w:i/>
                <w:iCs/>
                <w:position w:val="0"/>
                <w:sz w:val="24"/>
                <w:sz w:val="24"/>
                <w:szCs w:val="24"/>
                <w:vertAlign w:val="baseline"/>
                <w:lang w:val="ru-RU"/>
              </w:rPr>
              <w:t>р-</w:t>
            </w:r>
            <w:r>
              <w:rPr>
                <w:rFonts w:ascii="Times New Roman" w:hAnsi="Times New Roman"/>
                <w:i w:val="false"/>
                <w:iCs w:val="false"/>
                <w:position w:val="0"/>
                <w:sz w:val="24"/>
                <w:sz w:val="24"/>
                <w:szCs w:val="24"/>
                <w:vertAlign w:val="baseline"/>
                <w:lang w:val="ru-RU"/>
              </w:rPr>
              <w:t xml:space="preserve">значение теста </w:t>
            </w:r>
            <w:r>
              <w:rPr>
                <w:rFonts w:cs="Liberation Serif;Times New Roman" w:ascii="Times New Roman" w:hAnsi="Times New Roman"/>
                <w:i w:val="false"/>
                <w:iCs w:val="false"/>
                <w:position w:val="0"/>
                <w:sz w:val="24"/>
                <w:sz w:val="24"/>
                <w:szCs w:val="24"/>
                <w:vertAlign w:val="baseline"/>
                <w:lang w:val="ru-RU"/>
              </w:rPr>
              <w:t>χ</w:t>
            </w:r>
            <w:r>
              <w:rPr>
                <w:rFonts w:ascii="Times New Roman" w:hAnsi="Times New Roman"/>
                <w:i w:val="false"/>
                <w:iCs w:val="false"/>
                <w:sz w:val="24"/>
                <w:szCs w:val="24"/>
                <w:vertAlign w:val="superscript"/>
                <w:lang w:val="ru-RU"/>
              </w:rPr>
              <w:t>2</w:t>
            </w:r>
            <w:r>
              <w:rPr>
                <w:rFonts w:ascii="Times New Roman" w:hAnsi="Times New Roman"/>
                <w:i w:val="false"/>
                <w:iCs w:val="false"/>
                <w:position w:val="0"/>
                <w:sz w:val="24"/>
                <w:sz w:val="24"/>
                <w:szCs w:val="24"/>
                <w:vertAlign w:val="baseline"/>
                <w:lang w:val="ru-RU"/>
              </w:rPr>
              <w:t>)</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LE20592</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164,167,170</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0.0147</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0.1045</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0.3206</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0.0149</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LE21085</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103,117</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0.0441</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0.1769</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0.2912</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0.0154</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2.2315</w:t>
            </w:r>
            <w:r>
              <w:rPr>
                <w:rFonts w:cs="Liberation Serif;Times New Roman" w:ascii="Times New Roman" w:hAnsi="Times New Roman"/>
                <w:sz w:val="24"/>
                <w:szCs w:val="24"/>
                <w:lang w:val="ru-RU"/>
              </w:rPr>
              <w:t>×</w:t>
            </w:r>
            <w:r>
              <w:rPr>
                <w:rFonts w:ascii="Times New Roman" w:hAnsi="Times New Roman"/>
                <w:sz w:val="24"/>
                <w:szCs w:val="24"/>
                <w:lang w:val="ru-RU"/>
              </w:rPr>
              <w:t>10</w:t>
            </w:r>
            <w:r>
              <w:rPr>
                <w:rFonts w:ascii="Times New Roman" w:hAnsi="Times New Roman"/>
                <w:sz w:val="24"/>
                <w:szCs w:val="24"/>
                <w:vertAlign w:val="superscript"/>
                <w:lang w:val="ru-RU"/>
              </w:rPr>
              <w:t>-14</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LELE25</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218,220,222</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0.0735</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0.3334</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0.2059</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6.7279×10</w:t>
            </w:r>
            <w:r>
              <w:rPr>
                <w:rFonts w:ascii="Times New Roman" w:hAnsi="Times New Roman"/>
                <w:sz w:val="24"/>
                <w:szCs w:val="24"/>
                <w:vertAlign w:val="superscript"/>
                <w:lang w:val="ru-RU"/>
              </w:rPr>
              <w:t>-14</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LELEUZIP</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4</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102,104,105,106</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0.3088</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0.5978</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LEMDDNA</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211,213,219,227,233</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0.0147</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0.2463</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0.6788</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0.7164</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0.0003</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LEPRP4</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201</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0.1176</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LESODB</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207</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0.0294</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LEATRACAb</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184,186</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0.0294</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0.0303</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0.0588</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0.0606</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0.7995</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LPHSF24</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158,164</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0.0147</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0.0298</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0.0579</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0.0597</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0.8011</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LECHSOD</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195</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LEMDDNb</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277</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0.0147</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TMS63</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4</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158,184,188,202</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0.0735</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0.2222</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0.3818</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0.0793</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w:t>
            </w:r>
          </w:p>
        </w:tc>
      </w:tr>
      <w:tr>
        <w:trPr/>
        <w:tc>
          <w:tcPr>
            <w:tcW w:w="120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TMS58</w:t>
            </w:r>
          </w:p>
        </w:tc>
        <w:tc>
          <w:tcPr>
            <w:tcW w:w="443"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w:t>
            </w:r>
          </w:p>
        </w:tc>
        <w:tc>
          <w:tcPr>
            <w:tcW w:w="1648"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226,228,230</w:t>
            </w:r>
          </w:p>
        </w:tc>
        <w:tc>
          <w:tcPr>
            <w:tcW w:w="961"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0.0735</w:t>
            </w:r>
          </w:p>
        </w:tc>
        <w:tc>
          <w:tcPr>
            <w:tcW w:w="782"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0.1667</w:t>
            </w:r>
          </w:p>
        </w:tc>
        <w:tc>
          <w:tcPr>
            <w:tcW w:w="1087"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0.3287</w:t>
            </w:r>
          </w:p>
        </w:tc>
        <w:tc>
          <w:tcPr>
            <w:tcW w:w="1476" w:type="dxa"/>
            <w:tcBorders>
              <w:start w:val="single" w:sz="2" w:space="0" w:color="000000"/>
              <w:bottom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0.3333</w:t>
            </w:r>
          </w:p>
        </w:tc>
        <w:tc>
          <w:tcPr>
            <w:tcW w:w="1762" w:type="dxa"/>
            <w:tcBorders>
              <w:start w:val="single" w:sz="2" w:space="0" w:color="000000"/>
              <w:bottom w:val="single" w:sz="2" w:space="0" w:color="000000"/>
              <w:end w:val="single" w:sz="2"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0.8085</w:t>
            </w:r>
          </w:p>
        </w:tc>
      </w:tr>
      <w:tr>
        <w:trPr/>
        <w:tc>
          <w:tcPr>
            <w:tcW w:w="9362" w:type="dxa"/>
            <w:gridSpan w:val="8"/>
            <w:tcBorders/>
          </w:tcPr>
          <w:p>
            <w:pPr>
              <w:pStyle w:val="TableContents"/>
              <w:bidi w:val="0"/>
              <w:spacing w:lineRule="auto" w:line="240"/>
              <w:jc w:val="start"/>
              <w:rPr>
                <w:rFonts w:ascii="Times New Roman" w:hAnsi="Times New Roman"/>
                <w:sz w:val="28"/>
                <w:szCs w:val="28"/>
              </w:rPr>
            </w:pPr>
            <w:r>
              <w:rPr>
                <w:rFonts w:ascii="Times New Roman" w:hAnsi="Times New Roman"/>
                <w:i/>
                <w:iCs/>
                <w:sz w:val="28"/>
                <w:szCs w:val="28"/>
                <w:lang w:val="ru-RU"/>
              </w:rPr>
              <w:t>N –</w:t>
            </w:r>
            <w:r>
              <w:rPr>
                <w:rFonts w:ascii="Times New Roman" w:hAnsi="Times New Roman"/>
                <w:i w:val="false"/>
                <w:iCs w:val="false"/>
                <w:sz w:val="28"/>
                <w:szCs w:val="28"/>
                <w:lang w:val="ru-RU"/>
              </w:rPr>
              <w:t xml:space="preserve"> число выявленных аллелей; </w:t>
            </w:r>
          </w:p>
          <w:p>
            <w:pPr>
              <w:pStyle w:val="TableContents"/>
              <w:bidi w:val="0"/>
              <w:spacing w:lineRule="auto" w:line="240"/>
              <w:jc w:val="start"/>
              <w:rPr>
                <w:rFonts w:ascii="Times New Roman" w:hAnsi="Times New Roman"/>
                <w:sz w:val="28"/>
                <w:szCs w:val="28"/>
              </w:rPr>
            </w:pPr>
            <w:r>
              <w:rPr>
                <w:rFonts w:ascii="Times New Roman" w:hAnsi="Times New Roman"/>
                <w:i w:val="false"/>
                <w:iCs w:val="false"/>
                <w:sz w:val="28"/>
                <w:szCs w:val="28"/>
                <w:lang w:val="ru-RU"/>
              </w:rPr>
              <w:t xml:space="preserve">MAF – частота минорных аллелей; </w:t>
            </w:r>
          </w:p>
          <w:p>
            <w:pPr>
              <w:pStyle w:val="TableContents"/>
              <w:bidi w:val="0"/>
              <w:spacing w:lineRule="auto" w:line="240"/>
              <w:jc w:val="start"/>
              <w:rPr>
                <w:rFonts w:ascii="Times New Roman" w:hAnsi="Times New Roman"/>
                <w:sz w:val="28"/>
                <w:szCs w:val="28"/>
              </w:rPr>
            </w:pPr>
            <w:r>
              <w:rPr>
                <w:rFonts w:ascii="Times New Roman" w:hAnsi="Times New Roman"/>
                <w:i/>
                <w:iCs/>
                <w:sz w:val="28"/>
                <w:szCs w:val="28"/>
                <w:lang w:val="ru-RU"/>
              </w:rPr>
              <w:t>H</w:t>
            </w:r>
            <w:r>
              <w:rPr>
                <w:rFonts w:ascii="Times New Roman" w:hAnsi="Times New Roman"/>
                <w:i/>
                <w:iCs/>
                <w:sz w:val="28"/>
                <w:szCs w:val="28"/>
                <w:vertAlign w:val="subscript"/>
                <w:lang w:val="ru-RU"/>
              </w:rPr>
              <w:t xml:space="preserve">e </w:t>
            </w:r>
            <w:r>
              <w:rPr>
                <w:rFonts w:ascii="Times New Roman" w:hAnsi="Times New Roman"/>
                <w:i/>
                <w:iCs/>
                <w:position w:val="0"/>
                <w:sz w:val="28"/>
                <w:sz w:val="28"/>
                <w:szCs w:val="28"/>
                <w:vertAlign w:val="baseline"/>
                <w:lang w:val="ru-RU"/>
              </w:rPr>
              <w:t xml:space="preserve"> </w:t>
            </w:r>
            <w:r>
              <w:rPr>
                <w:rFonts w:ascii="Times New Roman" w:hAnsi="Times New Roman"/>
                <w:i w:val="false"/>
                <w:iCs w:val="false"/>
                <w:position w:val="0"/>
                <w:sz w:val="28"/>
                <w:sz w:val="28"/>
                <w:szCs w:val="28"/>
                <w:vertAlign w:val="baseline"/>
                <w:lang w:val="ru-RU"/>
              </w:rPr>
              <w:t xml:space="preserve">– ожидаемая гетерозиготность; </w:t>
            </w:r>
          </w:p>
          <w:p>
            <w:pPr>
              <w:pStyle w:val="TableContents"/>
              <w:bidi w:val="0"/>
              <w:spacing w:lineRule="auto" w:line="240"/>
              <w:jc w:val="start"/>
              <w:rPr>
                <w:rFonts w:ascii="Times New Roman" w:hAnsi="Times New Roman"/>
                <w:sz w:val="28"/>
                <w:szCs w:val="28"/>
              </w:rPr>
            </w:pPr>
            <w:r>
              <w:rPr>
                <w:rFonts w:ascii="Times New Roman" w:hAnsi="Times New Roman"/>
                <w:i/>
                <w:iCs/>
                <w:position w:val="0"/>
                <w:sz w:val="28"/>
                <w:sz w:val="28"/>
                <w:szCs w:val="28"/>
                <w:vertAlign w:val="baseline"/>
                <w:lang w:val="ru-RU"/>
              </w:rPr>
              <w:t>H</w:t>
            </w:r>
            <w:r>
              <w:rPr>
                <w:rFonts w:ascii="Times New Roman" w:hAnsi="Times New Roman"/>
                <w:i/>
                <w:iCs/>
                <w:sz w:val="28"/>
                <w:szCs w:val="28"/>
                <w:vertAlign w:val="subscript"/>
                <w:lang w:val="ru-RU"/>
              </w:rPr>
              <w:t>o</w:t>
            </w:r>
            <w:r>
              <w:rPr>
                <w:rFonts w:ascii="Times New Roman" w:hAnsi="Times New Roman"/>
                <w:i w:val="false"/>
                <w:iCs w:val="false"/>
                <w:position w:val="0"/>
                <w:sz w:val="28"/>
                <w:sz w:val="28"/>
                <w:szCs w:val="28"/>
                <w:vertAlign w:val="baseline"/>
                <w:lang w:val="ru-RU"/>
              </w:rPr>
              <w:t xml:space="preserve"> – наблюдаемая гетерозиготность.</w:t>
            </w:r>
          </w:p>
        </w:tc>
      </w:tr>
    </w:tbl>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образовали группу близких генотипов вместе с российскими сортами Новичок, Королек, Рассвет 365, 33 богатыря. К этой же группе относилась и селекционная линия сорта Самаладай (экз. Т634), однако окончательно созданная линия для коммерческого использования (экз. Т625) отличалась маркерами LELEUZIP (генотип 102/102) и LEATRACAb (184/186). Маркеры LEPRP4 и TMS58 характеризовались наиболее высокой частотой отсутствующих генотипов в этой группе. Другие местные сорта были более разнообразными по сравнению с различными зарубежными сортами. </w:t>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ab/>
        <w:t xml:space="preserve">Маркеры SCAR и CAPS, ассоциированные с устойчивостью к инфекциям, </w:t>
        <w:br/>
      </w:r>
    </w:p>
    <w:p>
      <w:pPr>
        <w:pStyle w:val="Normal"/>
        <w:widowControl w:val="false"/>
        <w:shd w:val="clear" w:fill="FFFFFF"/>
        <w:tabs>
          <w:tab w:val="clear" w:pos="709"/>
          <w:tab w:val="left" w:pos="567" w:leader="none"/>
        </w:tabs>
        <w:bidi w:val="0"/>
        <w:spacing w:lineRule="auto" w:line="240" w:before="0" w:after="0"/>
        <w:ind w:firstLine="737" w:start="0" w:end="0"/>
        <w:contextualSpacing/>
        <w:jc w:val="center"/>
        <w:rPr>
          <w:rFonts w:ascii="Times New Roman" w:hAnsi="Times New Roman"/>
        </w:rPr>
      </w:pPr>
      <w:r>
        <w:drawing>
          <wp:anchor behindDoc="0" distT="0" distB="0" distL="0" distR="0" simplePos="0" locked="0" layoutInCell="0" allowOverlap="1" relativeHeight="15">
            <wp:simplePos x="0" y="0"/>
            <wp:positionH relativeFrom="column">
              <wp:posOffset>-40005</wp:posOffset>
            </wp:positionH>
            <wp:positionV relativeFrom="paragraph">
              <wp:posOffset>70485</wp:posOffset>
            </wp:positionV>
            <wp:extent cx="6120130" cy="2888615"/>
            <wp:effectExtent l="0" t="0" r="0" b="0"/>
            <wp:wrapTopAndBottom/>
            <wp:docPr id="9"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title=""/>
                    <pic:cNvPicPr>
                      <a:picLocks noChangeAspect="1" noChangeArrowheads="1"/>
                    </pic:cNvPicPr>
                  </pic:nvPicPr>
                  <pic:blipFill>
                    <a:blip r:embed="rId16"/>
                    <a:stretch>
                      <a:fillRect/>
                    </a:stretch>
                  </pic:blipFill>
                  <pic:spPr bwMode="auto">
                    <a:xfrm>
                      <a:off x="0" y="0"/>
                      <a:ext cx="6120130" cy="2888615"/>
                    </a:xfrm>
                    <a:prstGeom prst="rect">
                      <a:avLst/>
                    </a:prstGeom>
                  </pic:spPr>
                </pic:pic>
              </a:graphicData>
            </a:graphic>
          </wp:anchor>
        </w:drawing>
      </w:r>
      <w:r>
        <w:rPr>
          <w:rFonts w:eastAsia="Times New Roman" w:cs="Times New Roman" w:ascii="Times New Roman" w:hAnsi="Times New Roman"/>
          <w:b w:val="false"/>
          <w:bCs w:val="false"/>
          <w:sz w:val="28"/>
          <w:szCs w:val="28"/>
          <w:lang w:val="ru-RU" w:eastAsia="ru-RU"/>
        </w:rPr>
        <w:t>Рисунок 9 – Генотипы SSR маркеров сортов томата казахстанской селекции</w:t>
      </w:r>
    </w:p>
    <w:p>
      <w:pPr>
        <w:pStyle w:val="Normal"/>
        <w:widowControl w:val="false"/>
        <w:shd w:val="clear" w:fill="FFFFFF"/>
        <w:tabs>
          <w:tab w:val="clear" w:pos="709"/>
          <w:tab w:val="left" w:pos="567" w:leader="none"/>
        </w:tabs>
        <w:bidi w:val="0"/>
        <w:spacing w:lineRule="auto" w:line="240" w:before="0" w:after="0"/>
        <w:ind w:firstLine="737" w:start="0" w:end="0"/>
        <w:contextualSpacing/>
        <w:jc w:val="center"/>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интерпретировались по размерам фрагментов, выявленных электрофорезом в агарозном геле, в соответствии с результатами, обнародованными в оригинальных публикациях (таблица 18). Анализ выявил преобладающее наличие локусов устойчивости к грибу </w:t>
      </w:r>
      <w:r>
        <w:rPr>
          <w:rFonts w:eastAsia="Times New Roman" w:cs="Times New Roman" w:ascii="Times New Roman" w:hAnsi="Times New Roman"/>
          <w:b w:val="false"/>
          <w:bCs w:val="false"/>
          <w:i/>
          <w:iCs/>
          <w:sz w:val="28"/>
          <w:szCs w:val="28"/>
          <w:lang w:val="ru-RU" w:eastAsia="ru-RU"/>
        </w:rPr>
        <w:t>Fusarium oxysporum</w:t>
      </w:r>
      <w:r>
        <w:rPr>
          <w:rFonts w:eastAsia="Times New Roman" w:cs="Times New Roman" w:ascii="Times New Roman" w:hAnsi="Times New Roman"/>
          <w:b w:val="false"/>
          <w:bCs w:val="false"/>
          <w:sz w:val="28"/>
          <w:szCs w:val="28"/>
          <w:lang w:val="ru-RU" w:eastAsia="ru-RU"/>
        </w:rPr>
        <w:t xml:space="preserve"> и оомицету </w:t>
      </w:r>
      <w:r>
        <w:rPr>
          <w:rFonts w:eastAsia="Times New Roman" w:cs="Times New Roman" w:ascii="Times New Roman" w:hAnsi="Times New Roman"/>
          <w:b w:val="false"/>
          <w:bCs w:val="false"/>
          <w:i/>
          <w:iCs/>
          <w:sz w:val="28"/>
          <w:szCs w:val="28"/>
          <w:lang w:val="ru-RU" w:eastAsia="ru-RU"/>
        </w:rPr>
        <w:t>Phytophtora infestans</w:t>
      </w:r>
      <w:r>
        <w:rPr>
          <w:rFonts w:eastAsia="Times New Roman" w:cs="Times New Roman" w:ascii="Times New Roman" w:hAnsi="Times New Roman"/>
          <w:b w:val="false"/>
          <w:bCs w:val="false"/>
          <w:sz w:val="28"/>
          <w:szCs w:val="28"/>
          <w:lang w:val="ru-RU" w:eastAsia="ru-RU"/>
        </w:rPr>
        <w:t xml:space="preserve"> по сравнению с вирусами (рисунок 8). Наиболее часто встречающимся маркером был At2, связанный с локусом устойчивости </w:t>
      </w:r>
      <w:r>
        <w:rPr>
          <w:rFonts w:eastAsia="Times New Roman" w:cs="Times New Roman" w:ascii="Times New Roman" w:hAnsi="Times New Roman"/>
          <w:b w:val="false"/>
          <w:bCs w:val="false"/>
          <w:i/>
          <w:iCs/>
          <w:sz w:val="28"/>
          <w:szCs w:val="28"/>
          <w:lang w:val="ru-RU" w:eastAsia="ru-RU"/>
        </w:rPr>
        <w:t>I</w:t>
      </w:r>
      <w:r>
        <w:rPr>
          <w:rFonts w:eastAsia="Times New Roman" w:cs="Times New Roman" w:ascii="Times New Roman" w:hAnsi="Times New Roman"/>
          <w:b w:val="false"/>
          <w:bCs w:val="false"/>
          <w:sz w:val="28"/>
          <w:szCs w:val="28"/>
          <w:lang w:val="ru-RU" w:eastAsia="ru-RU"/>
        </w:rPr>
        <w:t xml:space="preserve"> против </w:t>
      </w:r>
      <w:r>
        <w:rPr>
          <w:rFonts w:eastAsia="Times New Roman" w:cs="Times New Roman" w:ascii="Times New Roman" w:hAnsi="Times New Roman"/>
          <w:b w:val="false"/>
          <w:bCs w:val="false"/>
          <w:i/>
          <w:iCs/>
          <w:sz w:val="28"/>
          <w:szCs w:val="28"/>
          <w:lang w:val="ru-RU" w:eastAsia="ru-RU"/>
        </w:rPr>
        <w:t>F. oxysporum</w:t>
      </w:r>
      <w:r>
        <w:rPr>
          <w:rFonts w:eastAsia="Times New Roman" w:cs="Times New Roman" w:ascii="Times New Roman" w:hAnsi="Times New Roman"/>
          <w:b w:val="false"/>
          <w:bCs w:val="false"/>
          <w:sz w:val="28"/>
          <w:szCs w:val="28"/>
          <w:lang w:val="ru-RU" w:eastAsia="ru-RU"/>
        </w:rPr>
        <w:t xml:space="preserve">: половина из всех 64 успешно генотипированных образцов были положительными на устойчивость. Другой маркер устойчивости к </w:t>
      </w:r>
      <w:r>
        <w:rPr>
          <w:rFonts w:eastAsia="Times New Roman" w:cs="Times New Roman" w:ascii="Times New Roman" w:hAnsi="Times New Roman"/>
          <w:b w:val="false"/>
          <w:bCs w:val="false"/>
          <w:i/>
          <w:iCs/>
          <w:sz w:val="28"/>
          <w:szCs w:val="28"/>
          <w:lang w:val="ru-RU" w:eastAsia="ru-RU"/>
        </w:rPr>
        <w:t>F. oxysporum</w:t>
      </w:r>
      <w:r>
        <w:rPr>
          <w:rFonts w:eastAsia="Times New Roman" w:cs="Times New Roman" w:ascii="Times New Roman" w:hAnsi="Times New Roman"/>
          <w:b w:val="false"/>
          <w:bCs w:val="false"/>
          <w:sz w:val="28"/>
          <w:szCs w:val="28"/>
          <w:lang w:val="ru-RU" w:eastAsia="ru-RU"/>
        </w:rPr>
        <w:t xml:space="preserve">, Z1063, связанный с генами устойчивости </w:t>
      </w:r>
      <w:r>
        <w:rPr>
          <w:rFonts w:eastAsia="Times New Roman" w:cs="Times New Roman" w:ascii="Times New Roman" w:hAnsi="Times New Roman"/>
          <w:b w:val="false"/>
          <w:bCs w:val="false"/>
          <w:i/>
          <w:iCs/>
          <w:sz w:val="28"/>
          <w:szCs w:val="28"/>
          <w:lang w:val="ru-RU" w:eastAsia="ru-RU"/>
        </w:rPr>
        <w:t>I2</w:t>
      </w:r>
      <w:r>
        <w:rPr>
          <w:rFonts w:eastAsia="Times New Roman" w:cs="Times New Roman" w:ascii="Times New Roman" w:hAnsi="Times New Roman"/>
          <w:b w:val="false"/>
          <w:bCs w:val="false"/>
          <w:sz w:val="28"/>
          <w:szCs w:val="28"/>
          <w:lang w:val="ru-RU" w:eastAsia="ru-RU"/>
        </w:rPr>
        <w:t xml:space="preserve">, наблюдался у шести образцов, включая местный сорт Меруерт. Оба эти маркера являются доминантными SCAR маркерами, связанными с соответствующими локусами устойчивости, интродуцированными в томаты из </w:t>
      </w:r>
      <w:r>
        <w:rPr>
          <w:rFonts w:eastAsia="Times New Roman" w:cs="Times New Roman" w:ascii="Times New Roman" w:hAnsi="Times New Roman"/>
          <w:b w:val="false"/>
          <w:bCs w:val="false"/>
          <w:i/>
          <w:iCs/>
          <w:sz w:val="28"/>
          <w:szCs w:val="28"/>
          <w:lang w:val="ru-RU" w:eastAsia="ru-RU"/>
        </w:rPr>
        <w:t>Solanum pimpinellifolium</w:t>
      </w:r>
      <w:r>
        <w:rPr>
          <w:rFonts w:eastAsia="Times New Roman" w:cs="Times New Roman" w:ascii="Times New Roman" w:hAnsi="Times New Roman"/>
          <w:b w:val="false"/>
          <w:bCs w:val="false"/>
          <w:sz w:val="28"/>
          <w:szCs w:val="28"/>
          <w:lang w:val="ru-RU" w:eastAsia="ru-RU"/>
        </w:rPr>
        <w:t xml:space="preserve">. Два кодоминантных маркера, Ph3-gsm и TG328, ассоциированы с локусом </w:t>
      </w:r>
      <w:r>
        <w:rPr>
          <w:rFonts w:eastAsia="Times New Roman" w:cs="Times New Roman" w:ascii="Times New Roman" w:hAnsi="Times New Roman"/>
          <w:b w:val="false"/>
          <w:bCs w:val="false"/>
          <w:i/>
          <w:iCs/>
          <w:sz w:val="28"/>
          <w:szCs w:val="28"/>
          <w:lang w:val="ru-RU" w:eastAsia="ru-RU"/>
        </w:rPr>
        <w:t>Ph-3</w:t>
      </w:r>
      <w:r>
        <w:rPr>
          <w:rFonts w:eastAsia="Times New Roman" w:cs="Times New Roman" w:ascii="Times New Roman" w:hAnsi="Times New Roman"/>
          <w:b w:val="false"/>
          <w:bCs w:val="false"/>
          <w:sz w:val="28"/>
          <w:szCs w:val="28"/>
          <w:lang w:val="ru-RU" w:eastAsia="ru-RU"/>
        </w:rPr>
        <w:t xml:space="preserve">, придающим устойчивость к </w:t>
      </w:r>
      <w:r>
        <w:rPr>
          <w:rFonts w:eastAsia="Times New Roman" w:cs="Times New Roman" w:ascii="Times New Roman" w:hAnsi="Times New Roman"/>
          <w:b w:val="false"/>
          <w:bCs w:val="false"/>
          <w:i/>
          <w:iCs/>
          <w:sz w:val="28"/>
          <w:szCs w:val="28"/>
          <w:lang w:val="ru-RU" w:eastAsia="ru-RU"/>
        </w:rPr>
        <w:t>P. infestans</w:t>
      </w:r>
      <w:r>
        <w:rPr>
          <w:rFonts w:eastAsia="Times New Roman" w:cs="Times New Roman" w:ascii="Times New Roman" w:hAnsi="Times New Roman"/>
          <w:b w:val="false"/>
          <w:bCs w:val="false"/>
          <w:sz w:val="28"/>
          <w:szCs w:val="28"/>
          <w:lang w:val="ru-RU" w:eastAsia="ru-RU"/>
        </w:rPr>
        <w:t xml:space="preserve">. Два местных сорта, Меруерт и Лидер, имеют устойчивый аллель Ph3-gsm; единственным экземпляром с устойчивым вариантом TG328 был российский сорт Королек. Только два сорта имеют устойчивый аллель маркера PrRuG086-151, связанный с локусом </w:t>
      </w:r>
      <w:r>
        <w:rPr>
          <w:rFonts w:eastAsia="Times New Roman" w:cs="Times New Roman" w:ascii="Times New Roman" w:hAnsi="Times New Roman"/>
          <w:b w:val="false"/>
          <w:bCs w:val="false"/>
          <w:i/>
          <w:iCs/>
          <w:sz w:val="28"/>
          <w:szCs w:val="28"/>
          <w:lang w:val="ru-RU" w:eastAsia="ru-RU"/>
        </w:rPr>
        <w:t>Tm-2</w:t>
      </w:r>
      <w:r>
        <w:rPr>
          <w:rFonts w:eastAsia="Times New Roman" w:cs="Times New Roman" w:ascii="Times New Roman" w:hAnsi="Times New Roman"/>
          <w:b w:val="false"/>
          <w:bCs w:val="false"/>
          <w:sz w:val="28"/>
          <w:szCs w:val="28"/>
          <w:lang w:val="ru-RU" w:eastAsia="ru-RU"/>
        </w:rPr>
        <w:t xml:space="preserve">, придающим устойчивость к ToMV, российский сорт Жираф и армянский Сюнник. Маркеров, ассоциированных с локусом устойчивости Sw-5 к TSWV, обнаружено не было, за единственным исключением маркера Sw5-2 у российского сорта Супер-экзотик. Для TYCLV были протестированы маркеры, связанные с локусами устойчивости </w:t>
      </w:r>
      <w:r>
        <w:rPr>
          <w:rFonts w:eastAsia="Times New Roman" w:cs="Times New Roman" w:ascii="Times New Roman" w:hAnsi="Times New Roman"/>
          <w:b w:val="false"/>
          <w:bCs w:val="false"/>
          <w:i/>
          <w:iCs/>
          <w:sz w:val="28"/>
          <w:szCs w:val="28"/>
          <w:lang w:val="ru-RU" w:eastAsia="ru-RU"/>
        </w:rPr>
        <w:t xml:space="preserve">Ty-2 </w:t>
      </w:r>
      <w:r>
        <w:rPr>
          <w:rFonts w:eastAsia="Times New Roman" w:cs="Times New Roman" w:ascii="Times New Roman" w:hAnsi="Times New Roman"/>
          <w:b w:val="false"/>
          <w:bCs w:val="false"/>
          <w:sz w:val="28"/>
          <w:szCs w:val="28"/>
          <w:lang w:val="ru-RU" w:eastAsia="ru-RU"/>
        </w:rPr>
        <w:t xml:space="preserve">и </w:t>
      </w:r>
      <w:r>
        <w:rPr>
          <w:rFonts w:eastAsia="Times New Roman" w:cs="Times New Roman" w:ascii="Times New Roman" w:hAnsi="Times New Roman"/>
          <w:b w:val="false"/>
          <w:bCs w:val="false"/>
          <w:i/>
          <w:iCs/>
          <w:sz w:val="28"/>
          <w:szCs w:val="28"/>
          <w:lang w:val="ru-RU" w:eastAsia="ru-RU"/>
        </w:rPr>
        <w:t>Ty-3</w:t>
      </w:r>
      <w:r>
        <w:rPr>
          <w:rFonts w:eastAsia="Times New Roman" w:cs="Times New Roman" w:ascii="Times New Roman" w:hAnsi="Times New Roman"/>
          <w:b w:val="false"/>
          <w:bCs w:val="false"/>
          <w:sz w:val="28"/>
          <w:szCs w:val="28"/>
          <w:lang w:val="ru-RU" w:eastAsia="ru-RU"/>
        </w:rPr>
        <w:t>. Устойчивых аллелей маркера Ty2-UpInDel не было выявлено. Ни один из казахстанских сортов не обнаруживал наличие маркеров устойчивости к вирусам [220]. Таким образом, было установлено, что проанализированные сорта томата казахстанской селекции образуют сравнительно однородную группу, близкородственную с российскими сортами, что объясняется использованием общего генетического материала в селекции.</w:t>
        <w:br/>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Таблица 18 – Ожидаемые генотипы SCAR и CAPS маркеров в ассоциации с устойчивостью/восприимчивостью к патогенам</w:t>
      </w:r>
    </w:p>
    <w:p>
      <w:pPr>
        <w:pStyle w:val="Normal"/>
        <w:widowControl w:val="false"/>
        <w:shd w:val="clear" w:fill="FFFFFF"/>
        <w:tabs>
          <w:tab w:val="clear" w:pos="709"/>
          <w:tab w:val="left" w:pos="567" w:leader="none"/>
        </w:tabs>
        <w:bidi w:val="0"/>
        <w:spacing w:lineRule="auto" w:line="240" w:before="0" w:after="0"/>
        <w:ind w:firstLine="737" w:start="0" w:end="0"/>
        <w:contextualSpacing/>
        <w:jc w:val="both"/>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tbl>
      <w:tblPr>
        <w:tblW w:w="9718" w:type="dxa"/>
        <w:jc w:val="start"/>
        <w:tblInd w:w="-5" w:type="dxa"/>
        <w:tblLayout w:type="fixed"/>
        <w:tblCellMar>
          <w:top w:w="55" w:type="dxa"/>
          <w:start w:w="55" w:type="dxa"/>
          <w:bottom w:w="55" w:type="dxa"/>
          <w:end w:w="55" w:type="dxa"/>
        </w:tblCellMar>
      </w:tblPr>
      <w:tblGrid>
        <w:gridCol w:w="1587"/>
        <w:gridCol w:w="1411"/>
        <w:gridCol w:w="1589"/>
        <w:gridCol w:w="2212"/>
        <w:gridCol w:w="1919"/>
        <w:gridCol w:w="999"/>
      </w:tblGrid>
      <w:tr>
        <w:trPr>
          <w:trHeight w:val="351" w:hRule="atLeast"/>
        </w:trPr>
        <w:tc>
          <w:tcPr>
            <w:tcW w:w="1587" w:type="dxa"/>
            <w:vMerge w:val="restart"/>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Патоген</w:t>
            </w:r>
          </w:p>
        </w:tc>
        <w:tc>
          <w:tcPr>
            <w:tcW w:w="1411" w:type="dxa"/>
            <w:vMerge w:val="restart"/>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Локус устойчивости</w:t>
            </w:r>
          </w:p>
        </w:tc>
        <w:tc>
          <w:tcPr>
            <w:tcW w:w="1589" w:type="dxa"/>
            <w:vMerge w:val="restart"/>
            <w:tcBorders>
              <w:top w:val="single" w:sz="4" w:space="0" w:color="000000"/>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Маркер</w:t>
            </w:r>
          </w:p>
        </w:tc>
        <w:tc>
          <w:tcPr>
            <w:tcW w:w="4131" w:type="dxa"/>
            <w:gridSpan w:val="2"/>
            <w:tcBorders>
              <w:top w:val="single" w:sz="4" w:space="0" w:color="000000"/>
              <w:start w:val="single" w:sz="4" w:space="0" w:color="000000"/>
              <w:bottom w:val="single" w:sz="4" w:space="0" w:color="000000"/>
            </w:tcBorders>
          </w:tcPr>
          <w:p>
            <w:pPr>
              <w:pStyle w:val="TableContents"/>
              <w:bidi w:val="0"/>
              <w:spacing w:lineRule="auto" w:line="240"/>
              <w:jc w:val="center"/>
              <w:rPr>
                <w:rFonts w:ascii="Times New Roman" w:hAnsi="Times New Roman"/>
              </w:rPr>
            </w:pPr>
            <w:r>
              <w:rPr>
                <w:rFonts w:ascii="Times New Roman" w:hAnsi="Times New Roman"/>
                <w:sz w:val="24"/>
                <w:szCs w:val="24"/>
                <w:lang w:val="ru-RU"/>
              </w:rPr>
              <w:t>Ожидаемые размеры фрагментов по генотипам (п.н.)</w:t>
            </w:r>
          </w:p>
        </w:tc>
        <w:tc>
          <w:tcPr>
            <w:tcW w:w="999" w:type="dxa"/>
            <w:vMerge w:val="restart"/>
            <w:tcBorders>
              <w:top w:val="single" w:sz="4" w:space="0" w:color="000000"/>
              <w:start w:val="single" w:sz="4" w:space="0" w:color="000000"/>
              <w:bottom w:val="single" w:sz="4" w:space="0" w:color="000000"/>
              <w:end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Ссылки</w:t>
            </w:r>
          </w:p>
        </w:tc>
      </w:tr>
      <w:tr>
        <w:trPr>
          <w:trHeight w:val="351" w:hRule="atLeast"/>
        </w:trPr>
        <w:tc>
          <w:tcPr>
            <w:tcW w:w="1587" w:type="dxa"/>
            <w:vMerge w:val="continue"/>
            <w:tcBorders>
              <w:top w:val="single" w:sz="4" w:space="0" w:color="000000"/>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top w:val="single" w:sz="4" w:space="0" w:color="000000"/>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vMerge w:val="continue"/>
            <w:tcBorders>
              <w:top w:val="single" w:sz="4" w:space="0" w:color="000000"/>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Восприимчивый </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Устойчивый</w:t>
            </w:r>
          </w:p>
        </w:tc>
        <w:tc>
          <w:tcPr>
            <w:tcW w:w="999"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Phytophtora infestans</w:t>
            </w:r>
          </w:p>
        </w:tc>
        <w:tc>
          <w:tcPr>
            <w:tcW w:w="1411"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Ph-3</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Ph3.gsm</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596 + 501 + 107</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596 + 291 + 258</w:t>
            </w:r>
          </w:p>
        </w:tc>
        <w:tc>
          <w:tcPr>
            <w:tcW w:w="999"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[90]</w:t>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TG328</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500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260+240</w:t>
            </w:r>
          </w:p>
        </w:tc>
        <w:tc>
          <w:tcPr>
            <w:tcW w:w="999"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[89]</w:t>
            </w:r>
          </w:p>
        </w:tc>
      </w:tr>
      <w:tr>
        <w:trPr/>
        <w:tc>
          <w:tcPr>
            <w:tcW w:w="1587"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Fusarium oxysporum</w:t>
            </w:r>
          </w:p>
        </w:tc>
        <w:tc>
          <w:tcPr>
            <w:tcW w:w="1411" w:type="dxa"/>
            <w:tcBorders>
              <w:start w:val="single" w:sz="4" w:space="0" w:color="000000"/>
              <w:bottom w:val="single" w:sz="4" w:space="0" w:color="000000"/>
            </w:tcBorders>
          </w:tcPr>
          <w:p>
            <w:pPr>
              <w:pStyle w:val="BodyText"/>
              <w:bidi w:val="0"/>
              <w:spacing w:lineRule="auto" w:line="240" w:before="0" w:after="140"/>
              <w:jc w:val="start"/>
              <w:rPr>
                <w:rFonts w:ascii="Times New Roman" w:hAnsi="Times New Roman"/>
              </w:rPr>
            </w:pPr>
            <w:r>
              <w:rPr>
                <w:rFonts w:ascii="Times New Roman" w:hAnsi="Times New Roman"/>
                <w:i/>
                <w:iCs/>
                <w:sz w:val="24"/>
                <w:szCs w:val="24"/>
                <w:lang w:val="ru-RU"/>
              </w:rPr>
              <w:t>I</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At2 </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92</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130+92</w:t>
            </w:r>
          </w:p>
        </w:tc>
        <w:tc>
          <w:tcPr>
            <w:tcW w:w="999" w:type="dxa"/>
            <w:vMerge w:val="restart"/>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[95]</w:t>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tcBorders>
              <w:start w:val="single" w:sz="4" w:space="0" w:color="000000"/>
              <w:bottom w:val="single" w:sz="4" w:space="0" w:color="000000"/>
            </w:tcBorders>
          </w:tcPr>
          <w:p>
            <w:pPr>
              <w:pStyle w:val="BodyText"/>
              <w:bidi w:val="0"/>
              <w:spacing w:lineRule="auto" w:line="240" w:before="0" w:after="140"/>
              <w:jc w:val="start"/>
              <w:rPr>
                <w:rFonts w:ascii="Times New Roman" w:hAnsi="Times New Roman"/>
              </w:rPr>
            </w:pPr>
            <w:r>
              <w:rPr>
                <w:rFonts w:ascii="Times New Roman" w:hAnsi="Times New Roman"/>
                <w:i/>
                <w:iCs/>
                <w:sz w:val="24"/>
                <w:szCs w:val="24"/>
                <w:lang w:val="ru-RU"/>
              </w:rPr>
              <w:t>I2</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SCAR</w:t>
            </w:r>
          </w:p>
          <w:p>
            <w:pPr>
              <w:pStyle w:val="TableContents"/>
              <w:bidi w:val="0"/>
              <w:spacing w:lineRule="auto" w:line="240"/>
              <w:jc w:val="start"/>
              <w:rPr>
                <w:rFonts w:ascii="Times New Roman" w:hAnsi="Times New Roman"/>
              </w:rPr>
            </w:pPr>
            <w:r>
              <w:rPr>
                <w:rFonts w:ascii="Times New Roman" w:hAnsi="Times New Roman"/>
                <w:sz w:val="24"/>
                <w:szCs w:val="24"/>
                <w:lang w:val="ru-RU"/>
              </w:rPr>
              <w:t>Z1063</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1380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1380+940</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ToMV</w:t>
            </w:r>
          </w:p>
        </w:tc>
        <w:tc>
          <w:tcPr>
            <w:tcW w:w="1411"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Tm2</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PrRuG086-151</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w:t>
            </w:r>
          </w:p>
        </w:tc>
        <w:tc>
          <w:tcPr>
            <w:tcW w:w="999" w:type="dxa"/>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[77]</w:t>
            </w:r>
          </w:p>
        </w:tc>
      </w:tr>
      <w:tr>
        <w:trPr/>
        <w:tc>
          <w:tcPr>
            <w:tcW w:w="1587"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TSWV</w:t>
            </w:r>
          </w:p>
        </w:tc>
        <w:tc>
          <w:tcPr>
            <w:tcW w:w="1411"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lang w:val="ru-RU"/>
              </w:rPr>
              <w:t>Sw-5</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NCSw-003</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600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680</w:t>
            </w:r>
          </w:p>
        </w:tc>
        <w:tc>
          <w:tcPr>
            <w:tcW w:w="999" w:type="dxa"/>
            <w:vMerge w:val="restart"/>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[80]</w:t>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NCSw-012</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1000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Отсутствует</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NCSw-007</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240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480</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CAPS </w:t>
            </w:r>
          </w:p>
          <w:p>
            <w:pPr>
              <w:pStyle w:val="TableContents"/>
              <w:bidi w:val="0"/>
              <w:spacing w:lineRule="auto" w:line="240"/>
              <w:jc w:val="start"/>
              <w:rPr>
                <w:rFonts w:ascii="Times New Roman" w:hAnsi="Times New Roman"/>
              </w:rPr>
            </w:pPr>
            <w:r>
              <w:rPr>
                <w:rFonts w:ascii="Times New Roman" w:hAnsi="Times New Roman"/>
                <w:sz w:val="24"/>
                <w:szCs w:val="24"/>
                <w:lang w:val="ru-RU"/>
              </w:rPr>
              <w:t>NCSw-011</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600</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430+200</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SCAR</w:t>
            </w:r>
          </w:p>
          <w:p>
            <w:pPr>
              <w:pStyle w:val="TableContents"/>
              <w:bidi w:val="0"/>
              <w:spacing w:lineRule="auto" w:line="240"/>
              <w:jc w:val="start"/>
              <w:rPr>
                <w:rFonts w:ascii="Times New Roman" w:hAnsi="Times New Roman"/>
              </w:rPr>
            </w:pPr>
            <w:r>
              <w:rPr>
                <w:rFonts w:ascii="Times New Roman" w:hAnsi="Times New Roman"/>
                <w:sz w:val="24"/>
                <w:szCs w:val="24"/>
                <w:lang w:val="ru-RU"/>
              </w:rPr>
              <w:t>Sw5-2</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510 или 464</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574</w:t>
            </w:r>
          </w:p>
        </w:tc>
        <w:tc>
          <w:tcPr>
            <w:tcW w:w="999" w:type="dxa"/>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sz w:val="24"/>
                <w:szCs w:val="24"/>
                <w:lang w:val="ru-RU"/>
              </w:rPr>
              <w:t>[208]</w:t>
            </w:r>
          </w:p>
        </w:tc>
      </w:tr>
      <w:tr>
        <w:trPr/>
        <w:tc>
          <w:tcPr>
            <w:tcW w:w="1587" w:type="dxa"/>
            <w:vMerge w:val="restart"/>
            <w:tcBorders>
              <w:start w:val="single" w:sz="4" w:space="0" w:color="000000"/>
              <w:bottom w:val="single" w:sz="4" w:space="0" w:color="000000"/>
            </w:tcBorders>
          </w:tcPr>
          <w:p>
            <w:pPr>
              <w:pStyle w:val="Normal"/>
              <w:bidi w:val="0"/>
              <w:spacing w:lineRule="auto" w:line="240"/>
              <w:jc w:val="start"/>
              <w:rPr>
                <w:rFonts w:ascii="Times New Roman" w:hAnsi="Times New Roman"/>
              </w:rPr>
            </w:pPr>
            <w:r>
              <w:rPr>
                <w:rFonts w:ascii="Times New Roman" w:hAnsi="Times New Roman"/>
                <w:sz w:val="24"/>
                <w:szCs w:val="24"/>
                <w:lang w:val="ru-RU"/>
              </w:rPr>
              <w:t>TYLCV</w:t>
            </w:r>
          </w:p>
        </w:tc>
        <w:tc>
          <w:tcPr>
            <w:tcW w:w="1411"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i/>
                <w:iCs/>
                <w:sz w:val="24"/>
                <w:szCs w:val="24"/>
                <w:u w:val="none"/>
                <w:lang w:val="ru-RU"/>
              </w:rPr>
              <w:t>Ty-2</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 xml:space="preserve">SCAR </w:t>
            </w:r>
          </w:p>
          <w:p>
            <w:pPr>
              <w:pStyle w:val="TableContents"/>
              <w:bidi w:val="0"/>
              <w:spacing w:lineRule="auto" w:line="240"/>
              <w:jc w:val="start"/>
              <w:rPr>
                <w:rFonts w:ascii="Times New Roman" w:hAnsi="Times New Roman"/>
              </w:rPr>
            </w:pPr>
            <w:bookmarkStart w:id="6" w:name="__DdeLink__3951_38077036931"/>
            <w:r>
              <w:rPr>
                <w:rFonts w:ascii="Times New Roman" w:hAnsi="Times New Roman"/>
                <w:sz w:val="24"/>
                <w:szCs w:val="24"/>
                <w:lang w:val="ru-RU"/>
              </w:rPr>
              <w:t>Ty2-UpInDel</w:t>
            </w:r>
            <w:bookmarkEnd w:id="6"/>
          </w:p>
        </w:tc>
        <w:tc>
          <w:tcPr>
            <w:tcW w:w="2212" w:type="dxa"/>
            <w:tcBorders>
              <w:start w:val="single" w:sz="4" w:space="0" w:color="000000"/>
              <w:bottom w:val="single" w:sz="4" w:space="0" w:color="000000"/>
            </w:tcBorders>
            <w:vAlign w:val="center"/>
          </w:tcPr>
          <w:p>
            <w:pPr>
              <w:pStyle w:val="TableContents"/>
              <w:bidi w:val="0"/>
              <w:spacing w:lineRule="auto" w:line="240"/>
              <w:jc w:val="start"/>
              <w:rPr>
                <w:rFonts w:ascii="Times New Roman" w:hAnsi="Times New Roman"/>
              </w:rPr>
            </w:pPr>
            <w:r>
              <w:rPr>
                <w:rFonts w:ascii="Times New Roman" w:hAnsi="Times New Roman"/>
                <w:sz w:val="24"/>
                <w:szCs w:val="24"/>
                <w:lang w:val="ru-RU"/>
              </w:rPr>
              <w:t>213</w:t>
            </w:r>
          </w:p>
        </w:tc>
        <w:tc>
          <w:tcPr>
            <w:tcW w:w="1919" w:type="dxa"/>
            <w:tcBorders>
              <w:start w:val="single" w:sz="4" w:space="0" w:color="000000"/>
              <w:bottom w:val="single" w:sz="4" w:space="0" w:color="000000"/>
            </w:tcBorders>
            <w:vAlign w:val="center"/>
          </w:tcPr>
          <w:p>
            <w:pPr>
              <w:pStyle w:val="TableContents"/>
              <w:bidi w:val="0"/>
              <w:spacing w:lineRule="auto" w:line="240"/>
              <w:jc w:val="start"/>
              <w:rPr>
                <w:rFonts w:ascii="Times New Roman" w:hAnsi="Times New Roman"/>
              </w:rPr>
            </w:pPr>
            <w:r>
              <w:rPr>
                <w:rFonts w:ascii="Times New Roman" w:hAnsi="Times New Roman"/>
                <w:sz w:val="24"/>
                <w:szCs w:val="24"/>
                <w:lang w:val="ru-RU"/>
              </w:rPr>
              <w:t>120</w:t>
            </w:r>
          </w:p>
        </w:tc>
        <w:tc>
          <w:tcPr>
            <w:tcW w:w="999" w:type="dxa"/>
            <w:vMerge w:val="restart"/>
            <w:tcBorders>
              <w:start w:val="single" w:sz="4" w:space="0" w:color="000000"/>
              <w:bottom w:val="single" w:sz="4" w:space="0" w:color="000000"/>
              <w:end w:val="single" w:sz="4" w:space="0" w:color="000000"/>
            </w:tcBorders>
          </w:tcPr>
          <w:p>
            <w:pPr>
              <w:pStyle w:val="TableContents"/>
              <w:rPr>
                <w:rFonts w:ascii="Times New Roman" w:hAnsi="Times New Roman"/>
              </w:rPr>
            </w:pPr>
            <w:r>
              <w:rPr>
                <w:rFonts w:ascii="Times New Roman" w:hAnsi="Times New Roman"/>
                <w:sz w:val="24"/>
                <w:szCs w:val="24"/>
                <w:lang w:val="ru-RU"/>
              </w:rPr>
              <w:t>[83]</w:t>
            </w:r>
          </w:p>
        </w:tc>
      </w:tr>
      <w:tr>
        <w:trPr>
          <w:trHeight w:val="675" w:hRule="atLeast"/>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restart"/>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b w:val="false"/>
                <w:bCs w:val="false"/>
                <w:i/>
                <w:iCs/>
                <w:sz w:val="24"/>
                <w:szCs w:val="24"/>
                <w:lang w:val="ru-RU"/>
              </w:rPr>
              <w:t>Ty-3</w:t>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Ty3-InDel</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669</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353+325</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rHeight w:val="675" w:hRule="atLeast"/>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Ty3-SNP9</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555+114</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353+325</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1587"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1" w:type="dxa"/>
            <w:vMerge w:val="continue"/>
            <w:tcBorders>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58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CAPS</w:t>
            </w:r>
          </w:p>
          <w:p>
            <w:pPr>
              <w:pStyle w:val="TableContents"/>
              <w:bidi w:val="0"/>
              <w:spacing w:lineRule="auto" w:line="240"/>
              <w:jc w:val="start"/>
              <w:rPr>
                <w:rFonts w:ascii="Times New Roman" w:hAnsi="Times New Roman"/>
              </w:rPr>
            </w:pPr>
            <w:r>
              <w:rPr>
                <w:rFonts w:ascii="Times New Roman" w:hAnsi="Times New Roman"/>
                <w:sz w:val="24"/>
                <w:szCs w:val="24"/>
                <w:lang w:val="ru-RU"/>
              </w:rPr>
              <w:t>Ty3-SNP17</w:t>
            </w:r>
          </w:p>
        </w:tc>
        <w:tc>
          <w:tcPr>
            <w:tcW w:w="2212"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562 + 148 + 52 + 51</w:t>
            </w:r>
          </w:p>
        </w:tc>
        <w:tc>
          <w:tcPr>
            <w:tcW w:w="1919" w:type="dxa"/>
            <w:tcBorders>
              <w:start w:val="single" w:sz="4" w:space="0" w:color="000000"/>
              <w:bottom w:val="single" w:sz="4" w:space="0" w:color="000000"/>
            </w:tcBorders>
          </w:tcPr>
          <w:p>
            <w:pPr>
              <w:pStyle w:val="TableContents"/>
              <w:bidi w:val="0"/>
              <w:spacing w:lineRule="auto" w:line="240"/>
              <w:jc w:val="start"/>
              <w:rPr>
                <w:rFonts w:ascii="Times New Roman" w:hAnsi="Times New Roman"/>
              </w:rPr>
            </w:pPr>
            <w:r>
              <w:rPr>
                <w:rFonts w:ascii="Times New Roman" w:hAnsi="Times New Roman"/>
                <w:sz w:val="24"/>
                <w:szCs w:val="24"/>
                <w:lang w:val="ru-RU"/>
              </w:rPr>
              <w:t>497 + 148 + 65 + 52 + 51</w:t>
            </w:r>
          </w:p>
        </w:tc>
        <w:tc>
          <w:tcPr>
            <w:tcW w:w="999"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r>
      <w:tr>
        <w:trPr/>
        <w:tc>
          <w:tcPr>
            <w:tcW w:w="9717" w:type="dxa"/>
            <w:gridSpan w:val="6"/>
            <w:tcBorders/>
          </w:tcPr>
          <w:p>
            <w:pPr>
              <w:pStyle w:val="Normal"/>
              <w:rPr>
                <w:rFonts w:ascii="Times New Roman" w:hAnsi="Times New Roman"/>
              </w:rPr>
            </w:pPr>
            <w:r>
              <w:rPr>
                <w:rFonts w:ascii="Times New Roman" w:hAnsi="Times New Roman"/>
                <w:sz w:val="28"/>
                <w:szCs w:val="28"/>
                <w:lang w:val="ru-RU"/>
              </w:rPr>
              <w:t>* Размеры аллелей не определены, результаты определяются по паттерну электрофореза в соответствии с публикацией [77]</w:t>
            </w:r>
          </w:p>
        </w:tc>
      </w:tr>
    </w:tbl>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eastAsia="Times New Roman" w:cs="Times New Roman"/>
          <w:b w:val="false"/>
          <w:bCs w:val="false"/>
          <w:sz w:val="28"/>
          <w:szCs w:val="28"/>
          <w:u w:val="double"/>
          <w:lang w:val="ru-RU" w:eastAsia="ru-RU"/>
        </w:rPr>
      </w:pPr>
      <w:r>
        <w:rPr>
          <w:rFonts w:eastAsia="Times New Roman" w:cs="Times New Roman" w:ascii="Times New Roman" w:hAnsi="Times New Roman"/>
          <w:b w:val="false"/>
          <w:bCs w:val="false"/>
          <w:sz w:val="28"/>
          <w:szCs w:val="28"/>
          <w:u w:val="double"/>
          <w:lang w:val="ru-RU" w:eastAsia="ru-RU"/>
        </w:rPr>
      </w:r>
    </w:p>
    <w:p>
      <w:pPr>
        <w:pStyle w:val="Normal"/>
        <w:widowControl w:val="false"/>
        <w:shd w:val="clear" w:fill="FFFFFF"/>
        <w:tabs>
          <w:tab w:val="clear" w:pos="709"/>
          <w:tab w:val="left" w:pos="567" w:leader="none"/>
        </w:tabs>
        <w:bidi w:val="0"/>
        <w:spacing w:lineRule="auto" w:line="240" w:before="0" w:after="0"/>
        <w:ind w:hanging="0" w:start="0" w:end="0"/>
        <w:contextualSpacing/>
        <w:jc w:val="both"/>
        <w:rPr>
          <w:rFonts w:ascii="Times New Roman" w:hAnsi="Times New Roman"/>
        </w:rPr>
      </w:pPr>
      <w:r>
        <w:rPr>
          <w:rFonts w:eastAsia="Times New Roman" w:cs="Times New Roman" w:ascii="Times New Roman" w:hAnsi="Times New Roman"/>
          <w:b w:val="false"/>
          <w:bCs w:val="false"/>
          <w:sz w:val="28"/>
          <w:szCs w:val="28"/>
          <w:lang w:val="ru-RU" w:eastAsia="ru-RU"/>
        </w:rPr>
        <w:t>Кроме того, все сорта представляли собой томаты открытого грунта, что ранее было показано как генетическая общность среди отечественных сортов и линий [221].</w:t>
      </w:r>
    </w:p>
    <w:p>
      <w:pPr>
        <w:pStyle w:val="Normal"/>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bidi w:val="0"/>
        <w:ind w:firstLine="737" w:start="0" w:end="0"/>
        <w:jc w:val="both"/>
        <w:rPr>
          <w:rFonts w:ascii="Times New Roman" w:hAnsi="Times New Roman"/>
        </w:rPr>
      </w:pPr>
      <w:r>
        <w:rPr>
          <w:rFonts w:eastAsia="Times New Roman" w:cs="Times New Roman" w:ascii="Times New Roman" w:hAnsi="Times New Roman"/>
          <w:b w:val="false"/>
          <w:bCs w:val="false"/>
          <w:sz w:val="28"/>
          <w:szCs w:val="28"/>
          <w:lang w:val="ru-RU" w:eastAsia="ru-RU"/>
        </w:rPr>
        <w:t xml:space="preserve">Анализ маркеров устойчивости к патогенам выявил ограниченное распространение устойчивости к </w:t>
      </w:r>
      <w:r>
        <w:rPr>
          <w:rFonts w:eastAsia="Times New Roman" w:cs="Times New Roman" w:ascii="Times New Roman" w:hAnsi="Times New Roman"/>
          <w:b w:val="false"/>
          <w:bCs w:val="false"/>
          <w:i/>
          <w:iCs/>
          <w:sz w:val="28"/>
          <w:szCs w:val="28"/>
          <w:lang w:val="ru-RU" w:eastAsia="ru-RU"/>
        </w:rPr>
        <w:t>P. infestans</w:t>
      </w:r>
      <w:r>
        <w:rPr>
          <w:rFonts w:eastAsia="Times New Roman" w:cs="Times New Roman" w:ascii="Times New Roman" w:hAnsi="Times New Roman"/>
          <w:b w:val="false"/>
          <w:bCs w:val="false"/>
          <w:sz w:val="28"/>
          <w:szCs w:val="28"/>
          <w:lang w:val="ru-RU" w:eastAsia="ru-RU"/>
        </w:rPr>
        <w:t xml:space="preserve"> и </w:t>
      </w:r>
      <w:r>
        <w:rPr>
          <w:rFonts w:eastAsia="Times New Roman" w:cs="Times New Roman" w:ascii="Times New Roman" w:hAnsi="Times New Roman"/>
          <w:b w:val="false"/>
          <w:bCs w:val="false"/>
          <w:i/>
          <w:iCs/>
          <w:sz w:val="28"/>
          <w:szCs w:val="28"/>
          <w:lang w:val="ru-RU" w:eastAsia="ru-RU"/>
        </w:rPr>
        <w:t>F. oxysporum</w:t>
      </w:r>
      <w:r>
        <w:rPr>
          <w:rFonts w:eastAsia="Times New Roman" w:cs="Times New Roman" w:ascii="Times New Roman" w:hAnsi="Times New Roman"/>
          <w:b w:val="false"/>
          <w:bCs w:val="false"/>
          <w:sz w:val="28"/>
          <w:szCs w:val="28"/>
          <w:lang w:val="ru-RU" w:eastAsia="ru-RU"/>
        </w:rPr>
        <w:t xml:space="preserve">, при отсутствии маркеров устойчивости к трем рассматриваемым вирусам среди казахстанских сортов. Хотя, очевидно, проанализированные маркеры не исчерпывают возможный потенциал устойчивости томата к болезням, они, тем не менее, являются перспективными факторами отбора сортов томата. Согласно оригинальным исследованиям, рассматриваемые маркеры обеспечивают качественные признаки, обеспечивающие высокую степень устойчивости к соответствующим патогенам. На основании анализа маркеров устойчивости, казахстанские сорта Меруерт и Лидер, несущие маркеры устойчивости к </w:t>
      </w:r>
      <w:r>
        <w:rPr>
          <w:rFonts w:eastAsia="Times New Roman" w:cs="Times New Roman" w:ascii="Times New Roman" w:hAnsi="Times New Roman"/>
          <w:b w:val="false"/>
          <w:bCs w:val="false"/>
          <w:i/>
          <w:iCs/>
          <w:sz w:val="28"/>
          <w:szCs w:val="28"/>
          <w:lang w:val="ru-RU" w:eastAsia="ru-RU"/>
        </w:rPr>
        <w:t>P. infestans</w:t>
      </w:r>
      <w:r>
        <w:rPr>
          <w:rFonts w:eastAsia="Times New Roman" w:cs="Times New Roman" w:ascii="Times New Roman" w:hAnsi="Times New Roman"/>
          <w:b w:val="false"/>
          <w:bCs w:val="false"/>
          <w:sz w:val="28"/>
          <w:szCs w:val="28"/>
          <w:lang w:val="ru-RU" w:eastAsia="ru-RU"/>
        </w:rPr>
        <w:t xml:space="preserve"> и </w:t>
      </w:r>
      <w:r>
        <w:rPr>
          <w:rFonts w:eastAsia="Times New Roman" w:cs="Times New Roman" w:ascii="Times New Roman" w:hAnsi="Times New Roman"/>
          <w:b w:val="false"/>
          <w:bCs w:val="false"/>
          <w:i/>
          <w:iCs/>
          <w:sz w:val="28"/>
          <w:szCs w:val="28"/>
          <w:lang w:val="ru-RU" w:eastAsia="ru-RU"/>
        </w:rPr>
        <w:t>F. oxysporum</w:t>
      </w:r>
      <w:r>
        <w:rPr>
          <w:rFonts w:eastAsia="Times New Roman" w:cs="Times New Roman" w:ascii="Times New Roman" w:hAnsi="Times New Roman"/>
          <w:b w:val="false"/>
          <w:bCs w:val="false"/>
          <w:sz w:val="28"/>
          <w:szCs w:val="28"/>
          <w:lang w:val="ru-RU" w:eastAsia="ru-RU"/>
        </w:rPr>
        <w:t>, были выбраны в качестве кандидатов для проведения геномного редактирования на следующем этапе работы. Осуществление редактирования генов, направленных на устойчивость к мучнистой росе, позволит достичь высокую степень толерантности к множественным патогенам.</w:t>
      </w:r>
    </w:p>
    <w:p>
      <w:pPr>
        <w:pStyle w:val="Normal"/>
        <w:rPr>
          <w:rFonts w:ascii="Times New Roman" w:hAnsi="Times New Roman" w:eastAsia="Times New Roman" w:cs="Times New Roman"/>
          <w:b w:val="false"/>
          <w:bCs w:val="false"/>
          <w:sz w:val="28"/>
          <w:szCs w:val="28"/>
          <w:lang w:val="ru-RU" w:eastAsia="ru-RU"/>
        </w:rPr>
      </w:pPr>
      <w:r>
        <w:rPr>
          <w:rFonts w:eastAsia="Times New Roman" w:cs="Times New Roman" w:ascii="Times New Roman" w:hAnsi="Times New Roman"/>
          <w:b w:val="false"/>
          <w:bCs w:val="false"/>
          <w:sz w:val="28"/>
          <w:szCs w:val="28"/>
          <w:lang w:val="ru-RU" w:eastAsia="ru-RU"/>
        </w:rPr>
      </w:r>
    </w:p>
    <w:p>
      <w:pPr>
        <w:pStyle w:val="Normal"/>
        <w:ind w:firstLine="737" w:start="0" w:end="0"/>
        <w:jc w:val="both"/>
        <w:rPr>
          <w:rFonts w:ascii="Times New Roman" w:hAnsi="Times New Roman"/>
        </w:rPr>
      </w:pPr>
      <w:r>
        <w:rPr>
          <w:rFonts w:ascii="Times New Roman" w:hAnsi="Times New Roman"/>
          <w:sz w:val="28"/>
          <w:szCs w:val="28"/>
          <w:lang w:val="ru-RU"/>
        </w:rPr>
        <w:t xml:space="preserve">3.2 Редактирование генов </w:t>
      </w:r>
      <w:r>
        <w:rPr>
          <w:rFonts w:ascii="Times New Roman" w:hAnsi="Times New Roman"/>
          <w:i/>
          <w:iCs/>
          <w:sz w:val="28"/>
          <w:szCs w:val="28"/>
          <w:lang w:val="ru-RU"/>
        </w:rPr>
        <w:t xml:space="preserve">Mlo </w:t>
      </w:r>
      <w:r>
        <w:rPr>
          <w:rFonts w:ascii="Times New Roman" w:hAnsi="Times New Roman"/>
          <w:i w:val="false"/>
          <w:iCs w:val="false"/>
          <w:sz w:val="28"/>
          <w:szCs w:val="28"/>
          <w:lang w:val="ru-RU"/>
        </w:rPr>
        <w:t>томата</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3.2.1 Разработка и клонирование нРНК для редактирования генов </w:t>
      </w:r>
      <w:r>
        <w:rPr>
          <w:rFonts w:cs="Times New Roman" w:ascii="Times New Roman" w:hAnsi="Times New Roman"/>
          <w:i/>
          <w:iCs/>
          <w:sz w:val="28"/>
          <w:szCs w:val="28"/>
          <w:lang w:val="ru-RU"/>
        </w:rPr>
        <w:t xml:space="preserve">Mlo </w:t>
      </w:r>
      <w:r>
        <w:rPr>
          <w:rFonts w:cs="Times New Roman" w:ascii="Times New Roman" w:hAnsi="Times New Roman"/>
          <w:i w:val="false"/>
          <w:iCs w:val="false"/>
          <w:sz w:val="28"/>
          <w:szCs w:val="28"/>
          <w:lang w:val="ru-RU"/>
        </w:rPr>
        <w:t>томата</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 результате компьютерного дизайна нРНК для редактирования генов томата были разработаны две последовательности для каждого гена (рисунок 10). Для каждый мишени были отобраны две нРНК. Использованный метод клонирования и экспрессии системы CRISPR/Cas9 на основе плазмид  </w:t>
      </w:r>
      <w:r>
        <w:rPr>
          <w:rFonts w:cs="Times New Roman" w:ascii="Times New Roman" w:hAnsi="Times New Roman"/>
          <w:i w:val="false"/>
          <w:iCs w:val="false"/>
          <w:sz w:val="28"/>
          <w:szCs w:val="28"/>
          <w:lang w:val="ru-RU"/>
        </w:rPr>
        <w:t>pCBC-DT1T2 и pKSE401 позволяет одновременное клонирование нескольких нРНК для множественного редактирования. Это свойство использовалось в настоящей работе для более эффективного внесения делеций в гены.</w:t>
      </w:r>
    </w:p>
    <w:p>
      <w:pPr>
        <w:pStyle w:val="Normal"/>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hd w:val="clear" w:fill="FFFFFF"/>
        <w:tabs>
          <w:tab w:val="clear" w:pos="709"/>
          <w:tab w:val="left" w:pos="567" w:leader="none"/>
          <w:tab w:val="left" w:pos="720" w:leader="none"/>
        </w:tabs>
        <w:suppressAutoHyphens w:val="true"/>
        <w:spacing w:lineRule="auto" w:line="240" w:before="57" w:after="57"/>
        <w:ind w:firstLine="567" w:start="0" w:end="0"/>
        <w:contextualSpacing/>
        <w:jc w:val="center"/>
        <w:rPr>
          <w:rFonts w:ascii="Times New Roman" w:hAnsi="Times New Roman"/>
        </w:rPr>
      </w:pPr>
      <w: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204585" cy="2978150"/>
            <wp:effectExtent l="0" t="0" r="0" b="0"/>
            <wp:wrapSquare wrapText="largest"/>
            <wp:docPr id="10"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title=""/>
                    <pic:cNvPicPr>
                      <a:picLocks noChangeAspect="1" noChangeArrowheads="1"/>
                    </pic:cNvPicPr>
                  </pic:nvPicPr>
                  <pic:blipFill>
                    <a:blip r:embed="rId17"/>
                    <a:stretch>
                      <a:fillRect/>
                    </a:stretch>
                  </pic:blipFill>
                  <pic:spPr bwMode="auto">
                    <a:xfrm>
                      <a:off x="0" y="0"/>
                      <a:ext cx="6204585" cy="2978150"/>
                    </a:xfrm>
                    <a:prstGeom prst="rect">
                      <a:avLst/>
                    </a:prstGeom>
                  </pic:spPr>
                </pic:pic>
              </a:graphicData>
            </a:graphic>
          </wp:anchor>
        </w:drawing>
      </w:r>
      <w:r>
        <w:rPr>
          <w:rFonts w:eastAsia="Calibri" w:cs="Times New Roman" w:ascii="Times New Roman" w:hAnsi="Times New Roman"/>
          <w:i w:val="false"/>
          <w:iCs w:val="false"/>
          <w:sz w:val="28"/>
          <w:szCs w:val="28"/>
          <w:lang w:val="ru-RU"/>
        </w:rPr>
        <w:t xml:space="preserve">Рисунок 10 </w:t>
      </w:r>
      <w:r>
        <w:rPr>
          <w:rFonts w:eastAsia="Calibri" w:cs="Times New Roman" w:ascii="Times New Roman" w:hAnsi="Times New Roman"/>
          <w:i/>
          <w:iCs w:val="false"/>
          <w:sz w:val="28"/>
          <w:szCs w:val="28"/>
          <w:lang w:val="ru-RU"/>
        </w:rPr>
        <w:t>–</w:t>
      </w:r>
      <w:r>
        <w:rPr>
          <w:rFonts w:eastAsia="Calibri" w:cs="Times New Roman" w:ascii="Times New Roman" w:hAnsi="Times New Roman"/>
          <w:i w:val="false"/>
          <w:iCs w:val="false"/>
          <w:sz w:val="28"/>
          <w:szCs w:val="28"/>
          <w:lang w:val="ru-RU"/>
        </w:rPr>
        <w:t xml:space="preserve"> Поиск кандидатных нРНК в программе RGEN Tools на примере гена </w:t>
      </w:r>
      <w:r>
        <w:rPr>
          <w:rFonts w:eastAsia="Calibri" w:cs="Times New Roman" w:ascii="Times New Roman" w:hAnsi="Times New Roman"/>
          <w:i/>
          <w:iCs/>
          <w:sz w:val="28"/>
          <w:szCs w:val="28"/>
          <w:lang w:val="ru-RU"/>
        </w:rPr>
        <w:t>SlMLO1</w:t>
      </w:r>
    </w:p>
    <w:p>
      <w:pPr>
        <w:pStyle w:val="Normal"/>
        <w:ind w:hanging="0" w:start="0" w:end="0"/>
        <w:jc w:val="both"/>
        <w:rPr>
          <w:rFonts w:ascii="Times New Roman" w:hAnsi="Times New Roman"/>
        </w:rPr>
      </w:pPr>
      <w:r>
        <w:rPr>
          <w:rFonts w:ascii="Times New Roman" w:hAnsi="Times New Roman"/>
          <w:i w:val="false"/>
          <w:iCs w:val="false"/>
          <w:sz w:val="28"/>
          <w:szCs w:val="28"/>
          <w:lang w:val="ru-RU"/>
        </w:rPr>
        <w:t xml:space="preserve">Таблица 19 – Праймеры для сборки CRISPR/Cas9 кассеты в плазмиде </w:t>
      </w:r>
      <w:r>
        <w:rPr>
          <w:rFonts w:cs="Times New Roman" w:ascii="Times New Roman" w:hAnsi="Times New Roman"/>
          <w:i w:val="false"/>
          <w:iCs w:val="false"/>
          <w:sz w:val="28"/>
          <w:szCs w:val="28"/>
          <w:lang w:val="ru-RU"/>
        </w:rPr>
        <w:t>pCBC-DT1T2 с разработанными последовательностями нРНК для редактирования генов. Последовательности нРНК выделены.</w:t>
      </w:r>
    </w:p>
    <w:p>
      <w:pPr>
        <w:pStyle w:val="Normal"/>
        <w:ind w:hanging="0"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tbl>
      <w:tblPr>
        <w:tblW w:w="9643" w:type="dxa"/>
        <w:jc w:val="start"/>
        <w:tblInd w:w="-4" w:type="dxa"/>
        <w:tblLayout w:type="fixed"/>
        <w:tblCellMar>
          <w:top w:w="0" w:type="dxa"/>
          <w:start w:w="108" w:type="dxa"/>
          <w:bottom w:w="0" w:type="dxa"/>
          <w:end w:w="108" w:type="dxa"/>
        </w:tblCellMar>
      </w:tblPr>
      <w:tblGrid>
        <w:gridCol w:w="1157"/>
        <w:gridCol w:w="1393"/>
        <w:gridCol w:w="711"/>
        <w:gridCol w:w="6381"/>
      </w:tblGrid>
      <w:tr>
        <w:trPr/>
        <w:tc>
          <w:tcPr>
            <w:tcW w:w="1157"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 w:val="false"/>
                <w:bCs w:val="false"/>
                <w:sz w:val="24"/>
                <w:szCs w:val="24"/>
                <w:lang w:val="ru-RU"/>
              </w:rPr>
              <w:t>Ген</w:t>
            </w:r>
          </w:p>
        </w:tc>
        <w:tc>
          <w:tcPr>
            <w:tcW w:w="1393"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 w:val="false"/>
                <w:bCs w:val="false"/>
                <w:sz w:val="24"/>
                <w:szCs w:val="24"/>
                <w:lang w:val="ru-RU"/>
              </w:rPr>
              <w:t>Название локуса</w:t>
            </w:r>
          </w:p>
        </w:tc>
        <w:tc>
          <w:tcPr>
            <w:tcW w:w="7092" w:type="dxa"/>
            <w:gridSpan w:val="2"/>
            <w:tcBorders>
              <w:top w:val="single" w:sz="4" w:space="0" w:color="000000"/>
              <w:start w:val="single" w:sz="4" w:space="0" w:color="000000"/>
              <w:bottom w:val="single" w:sz="4" w:space="0" w:color="000000"/>
              <w:end w:val="single" w:sz="4" w:space="0" w:color="000000"/>
            </w:tcBorders>
          </w:tcPr>
          <w:p>
            <w:pPr>
              <w:pStyle w:val="Normal"/>
              <w:spacing w:lineRule="auto" w:line="240"/>
              <w:ind w:firstLine="709" w:start="0" w:end="0"/>
              <w:jc w:val="both"/>
              <w:rPr>
                <w:rFonts w:ascii="Times New Roman" w:hAnsi="Times New Roman"/>
              </w:rPr>
            </w:pPr>
            <w:r>
              <w:rPr>
                <w:rFonts w:cs="Times New Roman" w:ascii="Times New Roman" w:hAnsi="Times New Roman"/>
                <w:b w:val="false"/>
                <w:bCs w:val="false"/>
                <w:sz w:val="24"/>
                <w:szCs w:val="24"/>
                <w:lang w:val="ru-RU"/>
              </w:rPr>
              <w:t>Праймеры</w:t>
            </w:r>
          </w:p>
        </w:tc>
      </w:tr>
      <w:tr>
        <w:trPr>
          <w:trHeight w:val="353" w:hRule="atLeast"/>
        </w:trPr>
        <w:tc>
          <w:tcPr>
            <w:tcW w:w="1157" w:type="dxa"/>
            <w:vMerge w:val="restart"/>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i/>
                <w:iCs/>
                <w:sz w:val="24"/>
                <w:szCs w:val="24"/>
                <w:lang w:val="ru-RU"/>
              </w:rPr>
              <w:t>SlMLO1</w:t>
            </w:r>
          </w:p>
        </w:tc>
        <w:tc>
          <w:tcPr>
            <w:tcW w:w="1393" w:type="dxa"/>
            <w:vMerge w:val="restart"/>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sz w:val="24"/>
                <w:szCs w:val="24"/>
                <w:lang w:val="ru-RU"/>
              </w:rPr>
              <w:t>Solyc04g049090</w:t>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BsF</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ind w:hanging="0" w:start="0" w:end="34"/>
              <w:jc w:val="both"/>
              <w:rPr>
                <w:rFonts w:ascii="Times New Roman" w:hAnsi="Times New Roman"/>
              </w:rPr>
            </w:pPr>
            <w:r>
              <w:rPr>
                <w:rFonts w:cs="Times New Roman" w:ascii="Times New Roman" w:hAnsi="Times New Roman"/>
                <w:sz w:val="24"/>
                <w:szCs w:val="24"/>
                <w:lang w:val="ru-RU"/>
              </w:rPr>
              <w:t>ATATATGGTCTCGATT</w:t>
            </w:r>
            <w:r>
              <w:rPr>
                <w:rFonts w:cs="Times New Roman" w:ascii="Times New Roman" w:hAnsi="Times New Roman"/>
                <w:b/>
                <w:bCs/>
                <w:sz w:val="24"/>
                <w:szCs w:val="24"/>
                <w:u w:val="single"/>
                <w:shd w:fill="CCCCCC" w:val="clear"/>
                <w:lang w:val="ru-RU"/>
              </w:rPr>
              <w:t>GGGAGACCTCGTTTGGACG</w:t>
            </w:r>
            <w:r>
              <w:rPr>
                <w:rFonts w:cs="Times New Roman" w:ascii="Times New Roman" w:hAnsi="Times New Roman"/>
                <w:b/>
                <w:bCs/>
                <w:i w:val="false"/>
                <w:iCs w:val="false"/>
                <w:strike w:val="false"/>
                <w:dstrike w:val="false"/>
                <w:sz w:val="24"/>
                <w:szCs w:val="24"/>
                <w:u w:val="single"/>
                <w:shd w:fill="CCCCCC" w:val="clear"/>
                <w:lang w:val="ru-RU"/>
              </w:rPr>
              <w:t>T</w:t>
            </w:r>
            <w:r>
              <w:rPr>
                <w:rFonts w:cs="Times New Roman" w:ascii="Times New Roman" w:hAnsi="Times New Roman"/>
                <w:sz w:val="24"/>
                <w:szCs w:val="24"/>
                <w:lang w:val="ru-RU"/>
              </w:rPr>
              <w:t>TT</w:t>
            </w:r>
          </w:p>
        </w:tc>
      </w:tr>
      <w:tr>
        <w:trPr>
          <w:trHeight w:val="353"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F0</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w:t>
            </w:r>
            <w:r>
              <w:rPr>
                <w:rFonts w:cs="Times New Roman" w:ascii="Times New Roman" w:hAnsi="Times New Roman"/>
                <w:b/>
                <w:bCs/>
                <w:sz w:val="24"/>
                <w:szCs w:val="24"/>
                <w:u w:val="single"/>
                <w:shd w:fill="CCCCCC" w:val="clear"/>
                <w:lang w:val="ru-RU"/>
              </w:rPr>
              <w:t>GGGAGACCTCGTTTGGACGT</w:t>
            </w:r>
            <w:r>
              <w:rPr>
                <w:rFonts w:cs="Times New Roman" w:ascii="Times New Roman" w:hAnsi="Times New Roman"/>
                <w:sz w:val="24"/>
                <w:szCs w:val="24"/>
                <w:lang w:val="ru-RU"/>
              </w:rPr>
              <w:t>GTTTTAGAGCTAGAAATAGC</w:t>
            </w:r>
          </w:p>
        </w:tc>
      </w:tr>
      <w:tr>
        <w:trPr>
          <w:trHeight w:val="353"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R0</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AAC</w:t>
            </w:r>
            <w:r>
              <w:rPr>
                <w:rFonts w:cs="Times New Roman" w:ascii="Times New Roman" w:hAnsi="Times New Roman"/>
                <w:b/>
                <w:bCs/>
                <w:i w:val="false"/>
                <w:iCs w:val="false"/>
                <w:sz w:val="24"/>
                <w:szCs w:val="24"/>
                <w:u w:val="single"/>
                <w:shd w:fill="CCCCCC" w:val="clear"/>
                <w:lang w:val="ru-RU"/>
              </w:rPr>
              <w:t>TGAGAGATTCAGATTTGCAA</w:t>
            </w:r>
            <w:r>
              <w:rPr>
                <w:rFonts w:cs="Times New Roman" w:ascii="Times New Roman" w:hAnsi="Times New Roman"/>
                <w:sz w:val="24"/>
                <w:szCs w:val="24"/>
                <w:lang w:val="ru-RU"/>
              </w:rPr>
              <w:t>AATCTCTTAGTCGACTCTAC</w:t>
            </w:r>
          </w:p>
        </w:tc>
      </w:tr>
      <w:tr>
        <w:trPr>
          <w:trHeight w:val="353"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BsR</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ATTATTGGTCTCGAAAC</w:t>
            </w:r>
            <w:r>
              <w:rPr>
                <w:rFonts w:cs="Times New Roman" w:ascii="Times New Roman" w:hAnsi="Times New Roman"/>
                <w:b/>
                <w:bCs/>
                <w:sz w:val="24"/>
                <w:szCs w:val="24"/>
                <w:u w:val="single"/>
                <w:shd w:fill="CCCCCC" w:val="clear"/>
                <w:lang w:val="ru-RU"/>
              </w:rPr>
              <w:t>TGAGAGATTCAGATTTGCAA</w:t>
            </w:r>
            <w:r>
              <w:rPr>
                <w:rFonts w:cs="Times New Roman" w:ascii="Times New Roman" w:hAnsi="Times New Roman"/>
                <w:sz w:val="24"/>
                <w:szCs w:val="24"/>
                <w:lang w:val="ru-RU"/>
              </w:rPr>
              <w:t>AA</w:t>
            </w:r>
          </w:p>
        </w:tc>
      </w:tr>
      <w:tr>
        <w:trPr>
          <w:trHeight w:val="69" w:hRule="atLeast"/>
        </w:trPr>
        <w:tc>
          <w:tcPr>
            <w:tcW w:w="1157" w:type="dxa"/>
            <w:vMerge w:val="restart"/>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i/>
                <w:iCs/>
                <w:sz w:val="24"/>
                <w:szCs w:val="24"/>
                <w:lang w:val="ru-RU"/>
              </w:rPr>
              <w:t>SlMLO5</w:t>
            </w:r>
          </w:p>
        </w:tc>
        <w:tc>
          <w:tcPr>
            <w:tcW w:w="1393" w:type="dxa"/>
            <w:vMerge w:val="restart"/>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sz w:val="24"/>
                <w:szCs w:val="24"/>
                <w:lang w:val="ru-RU"/>
              </w:rPr>
              <w:t>Solyc03g095650</w:t>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BsF</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ATATATGGTCTCGATT</w:t>
            </w:r>
            <w:r>
              <w:rPr>
                <w:rFonts w:cs="Times New Roman" w:ascii="Times New Roman" w:hAnsi="Times New Roman"/>
                <w:b/>
                <w:bCs/>
                <w:sz w:val="24"/>
                <w:szCs w:val="24"/>
                <w:u w:val="single"/>
                <w:shd w:fill="CCCCCC" w:val="clear"/>
                <w:lang w:val="ru-RU"/>
              </w:rPr>
              <w:t>TTCTACATGGATCGAGATATG</w:t>
            </w:r>
            <w:r>
              <w:rPr>
                <w:rFonts w:cs="Times New Roman" w:ascii="Times New Roman" w:hAnsi="Times New Roman"/>
                <w:sz w:val="24"/>
                <w:szCs w:val="24"/>
                <w:lang w:val="ru-RU"/>
              </w:rPr>
              <w:t>TT</w:t>
            </w:r>
          </w:p>
        </w:tc>
      </w:tr>
      <w:tr>
        <w:trPr>
          <w:trHeight w:val="69"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F0</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w:t>
            </w:r>
            <w:r>
              <w:rPr>
                <w:rFonts w:cs="Times New Roman" w:ascii="Times New Roman" w:hAnsi="Times New Roman"/>
                <w:b/>
                <w:bCs/>
                <w:sz w:val="24"/>
                <w:szCs w:val="24"/>
                <w:u w:val="single"/>
                <w:shd w:fill="CCCCCC" w:val="clear"/>
                <w:lang w:val="ru-RU"/>
              </w:rPr>
              <w:t>TTCTACATGGATCGAGATATGT</w:t>
            </w:r>
            <w:r>
              <w:rPr>
                <w:rFonts w:cs="Times New Roman" w:ascii="Times New Roman" w:hAnsi="Times New Roman"/>
                <w:sz w:val="24"/>
                <w:szCs w:val="24"/>
                <w:lang w:val="ru-RU"/>
              </w:rPr>
              <w:t>TTTAGAGCTAGAAATAGC</w:t>
            </w:r>
          </w:p>
        </w:tc>
      </w:tr>
      <w:tr>
        <w:trPr>
          <w:trHeight w:val="69"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R0</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AAC</w:t>
            </w:r>
            <w:r>
              <w:rPr>
                <w:rFonts w:cs="Times New Roman" w:ascii="Times New Roman" w:hAnsi="Times New Roman"/>
                <w:b/>
                <w:bCs/>
                <w:sz w:val="24"/>
                <w:szCs w:val="24"/>
                <w:u w:val="single"/>
                <w:shd w:fill="CCCCCC" w:val="clear"/>
                <w:lang w:val="ru-RU"/>
              </w:rPr>
              <w:t>GTACAACCGTCAAGAATAAG</w:t>
            </w:r>
            <w:r>
              <w:rPr>
                <w:rFonts w:cs="Times New Roman" w:ascii="Times New Roman" w:hAnsi="Times New Roman"/>
                <w:sz w:val="24"/>
                <w:szCs w:val="24"/>
                <w:lang w:val="ru-RU"/>
              </w:rPr>
              <w:t>AATCTCTTAGTCGACTCTAC</w:t>
            </w:r>
          </w:p>
        </w:tc>
      </w:tr>
      <w:tr>
        <w:trPr>
          <w:trHeight w:val="69" w:hRule="atLeast"/>
        </w:trPr>
        <w:tc>
          <w:tcPr>
            <w:tcW w:w="1157"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BsR</w:t>
            </w:r>
          </w:p>
        </w:tc>
        <w:tc>
          <w:tcPr>
            <w:tcW w:w="6381" w:type="dxa"/>
            <w:tcBorders>
              <w:top w:val="single" w:sz="4" w:space="0" w:color="000000"/>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ATTATTGGTCTCGAAAC</w:t>
            </w:r>
            <w:r>
              <w:rPr>
                <w:rFonts w:cs="Times New Roman" w:ascii="Times New Roman" w:hAnsi="Times New Roman"/>
                <w:b/>
                <w:bCs/>
                <w:sz w:val="24"/>
                <w:szCs w:val="24"/>
                <w:u w:val="single"/>
                <w:shd w:fill="CCCCCC" w:val="clear"/>
                <w:lang w:val="ru-RU"/>
              </w:rPr>
              <w:t>GTACAACCGTCAAGAATAAG</w:t>
            </w:r>
            <w:r>
              <w:rPr>
                <w:rFonts w:cs="Times New Roman" w:ascii="Times New Roman" w:hAnsi="Times New Roman"/>
                <w:sz w:val="24"/>
                <w:szCs w:val="24"/>
                <w:lang w:val="ru-RU"/>
              </w:rPr>
              <w:t>AA</w:t>
            </w:r>
          </w:p>
        </w:tc>
      </w:tr>
      <w:tr>
        <w:trPr>
          <w:trHeight w:val="69" w:hRule="atLeast"/>
        </w:trPr>
        <w:tc>
          <w:tcPr>
            <w:tcW w:w="1157" w:type="dxa"/>
            <w:vMerge w:val="restart"/>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i/>
                <w:iCs/>
                <w:sz w:val="24"/>
                <w:szCs w:val="24"/>
                <w:lang w:val="ru-RU"/>
              </w:rPr>
              <w:t>SlMLO8</w:t>
            </w:r>
          </w:p>
        </w:tc>
        <w:tc>
          <w:tcPr>
            <w:tcW w:w="1393" w:type="dxa"/>
            <w:vMerge w:val="restart"/>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bCs/>
                <w:sz w:val="24"/>
                <w:szCs w:val="24"/>
                <w:lang w:val="ru-RU"/>
              </w:rPr>
              <w:t>Solyc11g069220</w:t>
            </w:r>
          </w:p>
          <w:p>
            <w:pPr>
              <w:pStyle w:val="Normal"/>
              <w:spacing w:lineRule="auto" w:line="240"/>
              <w:ind w:firstLine="709" w:start="0" w:end="0"/>
              <w:jc w:val="both"/>
              <w:rPr>
                <w:rFonts w:ascii="Times New Roman" w:hAnsi="Times New Roman" w:cs="Times New Roman"/>
                <w:bCs/>
                <w:sz w:val="24"/>
                <w:szCs w:val="24"/>
                <w:lang w:val="ru-RU"/>
              </w:rPr>
            </w:pPr>
            <w:r>
              <w:rPr>
                <w:rFonts w:cs="Times New Roman" w:ascii="Times New Roman" w:hAnsi="Times New Roman"/>
                <w:bCs/>
                <w:sz w:val="24"/>
                <w:szCs w:val="24"/>
                <w:lang w:val="ru-RU"/>
              </w:rPr>
            </w:r>
          </w:p>
        </w:tc>
        <w:tc>
          <w:tcPr>
            <w:tcW w:w="71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BsF</w:t>
            </w:r>
          </w:p>
        </w:tc>
        <w:tc>
          <w:tcPr>
            <w:tcW w:w="638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ATATATGGTCTCGATT</w:t>
            </w:r>
            <w:r>
              <w:rPr>
                <w:rFonts w:cs="Times New Roman" w:ascii="Times New Roman" w:hAnsi="Times New Roman"/>
                <w:b/>
                <w:bCs/>
                <w:sz w:val="24"/>
                <w:szCs w:val="24"/>
                <w:u w:val="single"/>
                <w:shd w:fill="CCCCCC" w:val="clear"/>
                <w:lang w:val="ru-RU"/>
              </w:rPr>
              <w:t>TATATTTCCGGTGACTTAGAG</w:t>
            </w:r>
            <w:r>
              <w:rPr>
                <w:rFonts w:cs="Times New Roman" w:ascii="Times New Roman" w:hAnsi="Times New Roman"/>
                <w:sz w:val="24"/>
                <w:szCs w:val="24"/>
                <w:lang w:val="ru-RU"/>
              </w:rPr>
              <w:t>TT</w:t>
            </w:r>
          </w:p>
        </w:tc>
      </w:tr>
      <w:tr>
        <w:trPr>
          <w:trHeight w:val="69" w:hRule="atLeast"/>
        </w:trPr>
        <w:tc>
          <w:tcPr>
            <w:tcW w:w="1157"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F0</w:t>
            </w:r>
          </w:p>
        </w:tc>
        <w:tc>
          <w:tcPr>
            <w:tcW w:w="638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T</w:t>
            </w:r>
            <w:r>
              <w:rPr>
                <w:rFonts w:cs="Times New Roman" w:ascii="Times New Roman" w:hAnsi="Times New Roman"/>
                <w:b/>
                <w:bCs/>
                <w:sz w:val="24"/>
                <w:szCs w:val="24"/>
                <w:u w:val="single"/>
                <w:shd w:fill="CCCCCC" w:val="clear"/>
                <w:lang w:val="ru-RU"/>
              </w:rPr>
              <w:t>TATATTTCCGGTGACTTAGAGT</w:t>
            </w:r>
            <w:r>
              <w:rPr>
                <w:rFonts w:cs="Times New Roman" w:ascii="Times New Roman" w:hAnsi="Times New Roman"/>
                <w:sz w:val="24"/>
                <w:szCs w:val="24"/>
                <w:lang w:val="ru-RU"/>
              </w:rPr>
              <w:t>TTTAGAGCTAGAAATAGC</w:t>
            </w:r>
          </w:p>
        </w:tc>
      </w:tr>
      <w:tr>
        <w:trPr>
          <w:trHeight w:val="69" w:hRule="atLeast"/>
        </w:trPr>
        <w:tc>
          <w:tcPr>
            <w:tcW w:w="1157"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R0</w:t>
            </w:r>
          </w:p>
        </w:tc>
        <w:tc>
          <w:tcPr>
            <w:tcW w:w="638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AAC</w:t>
            </w:r>
            <w:r>
              <w:rPr>
                <w:rFonts w:cs="Times New Roman" w:ascii="Times New Roman" w:hAnsi="Times New Roman"/>
                <w:b/>
                <w:bCs/>
                <w:sz w:val="24"/>
                <w:szCs w:val="24"/>
                <w:u w:val="single"/>
                <w:shd w:fill="CCCCCC" w:val="clear"/>
                <w:lang w:val="ru-RU"/>
              </w:rPr>
              <w:t>AAACTCGCCGGACTCCGCCA</w:t>
            </w:r>
            <w:r>
              <w:rPr>
                <w:rFonts w:cs="Times New Roman" w:ascii="Times New Roman" w:hAnsi="Times New Roman"/>
                <w:sz w:val="24"/>
                <w:szCs w:val="24"/>
                <w:lang w:val="ru-RU"/>
              </w:rPr>
              <w:t>AATCTCTTAGTCGACTCTAC</w:t>
            </w:r>
          </w:p>
        </w:tc>
      </w:tr>
      <w:tr>
        <w:trPr>
          <w:trHeight w:val="69" w:hRule="atLeast"/>
        </w:trPr>
        <w:tc>
          <w:tcPr>
            <w:tcW w:w="1157"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1393" w:type="dxa"/>
            <w:vMerge w:val="continue"/>
            <w:tcBorders>
              <w:start w:val="single" w:sz="4" w:space="0" w:color="000000"/>
              <w:bottom w:val="single" w:sz="4" w:space="0" w:color="000000"/>
              <w:end w:val="single" w:sz="4" w:space="0" w:color="000000"/>
            </w:tcBorders>
          </w:tcPr>
          <w:p>
            <w:pPr>
              <w:pStyle w:val="Normal"/>
              <w:rPr>
                <w:rFonts w:ascii="Times New Roman" w:hAnsi="Times New Roman"/>
              </w:rPr>
            </w:pPr>
            <w:r>
              <w:rPr>
                <w:rFonts w:ascii="Times New Roman" w:hAnsi="Times New Roman"/>
              </w:rPr>
            </w:r>
          </w:p>
        </w:tc>
        <w:tc>
          <w:tcPr>
            <w:tcW w:w="71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BsR</w:t>
            </w:r>
          </w:p>
        </w:tc>
        <w:tc>
          <w:tcPr>
            <w:tcW w:w="6381" w:type="dxa"/>
            <w:tcBorders>
              <w:start w:val="single" w:sz="4" w:space="0" w:color="000000"/>
              <w:bottom w:val="single" w:sz="4" w:space="0" w:color="000000"/>
              <w:end w:val="single" w:sz="4" w:space="0" w:color="000000"/>
            </w:tcBorders>
          </w:tcPr>
          <w:p>
            <w:pPr>
              <w:pStyle w:val="Normal"/>
              <w:spacing w:lineRule="auto" w:line="240"/>
              <w:jc w:val="both"/>
              <w:rPr>
                <w:rFonts w:ascii="Times New Roman" w:hAnsi="Times New Roman"/>
              </w:rPr>
            </w:pPr>
            <w:r>
              <w:rPr>
                <w:rFonts w:cs="Times New Roman" w:ascii="Times New Roman" w:hAnsi="Times New Roman"/>
                <w:sz w:val="24"/>
                <w:szCs w:val="24"/>
                <w:lang w:val="ru-RU"/>
              </w:rPr>
              <w:t>ATTATTGGTCTCGAAAC</w:t>
            </w:r>
            <w:r>
              <w:rPr>
                <w:rFonts w:cs="Times New Roman" w:ascii="Times New Roman" w:hAnsi="Times New Roman"/>
                <w:b/>
                <w:bCs/>
                <w:i w:val="false"/>
                <w:iCs w:val="false"/>
                <w:sz w:val="24"/>
                <w:szCs w:val="24"/>
                <w:u w:val="single"/>
                <w:shd w:fill="CCCCCC" w:val="clear"/>
                <w:lang w:val="ru-RU"/>
              </w:rPr>
              <w:t>AAACTCGCCGGACTCCGCCA</w:t>
            </w:r>
            <w:r>
              <w:rPr>
                <w:rFonts w:cs="Times New Roman" w:ascii="Times New Roman" w:hAnsi="Times New Roman"/>
                <w:sz w:val="24"/>
                <w:szCs w:val="24"/>
                <w:lang w:val="ru-RU"/>
              </w:rPr>
              <w:t>AA</w:t>
            </w:r>
          </w:p>
        </w:tc>
      </w:tr>
    </w:tbl>
    <w:p>
      <w:pPr>
        <w:pStyle w:val="Normal"/>
        <w:suppressAutoHyphens w:val="false"/>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Для сборки системы CRISPR/Cas9 использовалась технология GoldenGate [189]. Клонирование GoldenGate основано на использовании эндонуклеаз II типа, способных расщеплять ДНК за пределами своего сайта распознавания что приводит к появлению 5'- или 3'-выступов ДНК, которые могут содержать любой нуклеотид. Таким образом, фермент рестрикции II типа, который генерирует выступающие участки длиной в 4 нуклеотида, может образовывать 256 различных выступающих частей. Эта характеристика используется для клонирования с бесшовными соединениями и для быстрой сборки многочисленных фрагментов ДНК за одну операцию лигирования [222].</w:t>
      </w:r>
    </w:p>
    <w:p>
      <w:pPr>
        <w:pStyle w:val="Normal"/>
        <w:ind w:firstLine="737" w:start="0" w:end="0"/>
        <w:jc w:val="both"/>
        <w:rPr>
          <w:rFonts w:ascii="Times New Roman" w:hAnsi="Times New Roman"/>
        </w:rPr>
      </w:pPr>
      <w:r>
        <w:rPr>
          <w:rFonts w:ascii="Times New Roman" w:hAnsi="Times New Roman"/>
          <w:sz w:val="28"/>
          <w:szCs w:val="28"/>
          <w:lang w:val="ru-RU"/>
        </w:rPr>
        <w:t>На матрице плазмиды pCBC-DT1T2 использовались специфичные праймеры для амплификации последовательности gRNA-scaffold первой направляющей РНК, терминатора U6-26t, промотора U6-29p и двух участков внесения делеции, длиной 19 пар нуклеотидов. Ампликон соответствовал ожидаемому размеру – 626 п.о. (рисунок 11)</w:t>
      </w:r>
    </w:p>
    <w:p>
      <w:pPr>
        <w:pStyle w:val="Normal"/>
        <w:ind w:firstLine="737" w:start="0" w:end="0"/>
        <w:jc w:val="center"/>
        <w:rPr>
          <w:rFonts w:ascii="Times New Roman" w:hAnsi="Times New Roman"/>
        </w:rPr>
      </w:pPr>
      <w:r>
        <w:drawing>
          <wp:anchor behindDoc="0" distT="0" distB="0" distL="0" distR="0" simplePos="0" locked="0" layoutInCell="0" allowOverlap="1" relativeHeight="16">
            <wp:simplePos x="0" y="0"/>
            <wp:positionH relativeFrom="column">
              <wp:posOffset>902335</wp:posOffset>
            </wp:positionH>
            <wp:positionV relativeFrom="paragraph">
              <wp:posOffset>45720</wp:posOffset>
            </wp:positionV>
            <wp:extent cx="3975100" cy="3057525"/>
            <wp:effectExtent l="0" t="0" r="0" b="0"/>
            <wp:wrapTopAndBottom/>
            <wp:docPr id="11" name="Shap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ape2" descr="" title=""/>
                    <pic:cNvPicPr>
                      <a:picLocks noChangeAspect="1" noChangeArrowheads="1"/>
                    </pic:cNvPicPr>
                  </pic:nvPicPr>
                  <pic:blipFill>
                    <a:blip r:embed="rId18"/>
                    <a:stretch>
                      <a:fillRect/>
                    </a:stretch>
                  </pic:blipFill>
                  <pic:spPr bwMode="auto">
                    <a:xfrm>
                      <a:off x="0" y="0"/>
                      <a:ext cx="3975100" cy="3057525"/>
                    </a:xfrm>
                    <a:prstGeom prst="rect">
                      <a:avLst/>
                    </a:prstGeom>
                  </pic:spPr>
                </pic:pic>
              </a:graphicData>
            </a:graphic>
          </wp:anchor>
        </w:drawing>
      </w:r>
      <w:r>
        <w:rPr>
          <w:rFonts w:ascii="Times New Roman" w:hAnsi="Times New Roman"/>
          <w:i w:val="false"/>
          <w:iCs w:val="false"/>
          <w:sz w:val="28"/>
          <w:szCs w:val="28"/>
          <w:lang w:val="ru-RU"/>
        </w:rPr>
        <w:br/>
        <w:t xml:space="preserve">Рисунок 11 – Результаты амплификации плазмиды pCBC-DT1DT2 с конструкциями для редактирования генов: A –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B – </w:t>
      </w:r>
      <w:r>
        <w:rPr>
          <w:rFonts w:ascii="Times New Roman" w:hAnsi="Times New Roman"/>
          <w:i/>
          <w:iCs/>
          <w:sz w:val="28"/>
          <w:szCs w:val="28"/>
          <w:lang w:val="ru-RU"/>
        </w:rPr>
        <w:t>SlMlo5</w:t>
      </w:r>
      <w:r>
        <w:rPr>
          <w:rFonts w:ascii="Times New Roman" w:hAnsi="Times New Roman"/>
          <w:i w:val="false"/>
          <w:iCs w:val="false"/>
          <w:sz w:val="28"/>
          <w:szCs w:val="28"/>
          <w:lang w:val="ru-RU"/>
        </w:rPr>
        <w:t xml:space="preserve">; C – </w:t>
      </w:r>
      <w:r>
        <w:rPr>
          <w:rFonts w:ascii="Times New Roman" w:hAnsi="Times New Roman"/>
          <w:i/>
          <w:iCs/>
          <w:sz w:val="28"/>
          <w:szCs w:val="28"/>
          <w:lang w:val="ru-RU"/>
        </w:rPr>
        <w:t>SlMlo8</w:t>
      </w:r>
      <w:r>
        <w:rPr>
          <w:rFonts w:ascii="Times New Roman" w:hAnsi="Times New Roman"/>
          <w:i w:val="false"/>
          <w:iCs w:val="false"/>
          <w:sz w:val="28"/>
          <w:szCs w:val="28"/>
          <w:lang w:val="ru-RU"/>
        </w:rPr>
        <w:t>. К- - отрицательный контроль, М – маркер размеров 1 kb plus DNA Ladder, Thermo Fisher Scientific.</w:t>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jc w:val="both"/>
        <w:rPr>
          <w:rFonts w:ascii="Times New Roman" w:hAnsi="Times New Roman"/>
          <w:sz w:val="28"/>
          <w:szCs w:val="28"/>
          <w:lang w:val="ru-RU"/>
        </w:rPr>
      </w:pPr>
      <w:r>
        <w:rPr>
          <w:rFonts w:ascii="Times New Roman" w:hAnsi="Times New Roman"/>
          <w:sz w:val="28"/>
          <w:szCs w:val="28"/>
          <w:lang w:val="ru-RU"/>
        </w:rP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4491355" cy="2853055"/>
            <wp:effectExtent l="0" t="0" r="0" b="0"/>
            <wp:wrapTopAndBottom/>
            <wp:docPr id="12" name="Рисунок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 descr="" title=""/>
                    <pic:cNvPicPr>
                      <a:picLocks noChangeAspect="1" noChangeArrowheads="1"/>
                    </pic:cNvPicPr>
                  </pic:nvPicPr>
                  <pic:blipFill>
                    <a:blip r:embed="rId19"/>
                    <a:srcRect l="0" t="0" r="26646" b="0"/>
                    <a:stretch>
                      <a:fillRect/>
                    </a:stretch>
                  </pic:blipFill>
                  <pic:spPr bwMode="auto">
                    <a:xfrm>
                      <a:off x="0" y="0"/>
                      <a:ext cx="4491355" cy="2853055"/>
                    </a:xfrm>
                    <a:prstGeom prst="rect">
                      <a:avLst/>
                    </a:prstGeom>
                  </pic:spPr>
                </pic:pic>
              </a:graphicData>
            </a:graphic>
          </wp:anchor>
        </w:drawing>
      </w:r>
    </w:p>
    <w:p>
      <w:pPr>
        <w:pStyle w:val="Normal"/>
        <w:spacing w:lineRule="auto" w:line="240"/>
        <w:ind w:firstLine="709"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ind w:hanging="0" w:start="0" w:end="0"/>
        <w:jc w:val="center"/>
        <w:rPr>
          <w:rFonts w:ascii="Times New Roman" w:hAnsi="Times New Roman"/>
        </w:rPr>
      </w:pPr>
      <w:r>
        <w:rPr>
          <w:rFonts w:cs="Times New Roman" w:ascii="Times New Roman" w:hAnsi="Times New Roman"/>
          <w:i w:val="false"/>
          <w:iCs w:val="false"/>
          <w:sz w:val="28"/>
          <w:szCs w:val="28"/>
          <w:lang w:val="ru-RU"/>
        </w:rPr>
        <w:t>Рисунок 12  – Схема включения ампликона в плазмиду pKSE401 с указанием праймеров для отбора трансформированных клонов</w:t>
      </w:r>
    </w:p>
    <w:p>
      <w:pPr>
        <w:pStyle w:val="Normal"/>
        <w:spacing w:lineRule="auto" w:line="240"/>
        <w:ind w:hanging="0" w:start="0" w:end="0"/>
        <w:jc w:val="center"/>
        <w:rPr>
          <w:rFonts w:ascii="Times New Roman" w:hAnsi="Times New Roman"/>
        </w:rPr>
      </w:pPr>
      <w:r>
        <w:rPr>
          <w:rFonts w:ascii="Times New Roman" w:hAnsi="Times New Roman"/>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Непосредственное клонирование производилось в плазмиду pKSE401, которая содержит ген селективного антибиотика – канамицин. В этой системе </w:t>
      </w:r>
      <w:r>
        <w:rPr>
          <w:rFonts w:cs="Times New Roman" w:ascii="Times New Roman" w:hAnsi="Times New Roman"/>
          <w:i w:val="false"/>
          <w:iCs w:val="false"/>
          <w:sz w:val="28"/>
          <w:szCs w:val="28"/>
          <w:lang w:val="ru-RU"/>
        </w:rPr>
        <w:t xml:space="preserve"> две направляющие РНК транскрибируются под промоторами арабидопсиса U6-26 и U6-29. Ранее амплифицированная последовательность встраивается в плазмиду между промотором U6-26p и скаффолдом второй направляющей РНК по сайтам рестрикции </w:t>
      </w:r>
      <w:r>
        <w:rPr>
          <w:rFonts w:cs="Times New Roman" w:ascii="Times New Roman" w:hAnsi="Times New Roman"/>
          <w:i/>
          <w:iCs/>
          <w:sz w:val="28"/>
          <w:szCs w:val="28"/>
          <w:lang w:val="ru-RU"/>
        </w:rPr>
        <w:t>Bsa</w:t>
      </w:r>
      <w:r>
        <w:rPr>
          <w:rFonts w:cs="Times New Roman" w:ascii="Times New Roman" w:hAnsi="Times New Roman"/>
          <w:i w:val="false"/>
          <w:iCs w:val="false"/>
          <w:sz w:val="28"/>
          <w:szCs w:val="28"/>
          <w:lang w:val="ru-RU"/>
        </w:rPr>
        <w:t xml:space="preserve">1 (рисунок 12). Результаты рестрикции и лигирования оценивались электрофорезом в 1,5% агарозном ТАЕ-геле. Кассеты экспрессии нРНК и плазмиды объединялись в векторы бинарного переноса ДНК pKSE401 с использованием клонирования Golden Gate. Последовательность, ранее амплифицированная, встраивалась в плазмиду между промотором U6-26p и gRNA-scaffold второй направляющей РНК с использованием реакции рестрикции </w:t>
      </w:r>
      <w:r>
        <w:rPr>
          <w:rFonts w:cs="Times New Roman" w:ascii="Times New Roman" w:hAnsi="Times New Roman"/>
          <w:i/>
          <w:iCs/>
          <w:sz w:val="28"/>
          <w:szCs w:val="28"/>
          <w:lang w:val="ru-RU"/>
        </w:rPr>
        <w:t>Bsa</w:t>
      </w:r>
      <w:r>
        <w:rPr>
          <w:rFonts w:cs="Times New Roman" w:ascii="Times New Roman" w:hAnsi="Times New Roman"/>
          <w:i w:val="false"/>
          <w:iCs w:val="false"/>
          <w:sz w:val="28"/>
          <w:szCs w:val="28"/>
          <w:lang w:val="ru-RU"/>
        </w:rPr>
        <w:t>I.</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Затем штаммы </w:t>
      </w:r>
      <w:r>
        <w:rPr>
          <w:rFonts w:cs="Times New Roman" w:ascii="Times New Roman" w:hAnsi="Times New Roman"/>
          <w:i/>
          <w:iCs/>
          <w:sz w:val="28"/>
          <w:szCs w:val="28"/>
          <w:lang w:val="ru-RU"/>
        </w:rPr>
        <w:t>E.coli</w:t>
      </w:r>
      <w:r>
        <w:rPr>
          <w:rFonts w:cs="Times New Roman" w:ascii="Times New Roman" w:hAnsi="Times New Roman"/>
          <w:i w:val="false"/>
          <w:iCs w:val="false"/>
          <w:sz w:val="28"/>
          <w:szCs w:val="28"/>
          <w:lang w:val="ru-RU"/>
        </w:rPr>
        <w:t xml:space="preserve"> трансформировали плазмидой pKSE401 с полученными конструкциями. Для отбора трансформированных колоний проводилась Colony-PCR – амплификация с использованием непосредственно массы бактериальных клеток без этапа выделения ДНК. Использование специфичных праймеров, захватывающих часть промотора U6-26p и U6-29p, позволило точно установить успешность трансформации (рисунок 14 ). Аналогично, дальнейший перенос бинарного вектора в клетки агробактерий методом электропорации позволил получить материал для трансформации растений.</w:t>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18">
            <wp:simplePos x="0" y="0"/>
            <wp:positionH relativeFrom="column">
              <wp:posOffset>1737995</wp:posOffset>
            </wp:positionH>
            <wp:positionV relativeFrom="paragraph">
              <wp:posOffset>35560</wp:posOffset>
            </wp:positionV>
            <wp:extent cx="2625725" cy="2727325"/>
            <wp:effectExtent l="0" t="0" r="0" b="0"/>
            <wp:wrapTopAndBottom/>
            <wp:docPr id="13" name="Shap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ape3" descr="" title=""/>
                    <pic:cNvPicPr>
                      <a:picLocks noChangeAspect="1" noChangeArrowheads="1"/>
                    </pic:cNvPicPr>
                  </pic:nvPicPr>
                  <pic:blipFill>
                    <a:blip r:embed="rId20"/>
                    <a:stretch>
                      <a:fillRect/>
                    </a:stretch>
                  </pic:blipFill>
                  <pic:spPr bwMode="auto">
                    <a:xfrm>
                      <a:off x="0" y="0"/>
                      <a:ext cx="2625725" cy="2727325"/>
                    </a:xfrm>
                    <a:prstGeom prst="rect">
                      <a:avLst/>
                    </a:prstGeom>
                  </pic:spPr>
                </pic:pic>
              </a:graphicData>
            </a:graphic>
          </wp:anchor>
        </w:drawing>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center"/>
        <w:rPr>
          <w:rFonts w:ascii="Times New Roman" w:hAnsi="Times New Roman"/>
        </w:rPr>
      </w:pPr>
      <w:r>
        <w:rPr>
          <w:rFonts w:ascii="Times New Roman" w:hAnsi="Times New Roman"/>
          <w:i w:val="false"/>
          <w:iCs w:val="false"/>
          <w:sz w:val="28"/>
          <w:szCs w:val="28"/>
          <w:lang w:val="ru-RU"/>
        </w:rPr>
        <w:t xml:space="preserve">Рисунок 13– Результаты Colony PCR клеток </w:t>
      </w:r>
      <w:r>
        <w:rPr>
          <w:rFonts w:ascii="Times New Roman" w:hAnsi="Times New Roman"/>
          <w:i/>
          <w:iCs/>
          <w:sz w:val="28"/>
          <w:szCs w:val="28"/>
          <w:lang w:val="ru-RU"/>
        </w:rPr>
        <w:t xml:space="preserve">E.coli, </w:t>
      </w:r>
      <w:r>
        <w:rPr>
          <w:rFonts w:ascii="Times New Roman" w:hAnsi="Times New Roman"/>
          <w:i w:val="false"/>
          <w:iCs w:val="false"/>
          <w:sz w:val="28"/>
          <w:szCs w:val="28"/>
          <w:lang w:val="ru-RU"/>
        </w:rPr>
        <w:t xml:space="preserve">трансформированных плазмидой pKSE401, несущей конструкции для редактирования генов: 1-2 –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3 – </w:t>
      </w:r>
      <w:r>
        <w:rPr>
          <w:rFonts w:ascii="Times New Roman" w:hAnsi="Times New Roman"/>
          <w:i/>
          <w:iCs/>
          <w:sz w:val="28"/>
          <w:szCs w:val="28"/>
          <w:lang w:val="ru-RU"/>
        </w:rPr>
        <w:t>SlMlo5</w:t>
      </w:r>
      <w:r>
        <w:rPr>
          <w:rFonts w:ascii="Times New Roman" w:hAnsi="Times New Roman"/>
          <w:i w:val="false"/>
          <w:iCs w:val="false"/>
          <w:sz w:val="28"/>
          <w:szCs w:val="28"/>
          <w:lang w:val="ru-RU"/>
        </w:rPr>
        <w:t xml:space="preserve">; 4 – </w:t>
      </w:r>
      <w:r>
        <w:rPr>
          <w:rFonts w:ascii="Times New Roman" w:hAnsi="Times New Roman"/>
          <w:i/>
          <w:iCs/>
          <w:sz w:val="28"/>
          <w:szCs w:val="28"/>
          <w:lang w:val="ru-RU"/>
        </w:rPr>
        <w:t>SlMlo8</w:t>
      </w:r>
      <w:r>
        <w:rPr>
          <w:rFonts w:ascii="Times New Roman" w:hAnsi="Times New Roman"/>
          <w:i w:val="false"/>
          <w:iCs w:val="false"/>
          <w:sz w:val="28"/>
          <w:szCs w:val="28"/>
          <w:lang w:val="ru-RU"/>
        </w:rPr>
        <w:t>; 5 – pKSE401 без вставки; К- –отрицательный контроль; К+ – положительный контроль (плазмида) ;М – маркер размеров 1 kb plus DNA Ladder, Thermo Fisher Scientific.</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both"/>
        <w:rPr>
          <w:rFonts w:cs="Times New Roman"/>
          <w:i w:val="false"/>
          <w:i w:val="false"/>
          <w:iCs w:val="false"/>
          <w:sz w:val="28"/>
          <w:szCs w:val="28"/>
          <w:lang w:val="ru-RU"/>
        </w:rPr>
      </w:pPr>
      <w:r>
        <w:rPr>
          <w:rFonts w:cs="Times New Roman"/>
          <w:i w:val="false"/>
          <w:iCs w:val="false"/>
          <w:sz w:val="28"/>
          <w:szCs w:val="28"/>
          <w:lang w:val="ru-RU"/>
        </w:rPr>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3.2.2 Агробактериальная </w:t>
      </w:r>
      <w:r>
        <w:rPr>
          <w:rFonts w:cs="Times New Roman" w:ascii="Times New Roman" w:hAnsi="Times New Roman"/>
          <w:i w:val="false"/>
          <w:iCs w:val="false"/>
          <w:sz w:val="28"/>
          <w:szCs w:val="28"/>
          <w:u w:val="none"/>
          <w:lang w:val="ru-RU"/>
        </w:rPr>
        <w:t>транформация</w:t>
      </w:r>
      <w:r>
        <w:rPr>
          <w:rFonts w:cs="Times New Roman" w:ascii="Times New Roman" w:hAnsi="Times New Roman"/>
          <w:i w:val="false"/>
          <w:iCs w:val="false"/>
          <w:sz w:val="28"/>
          <w:szCs w:val="28"/>
          <w:lang w:val="ru-RU"/>
        </w:rPr>
        <w:t xml:space="preserve"> растений томата системой CRISPR/Cas9 для редактирования</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При выращивании каллуса после кокультивации растений с агробактериями наблюдалось перерастание бактерий на поверхности среды, которое не позволяло эксплантам развиваться в каллус. Перерост наблюдался на второй день, и постоянное пересаживание на свежую питательную среду не замедляло агробактериальный рост. Цефатоксим и аугментин, используемые в концентрациях от 100 до 500 мг/л, не были эффективны. Методом экспериментального подбора была найдена концентрация 200 мг/л для каждого антибиотика комбинации тиментин-цефатоксим, которая эффективно подавляли агробактериальный рост. В дальнейшем пересадки на свежую питательную среду осуществлялись раз в две недели; формирование каллусов происходило спустя 5-6 недель. Процесс подготовки растений на укоренение включал в себя разделение сформированных органов от каллуса. После образования корней (2-3 день корнеобразования) растения высаживались в горшки с почвой. Полный процесс роста растений отображен на рисунке 14.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Для подтверждения осуществления трансформации и экспрессии компонентов системы CRISPR/Cas9 регенерировавшие растений доращивались до размера ок. 10 см, чтобы обеспечить достаточное количество растительного материала для выделения ДНК, РНК и белков. Стандартная ПЦР была использована для подтверждения вставок Т-ДНК, содержащей гены нРНК и белка Cas9 в геном томата (рисунок 15). </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Экспрессия направляющих РНК определялась методом ОТ-ПЦР с соответствующими праймерами (рисунок 16). Экспрессия белка Cas9 проводилась методом вестерн-блоттинга с использованием специфических антител к белку (рисунок 17). Большой размер белка Cas9 усложняет перенос на мембрану, что приводит к слабой выраженности соответствующего бенда, как видно на рисунке.  Сравнение результатов ПЦР на Т-ДНК показало с анализом экспрессии показало, что компоненты системы CRISPR/Cas9 успешно функционируют во всех растениях, в которых произошла вставка.  Используемый вектор pKSE401 был разработан и оптимизирован для использования в агробактериальной трансформации путем выбора эффективных промоторов для экспресии в двудольных и однодольных, а также модификации триплетного состава гена белка Cas9 для лучшей совместимости с системой трансляции растений [189]. Таким образом, используемый метод обеспечивает высокую эффективность экспрессии компонентов системы редактирования генома. </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Растения, использованные для экспериментов по редактированию генома, показали низкие показатели выживаемости в ходе регенерации с различными комбинациями использованных конструкций (таблица 20). Гибель растений происходила на разных этапах регенерации. На этапе каллуса распространенной причиной был избыточный рост агробактерий на питательной среде, подавляющий развитие культуры клеток растений.  На этапе высадки регенерантов в почву наблюдалось увядание растений вследствие отсутствия адаптации.</w:t>
        <w:br/>
      </w:r>
    </w:p>
    <w:p>
      <w:pPr>
        <w:pStyle w:val="NormalWeb"/>
        <w:suppressAutoHyphens w:val="false"/>
        <w:spacing w:lineRule="auto" w:line="240" w:before="280" w:after="280"/>
        <w:ind w:firstLine="567" w:start="0" w:end="0"/>
        <w:jc w:val="center"/>
        <w:rPr>
          <w:rFonts w:ascii="Times New Roman" w:hAnsi="Times New Roman" w:eastAsia="Times New Roman" w:cs="Times New Roman"/>
          <w:i w:val="false"/>
          <w:i w:val="false"/>
          <w:iCs w:val="false"/>
          <w:color w:val="auto"/>
          <w:kern w:val="0"/>
          <w:sz w:val="28"/>
          <w:szCs w:val="28"/>
          <w:lang w:val="ru-RU" w:eastAsia="ru-RU" w:bidi="ar-SA"/>
        </w:rPr>
      </w:pPr>
      <w:r>
        <w:rPr>
          <w:rFonts w:eastAsia="Times New Roman" w:cs="Times New Roman" w:ascii="Times New Roman" w:hAnsi="Times New Roman"/>
          <w:i w:val="false"/>
          <w:iCs w:val="false"/>
          <w:color w:val="auto"/>
          <w:kern w:val="0"/>
          <w:sz w:val="28"/>
          <w:szCs w:val="28"/>
          <w:lang w:val="ru-RU" w:eastAsia="ru-RU" w:bidi="ar-SA"/>
        </w:rPr>
        <w:drawing>
          <wp:anchor behindDoc="0" distT="0" distB="0" distL="0" distR="0" simplePos="0" locked="0" layoutInCell="0" allowOverlap="1" relativeHeight="12">
            <wp:simplePos x="0" y="0"/>
            <wp:positionH relativeFrom="column">
              <wp:posOffset>1020445</wp:posOffset>
            </wp:positionH>
            <wp:positionV relativeFrom="paragraph">
              <wp:posOffset>149225</wp:posOffset>
            </wp:positionV>
            <wp:extent cx="4322445" cy="4292600"/>
            <wp:effectExtent l="0" t="0" r="0" b="0"/>
            <wp:wrapTopAndBottom/>
            <wp:docPr id="14"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 descr="" title=""/>
                    <pic:cNvPicPr>
                      <a:picLocks noChangeAspect="1" noChangeArrowheads="1"/>
                    </pic:cNvPicPr>
                  </pic:nvPicPr>
                  <pic:blipFill>
                    <a:blip r:embed="rId21"/>
                    <a:stretch>
                      <a:fillRect/>
                    </a:stretch>
                  </pic:blipFill>
                  <pic:spPr bwMode="auto">
                    <a:xfrm>
                      <a:off x="0" y="0"/>
                      <a:ext cx="4322445" cy="4292600"/>
                    </a:xfrm>
                    <a:prstGeom prst="rect">
                      <a:avLst/>
                    </a:prstGeom>
                  </pic:spPr>
                </pic:pic>
              </a:graphicData>
            </a:graphic>
          </wp:anchor>
        </w:drawing>
      </w:r>
    </w:p>
    <w:p>
      <w:pPr>
        <w:pStyle w:val="NormalWeb"/>
        <w:suppressAutoHyphens w:val="false"/>
        <w:spacing w:lineRule="auto" w:line="240" w:before="0" w:after="0"/>
        <w:ind w:firstLine="567" w:start="0" w:end="0"/>
        <w:jc w:val="center"/>
        <w:rPr>
          <w:rFonts w:ascii="Times New Roman" w:hAnsi="Times New Roman"/>
        </w:rPr>
      </w:pPr>
      <w:r>
        <w:rPr>
          <w:rFonts w:eastAsia="Times New Roman" w:cs="Times New Roman" w:ascii="Times New Roman" w:hAnsi="Times New Roman"/>
          <w:i w:val="false"/>
          <w:iCs w:val="false"/>
          <w:color w:val="auto"/>
          <w:kern w:val="0"/>
          <w:sz w:val="28"/>
          <w:szCs w:val="28"/>
          <w:lang w:val="ru-RU" w:eastAsia="ru-RU" w:bidi="ar-SA"/>
        </w:rPr>
        <w:t xml:space="preserve">Рисунок 14 </w:t>
      </w:r>
      <w:r>
        <w:rPr>
          <w:rFonts w:cs="Times New Roman" w:ascii="Times New Roman" w:hAnsi="Times New Roman"/>
          <w:i w:val="false"/>
          <w:iCs w:val="false"/>
          <w:sz w:val="28"/>
          <w:szCs w:val="28"/>
          <w:lang w:val="ru-RU"/>
        </w:rPr>
        <w:t xml:space="preserve">– </w:t>
      </w:r>
      <w:r>
        <w:rPr>
          <w:rFonts w:eastAsia="Times New Roman" w:cs="Times New Roman" w:ascii="Times New Roman" w:hAnsi="Times New Roman"/>
          <w:i w:val="false"/>
          <w:iCs w:val="false"/>
          <w:sz w:val="28"/>
          <w:szCs w:val="28"/>
          <w:lang w:val="ru-RU" w:eastAsia="ru-RU"/>
        </w:rPr>
        <w:t>Последовательные с</w:t>
      </w:r>
      <w:r>
        <w:rPr>
          <w:rFonts w:cs="Times New Roman" w:ascii="Times New Roman" w:hAnsi="Times New Roman"/>
          <w:i w:val="false"/>
          <w:iCs w:val="false"/>
          <w:sz w:val="28"/>
          <w:szCs w:val="28"/>
          <w:lang w:val="ru-RU"/>
        </w:rPr>
        <w:t xml:space="preserve">тадии </w:t>
      </w:r>
      <w:r>
        <w:rPr>
          <w:rFonts w:eastAsia="Times New Roman" w:cs="Times New Roman" w:ascii="Times New Roman" w:hAnsi="Times New Roman"/>
          <w:i w:val="false"/>
          <w:iCs w:val="false"/>
          <w:sz w:val="28"/>
          <w:szCs w:val="28"/>
          <w:lang w:val="ru-RU" w:eastAsia="ru-RU"/>
        </w:rPr>
        <w:t>регенерации</w:t>
      </w:r>
      <w:r>
        <w:rPr>
          <w:rFonts w:cs="Times New Roman" w:ascii="Times New Roman" w:hAnsi="Times New Roman"/>
          <w:i w:val="false"/>
          <w:iCs w:val="false"/>
          <w:sz w:val="28"/>
          <w:szCs w:val="28"/>
          <w:lang w:val="ru-RU"/>
        </w:rPr>
        <w:t xml:space="preserve"> растений томата. А – экспланты на 3-й день после кокультивации с агробактериями, </w:t>
      </w:r>
      <w:r>
        <w:rPr>
          <w:rFonts w:eastAsia="Times New Roman" w:cs="Times New Roman" w:ascii="Times New Roman" w:hAnsi="Times New Roman"/>
          <w:i w:val="false"/>
          <w:iCs w:val="false"/>
          <w:sz w:val="28"/>
          <w:szCs w:val="28"/>
          <w:lang w:val="ru-RU" w:eastAsia="ru-RU"/>
        </w:rPr>
        <w:t>B</w:t>
      </w:r>
      <w:r>
        <w:rPr>
          <w:rFonts w:cs="Times New Roman" w:ascii="Times New Roman" w:hAnsi="Times New Roman"/>
          <w:i w:val="false"/>
          <w:iCs w:val="false"/>
          <w:sz w:val="28"/>
          <w:szCs w:val="28"/>
          <w:lang w:val="ru-RU"/>
        </w:rPr>
        <w:t xml:space="preserve"> – 5 неделя роста, образование каллуса, </w:t>
      </w:r>
      <w:r>
        <w:rPr>
          <w:rFonts w:eastAsia="Times New Roman" w:cs="Times New Roman" w:ascii="Times New Roman" w:hAnsi="Times New Roman"/>
          <w:i w:val="false"/>
          <w:iCs w:val="false"/>
          <w:sz w:val="28"/>
          <w:szCs w:val="28"/>
          <w:lang w:val="ru-RU" w:eastAsia="ru-RU"/>
        </w:rPr>
        <w:t>C</w:t>
      </w:r>
      <w:r>
        <w:rPr>
          <w:rFonts w:cs="Times New Roman" w:ascii="Times New Roman" w:hAnsi="Times New Roman"/>
          <w:i w:val="false"/>
          <w:iCs w:val="false"/>
          <w:sz w:val="28"/>
          <w:szCs w:val="28"/>
          <w:lang w:val="ru-RU"/>
        </w:rPr>
        <w:t xml:space="preserve"> – подготовка растений к укоренению, отделение опухоли от сформированных органов, </w:t>
      </w:r>
      <w:r>
        <w:rPr>
          <w:rFonts w:eastAsia="Times New Roman" w:cs="Times New Roman" w:ascii="Times New Roman" w:hAnsi="Times New Roman"/>
          <w:i w:val="false"/>
          <w:iCs w:val="false"/>
          <w:sz w:val="28"/>
          <w:szCs w:val="28"/>
          <w:lang w:val="ru-RU" w:eastAsia="ru-RU"/>
        </w:rPr>
        <w:t>D</w:t>
      </w:r>
      <w:r>
        <w:rPr>
          <w:rFonts w:cs="Times New Roman" w:ascii="Times New Roman" w:hAnsi="Times New Roman"/>
          <w:i w:val="false"/>
          <w:iCs w:val="false"/>
          <w:sz w:val="28"/>
          <w:szCs w:val="28"/>
          <w:lang w:val="ru-RU"/>
        </w:rPr>
        <w:t xml:space="preserve"> – взрослое растение</w:t>
      </w:r>
      <w:bookmarkStart w:id="7" w:name="_GoBack2"/>
      <w:bookmarkEnd w:id="7"/>
      <w:r>
        <w:rPr>
          <w:rFonts w:cs="Times New Roman" w:ascii="Times New Roman" w:hAnsi="Times New Roman"/>
          <w:i w:val="false"/>
          <w:iCs w:val="false"/>
          <w:sz w:val="28"/>
          <w:szCs w:val="28"/>
          <w:lang w:val="ru-RU"/>
        </w:rPr>
        <w:t xml:space="preserve"> </w:t>
      </w:r>
    </w:p>
    <w:p>
      <w:pPr>
        <w:pStyle w:val="NormalWeb"/>
        <w:suppressAutoHyphens w:val="false"/>
        <w:spacing w:lineRule="auto" w:line="240" w:before="280" w:after="280"/>
        <w:ind w:firstLine="567"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spacing w:lineRule="auto" w:line="240" w:before="0" w:after="0"/>
        <w:ind w:firstLine="737"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drawing>
          <wp:anchor behindDoc="0" distT="0" distB="0" distL="0" distR="0" simplePos="0" locked="0" layoutInCell="0" allowOverlap="1" relativeHeight="19">
            <wp:simplePos x="0" y="0"/>
            <wp:positionH relativeFrom="column">
              <wp:posOffset>1568450</wp:posOffset>
            </wp:positionH>
            <wp:positionV relativeFrom="paragraph">
              <wp:posOffset>-136525</wp:posOffset>
            </wp:positionV>
            <wp:extent cx="3061970" cy="1508125"/>
            <wp:effectExtent l="0" t="0" r="0" b="0"/>
            <wp:wrapTopAndBottom/>
            <wp:docPr id="15" name="Shap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ape4" descr="" title=""/>
                    <pic:cNvPicPr>
                      <a:picLocks noChangeAspect="1" noChangeArrowheads="1"/>
                    </pic:cNvPicPr>
                  </pic:nvPicPr>
                  <pic:blipFill>
                    <a:blip r:embed="rId22"/>
                    <a:stretch>
                      <a:fillRect/>
                    </a:stretch>
                  </pic:blipFill>
                  <pic:spPr bwMode="auto">
                    <a:xfrm>
                      <a:off x="0" y="0"/>
                      <a:ext cx="3061970" cy="1508125"/>
                    </a:xfrm>
                    <a:prstGeom prst="rect">
                      <a:avLst/>
                    </a:prstGeom>
                  </pic:spPr>
                </pic:pic>
              </a:graphicData>
            </a:graphic>
          </wp:anchor>
        </w:drawing>
      </w:r>
    </w:p>
    <w:p>
      <w:pPr>
        <w:pStyle w:val="Normal"/>
        <w:suppressAutoHyphens w:val="false"/>
        <w:spacing w:lineRule="auto" w:line="240" w:before="280" w:after="280"/>
        <w:ind w:firstLine="737" w:start="0" w:end="0"/>
        <w:jc w:val="center"/>
        <w:rPr>
          <w:rFonts w:ascii="Times New Roman" w:hAnsi="Times New Roman"/>
        </w:rPr>
      </w:pPr>
      <w:r>
        <w:rPr>
          <w:rFonts w:cs="Times New Roman" w:ascii="Times New Roman" w:hAnsi="Times New Roman"/>
          <w:i w:val="false"/>
          <w:iCs w:val="false"/>
          <w:sz w:val="28"/>
          <w:szCs w:val="28"/>
          <w:lang w:val="ru-RU"/>
        </w:rPr>
        <w:t>Рисунок 15 – Результаты ПЦР для подтверждения вставок Т-ДНК в геном томата. 1-11 – индивидуальные растения томата с различными конструкциям; К+ – положительный контроль (плазмида); К- – отрицательный контроль (растение томата без трансформации); М – маркер размеров 1 kb plus DNA Ladder, Thermo Fisher Scientific.</w:t>
      </w:r>
    </w:p>
    <w:p>
      <w:pPr>
        <w:pStyle w:val="Normal"/>
        <w:suppressAutoHyphens w:val="false"/>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20">
            <wp:simplePos x="0" y="0"/>
            <wp:positionH relativeFrom="column">
              <wp:posOffset>2423795</wp:posOffset>
            </wp:positionH>
            <wp:positionV relativeFrom="paragraph">
              <wp:posOffset>-32385</wp:posOffset>
            </wp:positionV>
            <wp:extent cx="1129665" cy="2190115"/>
            <wp:effectExtent l="0" t="0" r="0" b="0"/>
            <wp:wrapTopAndBottom/>
            <wp:docPr id="16"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hape5" descr="" title=""/>
                    <pic:cNvPicPr>
                      <a:picLocks noChangeAspect="1" noChangeArrowheads="1"/>
                    </pic:cNvPicPr>
                  </pic:nvPicPr>
                  <pic:blipFill>
                    <a:blip r:embed="rId23"/>
                    <a:stretch>
                      <a:fillRect/>
                    </a:stretch>
                  </pic:blipFill>
                  <pic:spPr bwMode="auto">
                    <a:xfrm>
                      <a:off x="0" y="0"/>
                      <a:ext cx="1129665" cy="2190115"/>
                    </a:xfrm>
                    <a:prstGeom prst="rect">
                      <a:avLst/>
                    </a:prstGeom>
                  </pic:spPr>
                </pic:pic>
              </a:graphicData>
            </a:graphic>
          </wp:anchor>
        </w:drawing>
      </w:r>
    </w:p>
    <w:p>
      <w:pPr>
        <w:pStyle w:val="Normal"/>
        <w:suppressAutoHyphens w:val="false"/>
        <w:ind w:firstLine="737" w:start="0" w:end="0"/>
        <w:jc w:val="center"/>
        <w:rPr>
          <w:rFonts w:ascii="Times New Roman" w:hAnsi="Times New Roman"/>
        </w:rPr>
      </w:pPr>
      <w:r>
        <w:rPr>
          <w:rFonts w:ascii="Times New Roman" w:hAnsi="Times New Roman"/>
          <w:i w:val="false"/>
          <w:iCs w:val="false"/>
          <w:sz w:val="28"/>
          <w:szCs w:val="28"/>
          <w:lang w:val="ru-RU"/>
        </w:rPr>
        <w:t xml:space="preserve">Рисунок 16 – Результат ОТ-ПЦР для выявления экспресии нРНК. 1-2 – индивидуальные растения сорта Лидер с конструкцией </w:t>
      </w:r>
      <w:r>
        <w:rPr>
          <w:rFonts w:ascii="Times New Roman" w:hAnsi="Times New Roman"/>
          <w:i/>
          <w:iCs/>
          <w:sz w:val="28"/>
          <w:szCs w:val="28"/>
          <w:lang w:val="ru-RU"/>
        </w:rPr>
        <w:t>SlMlo1</w:t>
      </w:r>
      <w:r>
        <w:rPr>
          <w:rFonts w:ascii="Times New Roman" w:hAnsi="Times New Roman"/>
          <w:i w:val="false"/>
          <w:iCs w:val="false"/>
          <w:sz w:val="28"/>
          <w:szCs w:val="28"/>
          <w:lang w:val="ru-RU"/>
        </w:rPr>
        <w:t>; К- – отрицательный контроль (растение томата без трансформации); К+</w:t>
      </w:r>
      <w:r>
        <w:rPr>
          <w:rFonts w:cs="Times New Roman" w:ascii="Times New Roman" w:hAnsi="Times New Roman"/>
          <w:i w:val="false"/>
          <w:iCs w:val="false"/>
          <w:sz w:val="28"/>
          <w:szCs w:val="28"/>
          <w:lang w:val="ru-RU"/>
        </w:rPr>
        <w:t xml:space="preserve"> – положительный контроль (транскрипт </w:t>
      </w:r>
      <w:r>
        <w:rPr>
          <w:rFonts w:cs="Times New Roman" w:ascii="Times New Roman" w:hAnsi="Times New Roman"/>
          <w:i/>
          <w:iCs/>
          <w:sz w:val="28"/>
          <w:szCs w:val="28"/>
          <w:lang w:val="ru-RU"/>
        </w:rPr>
        <w:t xml:space="preserve">in vitro </w:t>
      </w:r>
      <w:r>
        <w:rPr>
          <w:rFonts w:cs="Times New Roman" w:ascii="Times New Roman" w:hAnsi="Times New Roman"/>
          <w:i w:val="false"/>
          <w:iCs w:val="false"/>
          <w:sz w:val="28"/>
          <w:szCs w:val="28"/>
          <w:lang w:val="ru-RU"/>
        </w:rPr>
        <w:t>с плазмиды);</w:t>
      </w:r>
      <w:r>
        <w:rPr>
          <w:rFonts w:ascii="Times New Roman" w:hAnsi="Times New Roman"/>
          <w:i w:val="false"/>
          <w:iCs w:val="false"/>
          <w:sz w:val="28"/>
          <w:szCs w:val="28"/>
          <w:lang w:val="ru-RU"/>
        </w:rPr>
        <w:t xml:space="preserve"> М – маркер размеров 1 kb plus DNA Ladder, Thermo Fisher Scientific</w:t>
      </w:r>
    </w:p>
    <w:p>
      <w:pPr>
        <w:pStyle w:val="Normal"/>
        <w:suppressAutoHyphens w:val="false"/>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suppressAutoHyphens w:val="false"/>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21">
            <wp:simplePos x="0" y="0"/>
            <wp:positionH relativeFrom="column">
              <wp:posOffset>1150620</wp:posOffset>
            </wp:positionH>
            <wp:positionV relativeFrom="paragraph">
              <wp:posOffset>113030</wp:posOffset>
            </wp:positionV>
            <wp:extent cx="3926840" cy="1436370"/>
            <wp:effectExtent l="0" t="0" r="0" b="0"/>
            <wp:wrapTopAndBottom/>
            <wp:docPr id="17"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1" descr="" title=""/>
                    <pic:cNvPicPr>
                      <a:picLocks noChangeAspect="1" noChangeArrowheads="1"/>
                    </pic:cNvPicPr>
                  </pic:nvPicPr>
                  <pic:blipFill>
                    <a:blip r:embed="rId24"/>
                    <a:stretch>
                      <a:fillRect/>
                    </a:stretch>
                  </pic:blipFill>
                  <pic:spPr bwMode="auto">
                    <a:xfrm>
                      <a:off x="0" y="0"/>
                      <a:ext cx="3926840" cy="1436370"/>
                    </a:xfrm>
                    <a:prstGeom prst="rect">
                      <a:avLst/>
                    </a:prstGeom>
                  </pic:spPr>
                </pic:pic>
              </a:graphicData>
            </a:graphic>
          </wp:anchor>
        </w:drawing>
      </w:r>
    </w:p>
    <w:p>
      <w:pPr>
        <w:pStyle w:val="Normal"/>
        <w:suppressAutoHyphens w:val="false"/>
        <w:ind w:firstLine="737" w:start="0" w:end="0"/>
        <w:jc w:val="center"/>
        <w:rPr>
          <w:rFonts w:ascii="Times New Roman" w:hAnsi="Times New Roman"/>
        </w:rPr>
      </w:pPr>
      <w:r>
        <w:rPr>
          <w:rFonts w:ascii="Times New Roman" w:hAnsi="Times New Roman"/>
          <w:i w:val="false"/>
          <w:iCs w:val="false"/>
          <w:sz w:val="28"/>
          <w:szCs w:val="28"/>
          <w:lang w:val="ru-RU"/>
        </w:rPr>
        <w:t>Рисунок 17 – Вестерн-блоттинг белка Cas9. 1-4 – индивидуальные трансформированные клоны томата ,5 – отрицательный контроль (растение томата без трансформации). Стрелка указывает на полосу, соответствующую белку Cas9 (160 кДа)</w:t>
      </w:r>
    </w:p>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Кроме того, процесс отбора фрагментов растительного материала для тестирования результатов трансформации травматичен для молодых проростков, что негативно влияет на из выживаемость. Растения, несущие все три конструкции для генов</w:t>
      </w:r>
      <w:r>
        <w:rPr>
          <w:rFonts w:ascii="Times New Roman" w:hAnsi="Times New Roman"/>
          <w:i/>
          <w:iCs/>
          <w:sz w:val="28"/>
          <w:szCs w:val="28"/>
          <w:lang w:val="ru-RU"/>
        </w:rPr>
        <w:t xml:space="preserve"> SlMlo1,5,8</w:t>
      </w:r>
      <w:r>
        <w:rPr>
          <w:rFonts w:ascii="Times New Roman" w:hAnsi="Times New Roman"/>
          <w:i w:val="false"/>
          <w:iCs w:val="false"/>
          <w:sz w:val="28"/>
          <w:szCs w:val="28"/>
          <w:lang w:val="ru-RU"/>
        </w:rPr>
        <w:t xml:space="preserve"> не были получены ни для одного из сортов. Однако, малое число экспериментальных растений, а также различное их количество для вариантов эксперимента (комбинации конструкций) не позволяет сделать статистически значимых выводов о влиянии процесса редактирования генома на жизнеспособность растений.</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Дальнейшее подтверждение результатов редактирования генов потребовало проведения секвенирования регионов ДНК, содержащих в себе участки запланированных делеций с использованием специфических фланкирующих праймеров (таблица 21). Для секвенирования использовалась система Nanopore, </w:t>
        <w:br/>
      </w:r>
      <w:r>
        <w:rPr>
          <w:rFonts w:cs="Times New Roman" w:ascii="Times New Roman" w:hAnsi="Times New Roman"/>
          <w:sz w:val="28"/>
          <w:szCs w:val="28"/>
          <w:lang w:val="ru-RU"/>
        </w:rPr>
        <w:t>Таблица 20 – Общее количество растений томата сортов «Лидер» и «Меруерт» с подтвержденной трансформацией и количество выживших регенерантов.</w:t>
      </w:r>
    </w:p>
    <w:p>
      <w:pPr>
        <w:pStyle w:val="Normal"/>
        <w:spacing w:lineRule="auto" w:line="240" w:before="0" w:after="0"/>
        <w:ind w:hanging="0" w:start="0" w:end="0"/>
        <w:jc w:val="both"/>
        <w:rPr>
          <w:rFonts w:ascii="Times New Roman" w:hAnsi="Times New Roman" w:cs="Times New Roman"/>
          <w:sz w:val="28"/>
          <w:szCs w:val="28"/>
          <w:lang w:val="ru-RU"/>
        </w:rPr>
      </w:pPr>
      <w:r>
        <w:rPr>
          <w:rFonts w:cs="Times New Roman" w:ascii="Times New Roman" w:hAnsi="Times New Roman"/>
          <w:sz w:val="28"/>
          <w:szCs w:val="28"/>
          <w:lang w:val="ru-RU"/>
        </w:rPr>
      </w:r>
    </w:p>
    <w:tbl>
      <w:tblPr>
        <w:tblW w:w="9548" w:type="dxa"/>
        <w:jc w:val="start"/>
        <w:tblInd w:w="39" w:type="dxa"/>
        <w:tblLayout w:type="fixed"/>
        <w:tblCellMar>
          <w:top w:w="0" w:type="dxa"/>
          <w:start w:w="108" w:type="dxa"/>
          <w:bottom w:w="0" w:type="dxa"/>
          <w:end w:w="108" w:type="dxa"/>
        </w:tblCellMar>
      </w:tblPr>
      <w:tblGrid>
        <w:gridCol w:w="2999"/>
        <w:gridCol w:w="1415"/>
        <w:gridCol w:w="1518"/>
        <w:gridCol w:w="1714"/>
        <w:gridCol w:w="1902"/>
      </w:tblGrid>
      <w:tr>
        <w:trPr/>
        <w:tc>
          <w:tcPr>
            <w:tcW w:w="2999" w:type="dxa"/>
            <w:vMerge w:val="restart"/>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Конструкция</w:t>
            </w:r>
          </w:p>
        </w:tc>
        <w:tc>
          <w:tcPr>
            <w:tcW w:w="2933" w:type="dxa"/>
            <w:gridSpan w:val="2"/>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Лидер</w:t>
            </w:r>
          </w:p>
        </w:tc>
        <w:tc>
          <w:tcPr>
            <w:tcW w:w="3616" w:type="dxa"/>
            <w:gridSpan w:val="2"/>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Меруерт</w:t>
            </w:r>
          </w:p>
        </w:tc>
      </w:tr>
      <w:tr>
        <w:trPr/>
        <w:tc>
          <w:tcPr>
            <w:tcW w:w="2999" w:type="dxa"/>
            <w:vMerge w:val="continue"/>
            <w:tcBorders>
              <w:top w:val="single" w:sz="4" w:space="0" w:color="000000"/>
              <w:start w:val="single" w:sz="4" w:space="0" w:color="000000"/>
              <w:bottom w:val="single" w:sz="4" w:space="0" w:color="000000"/>
            </w:tcBorders>
          </w:tcPr>
          <w:p>
            <w:pPr>
              <w:pStyle w:val="Normal"/>
              <w:rPr>
                <w:rFonts w:ascii="Times New Roman" w:hAnsi="Times New Roman"/>
              </w:rPr>
            </w:pPr>
            <w:r>
              <w:rPr>
                <w:rFonts w:ascii="Times New Roman" w:hAnsi="Times New Roman"/>
              </w:rPr>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Всего</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Выжило</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Всего</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Выжило</w:t>
            </w:r>
          </w:p>
        </w:tc>
      </w:tr>
      <w:tr>
        <w:trPr/>
        <w:tc>
          <w:tcPr>
            <w:tcW w:w="2999" w:type="dxa"/>
            <w:tcBorders>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MLO1</w:t>
            </w:r>
          </w:p>
        </w:tc>
        <w:tc>
          <w:tcPr>
            <w:tcW w:w="1415" w:type="dxa"/>
            <w:tcBorders>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11</w:t>
            </w:r>
          </w:p>
        </w:tc>
        <w:tc>
          <w:tcPr>
            <w:tcW w:w="1518" w:type="dxa"/>
            <w:tcBorders>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3</w:t>
            </w:r>
          </w:p>
        </w:tc>
        <w:tc>
          <w:tcPr>
            <w:tcW w:w="1714" w:type="dxa"/>
            <w:tcBorders>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9</w:t>
            </w:r>
          </w:p>
        </w:tc>
        <w:tc>
          <w:tcPr>
            <w:tcW w:w="1902" w:type="dxa"/>
            <w:tcBorders>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4</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MLO5</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10</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12</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3</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MLO8</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13</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5</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15</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4</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MLO1+MLO5</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9</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8</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2</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MLO1+MLO8</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7</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3</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8</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2</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MLO5+MLO8</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11</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4</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10</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3</w:t>
            </w:r>
          </w:p>
        </w:tc>
      </w:tr>
      <w:tr>
        <w:trPr/>
        <w:tc>
          <w:tcPr>
            <w:tcW w:w="2999"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MLO1+MLO5+MLO8</w:t>
            </w:r>
          </w:p>
        </w:tc>
        <w:tc>
          <w:tcPr>
            <w:tcW w:w="1415"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6</w:t>
            </w:r>
          </w:p>
        </w:tc>
        <w:tc>
          <w:tcPr>
            <w:tcW w:w="1518"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0</w:t>
            </w:r>
          </w:p>
        </w:tc>
        <w:tc>
          <w:tcPr>
            <w:tcW w:w="1714" w:type="dxa"/>
            <w:tcBorders>
              <w:top w:val="single" w:sz="4" w:space="0" w:color="000000"/>
              <w:start w:val="single" w:sz="4" w:space="0" w:color="000000"/>
              <w:bottom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7</w:t>
            </w:r>
          </w:p>
        </w:tc>
        <w:tc>
          <w:tcPr>
            <w:tcW w:w="1902" w:type="dxa"/>
            <w:tcBorders>
              <w:top w:val="single" w:sz="4" w:space="0" w:color="000000"/>
              <w:start w:val="single" w:sz="4" w:space="0" w:color="000000"/>
              <w:bottom w:val="single" w:sz="4" w:space="0" w:color="000000"/>
              <w:end w:val="single" w:sz="4" w:space="0" w:color="000000"/>
            </w:tcBorders>
          </w:tcPr>
          <w:p>
            <w:pPr>
              <w:pStyle w:val="Normal"/>
              <w:spacing w:lineRule="auto" w:line="360" w:before="0" w:after="0"/>
              <w:jc w:val="both"/>
              <w:rPr>
                <w:rFonts w:ascii="Times New Roman" w:hAnsi="Times New Roman"/>
              </w:rPr>
            </w:pPr>
            <w:r>
              <w:rPr>
                <w:rFonts w:cs="Times New Roman" w:ascii="Times New Roman" w:hAnsi="Times New Roman"/>
                <w:sz w:val="24"/>
                <w:szCs w:val="24"/>
                <w:lang w:val="ru-RU"/>
              </w:rPr>
              <w:t>0</w:t>
            </w:r>
          </w:p>
        </w:tc>
      </w:tr>
    </w:tbl>
    <w:p>
      <w:pPr>
        <w:pStyle w:val="Normal"/>
        <w:suppressAutoHyphens w:val="false"/>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suppressAutoHyphens w:val="false"/>
        <w:ind w:hanging="0" w:start="0" w:end="0"/>
        <w:jc w:val="both"/>
        <w:rPr>
          <w:rFonts w:ascii="Times New Roman" w:hAnsi="Times New Roman"/>
        </w:rPr>
      </w:pPr>
      <w:r>
        <w:rPr>
          <w:rFonts w:ascii="Times New Roman" w:hAnsi="Times New Roman"/>
          <w:i w:val="false"/>
          <w:iCs w:val="false"/>
          <w:sz w:val="28"/>
          <w:szCs w:val="28"/>
          <w:lang w:val="ru-RU"/>
        </w:rPr>
        <w:t xml:space="preserve">что обеспечило высокой покрытие целевых участков и учет делеций в индивидуальных молекулах ДНК. Секвенирование обеспечило среднее покрытие целевых участков прочтениями не менее 55,5, что обеспечивает достаточную надежность выявления мутаций. Результаты секвенирования показали, что отредактированные растения демонстрируют мозаицизм: только 50-80% прочтений на образе содержат в себе целевую делецию (рисунок 18). По результатам секвенирования успешное редактирование генов было подтверждено в общей сложности у 10 растений сорт Лидер и 9 растений сорта Меруерт. </w:t>
      </w:r>
      <w:r>
        <w:rPr>
          <w:rFonts w:cs="Times New Roman" w:ascii="Times New Roman" w:hAnsi="Times New Roman"/>
          <w:i w:val="false"/>
          <w:iCs w:val="false"/>
          <w:sz w:val="28"/>
          <w:szCs w:val="28"/>
          <w:lang w:val="ru-RU"/>
        </w:rPr>
        <w:t>Всего две линии, 21 и 32 (Меруерт, MLO1 и MLO1+MLO8, соответственно), показали частоту прочтений с мутациями близкую к 100%. Принимая во внимание возможность ошибок прочтения и их выравнивания, мы принимаем данные две линии как полные мутанты (без мозаицизма) и далее рассматриваем их в сравнении с мозаичными линиями (см. ниже).</w:t>
      </w:r>
    </w:p>
    <w:p>
      <w:pPr>
        <w:pStyle w:val="Normal"/>
        <w:suppressAutoHyphens w:val="false"/>
        <w:ind w:firstLine="680" w:start="0" w:end="0"/>
        <w:jc w:val="both"/>
        <w:rPr>
          <w:rFonts w:ascii="Times New Roman" w:hAnsi="Times New Roman"/>
        </w:rPr>
      </w:pPr>
      <w:r>
        <w:rPr>
          <w:rFonts w:ascii="Times New Roman" w:hAnsi="Times New Roman"/>
          <w:i w:val="false"/>
          <w:iCs w:val="false"/>
          <w:sz w:val="28"/>
          <w:szCs w:val="28"/>
          <w:lang w:val="ru-RU"/>
        </w:rPr>
        <w:t>Как показывают исследования, явление мозаицизма неизбежно при редактировании генома растений с доставкой системы CRISPR/Cas посредством агробактериальной трансформации [223]. Альтернативой является использованием культуры протопластов клеток растений что, однако, является более трудоемким и затратным методом [224]. В настоящем исследовании было выявлено, что в большинстве образцов от 20 до 50% прочтений, покрывающих целевые участки, не подверглись делеции. Такой частичный характер редактирования необходимо принимать во внимании при рассмотрении эффектов от делеций на устойчивость. Тем не менее, полученные мозаичные растения могут быть использованы для вторичного культивирования методом каллусов и культуры почек</w:t>
      </w:r>
      <w:r>
        <w:rPr>
          <w:rFonts w:ascii="Times New Roman" w:hAnsi="Times New Roman"/>
          <w:i/>
          <w:iCs/>
          <w:sz w:val="28"/>
          <w:szCs w:val="28"/>
          <w:lang w:val="ru-RU"/>
        </w:rPr>
        <w:t xml:space="preserve"> in vitro</w:t>
      </w:r>
      <w:r>
        <w:rPr>
          <w:rFonts w:ascii="Times New Roman" w:hAnsi="Times New Roman"/>
          <w:i w:val="false"/>
          <w:iCs w:val="false"/>
          <w:sz w:val="28"/>
          <w:szCs w:val="28"/>
          <w:lang w:val="ru-RU"/>
        </w:rPr>
        <w:t xml:space="preserve"> для получения чистых генотипов.</w:t>
      </w:r>
      <w:r>
        <w:rPr>
          <w:rFonts w:ascii="Times New Roman" w:hAnsi="Times New Roman"/>
          <w:i/>
          <w:iCs/>
          <w:sz w:val="28"/>
          <w:szCs w:val="28"/>
          <w:lang w:val="ru-RU"/>
        </w:rPr>
        <w:t xml:space="preserve"> </w:t>
      </w:r>
    </w:p>
    <w:p>
      <w:pPr>
        <w:pStyle w:val="Normal"/>
        <w:suppressAutoHyphens w:val="false"/>
        <w:ind w:firstLine="680" w:start="0" w:end="0"/>
        <w:jc w:val="both"/>
        <w:rPr>
          <w:rFonts w:ascii="Times New Roman" w:hAnsi="Times New Roman"/>
        </w:rPr>
      </w:pPr>
      <w:r>
        <w:rPr>
          <w:rFonts w:cs="Times New Roman" w:ascii="Times New Roman" w:hAnsi="Times New Roman"/>
          <w:i w:val="false"/>
          <w:iCs w:val="false"/>
          <w:sz w:val="28"/>
          <w:szCs w:val="28"/>
          <w:lang w:val="ru-RU"/>
        </w:rPr>
        <w:t>Таким образом, результаты секвенирования показали успешность редактирования генома в рамках выбранной методики, опосредованной агробактериальной трансформацией.</w:t>
      </w:r>
    </w:p>
    <w:p>
      <w:pPr>
        <w:pStyle w:val="Normal"/>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cs="Times New Roman" w:ascii="Times New Roman" w:hAnsi="Times New Roman"/>
          <w:i w:val="false"/>
          <w:iCs w:val="false"/>
          <w:sz w:val="28"/>
          <w:szCs w:val="28"/>
          <w:lang w:val="ru-RU"/>
        </w:rPr>
        <w:t>Таблица 21– Результаты секвенирования целевых регионов редактирования генома томата</w:t>
      </w:r>
    </w:p>
    <w:tbl>
      <w:tblPr>
        <w:tblW w:w="9695" w:type="dxa"/>
        <w:jc w:val="start"/>
        <w:tblInd w:w="-65" w:type="dxa"/>
        <w:tblLayout w:type="fixed"/>
        <w:tblCellMar>
          <w:top w:w="55" w:type="dxa"/>
          <w:start w:w="55" w:type="dxa"/>
          <w:bottom w:w="55" w:type="dxa"/>
          <w:end w:w="55" w:type="dxa"/>
        </w:tblCellMar>
      </w:tblPr>
      <w:tblGrid>
        <w:gridCol w:w="1978"/>
        <w:gridCol w:w="1255"/>
        <w:gridCol w:w="1526"/>
        <w:gridCol w:w="2891"/>
        <w:gridCol w:w="2045"/>
      </w:tblGrid>
      <w:tr>
        <w:trPr>
          <w:trHeight w:val="256" w:hRule="atLeast"/>
        </w:trPr>
        <w:tc>
          <w:tcPr>
            <w:tcW w:w="1978"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cs="Times New Roman" w:ascii="Times New Roman" w:hAnsi="Times New Roman"/>
                <w:i w:val="false"/>
                <w:iCs w:val="false"/>
                <w:sz w:val="22"/>
                <w:szCs w:val="22"/>
              </w:rPr>
              <w:t>Н</w:t>
            </w:r>
            <w:r>
              <w:rPr>
                <w:rFonts w:ascii="Times New Roman" w:hAnsi="Times New Roman"/>
                <w:sz w:val="22"/>
                <w:szCs w:val="22"/>
              </w:rPr>
              <w:t>омер растения</w:t>
            </w:r>
          </w:p>
        </w:tc>
        <w:tc>
          <w:tcPr>
            <w:tcW w:w="1255"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Сорт</w:t>
            </w:r>
          </w:p>
        </w:tc>
        <w:tc>
          <w:tcPr>
            <w:tcW w:w="1526"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Конструкция</w:t>
            </w:r>
          </w:p>
        </w:tc>
        <w:tc>
          <w:tcPr>
            <w:tcW w:w="2891"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 xml:space="preserve">Средняя глубина покрытия </w:t>
            </w:r>
          </w:p>
        </w:tc>
        <w:tc>
          <w:tcPr>
            <w:tcW w:w="2045" w:type="dxa"/>
            <w:tcBorders>
              <w:top w:val="single" w:sz="4" w:space="0" w:color="000000"/>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  делеций</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69.58</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41.55</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117.17</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67.15</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101.27</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4</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82.13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110.03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76.24</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72.7</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79.35</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131.4</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116.56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62.07</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9</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81.49</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115.66*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56.66*</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69.49*</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12</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128.36*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69.94*</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13</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74.44*</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57*</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14</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108.88*</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43.06*</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15</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55.5*</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16</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136.71*</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77.04*</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17</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Лидер</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108.06*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18</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91.06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54.21</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19</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84.93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20</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101.88</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64.93</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21</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107.82</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98.89</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22</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141.25</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23</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69.8</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24</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124.5</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74.05</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25</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92.26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26</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106.05</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66.96</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27</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81.51</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53.68</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28</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108.26</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29</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105.73*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59.37*</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30</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MLO1+MLO5</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101.92*</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31</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131.42*</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71.57*</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32</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MLO1+MLO8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86.53*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97.96*</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33</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130.92*</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34</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113.83*</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r>
        <w:trPr>
          <w:trHeight w:val="256" w:hRule="atLeast"/>
        </w:trPr>
        <w:tc>
          <w:tcPr>
            <w:tcW w:w="1978"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35</w:t>
            </w:r>
          </w:p>
        </w:tc>
        <w:tc>
          <w:tcPr>
            <w:tcW w:w="1255"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Меруерт</w:t>
            </w:r>
          </w:p>
        </w:tc>
        <w:tc>
          <w:tcPr>
            <w:tcW w:w="152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MLO5+MLO8</w:t>
            </w:r>
          </w:p>
        </w:tc>
        <w:tc>
          <w:tcPr>
            <w:tcW w:w="2891"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104.7*</w:t>
            </w:r>
          </w:p>
        </w:tc>
        <w:tc>
          <w:tcPr>
            <w:tcW w:w="2045"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2"/>
                <w:szCs w:val="22"/>
              </w:rPr>
              <w:t>0</w:t>
            </w:r>
          </w:p>
        </w:tc>
      </w:tr>
    </w:tbl>
    <w:p>
      <w:pPr>
        <w:pStyle w:val="Normal"/>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22">
            <wp:simplePos x="0" y="0"/>
            <wp:positionH relativeFrom="column">
              <wp:posOffset>40640</wp:posOffset>
            </wp:positionH>
            <wp:positionV relativeFrom="paragraph">
              <wp:posOffset>57150</wp:posOffset>
            </wp:positionV>
            <wp:extent cx="6046470" cy="3974465"/>
            <wp:effectExtent l="0" t="0" r="0" b="0"/>
            <wp:wrapSquare wrapText="largest"/>
            <wp:docPr id="18"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descr="" title=""/>
                    <pic:cNvPicPr>
                      <a:picLocks noChangeAspect="1" noChangeArrowheads="1"/>
                    </pic:cNvPicPr>
                  </pic:nvPicPr>
                  <pic:blipFill>
                    <a:blip r:embed="rId25"/>
                    <a:stretch>
                      <a:fillRect/>
                    </a:stretch>
                  </pic:blipFill>
                  <pic:spPr bwMode="auto">
                    <a:xfrm>
                      <a:off x="0" y="0"/>
                      <a:ext cx="6046470" cy="3974465"/>
                    </a:xfrm>
                    <a:prstGeom prst="rect">
                      <a:avLst/>
                    </a:prstGeom>
                  </pic:spPr>
                </pic:pic>
              </a:graphicData>
            </a:graphic>
          </wp:anchor>
        </w:drawing>
      </w:r>
    </w:p>
    <w:p>
      <w:pPr>
        <w:pStyle w:val="Normal"/>
        <w:suppressAutoHyphens w:val="false"/>
        <w:ind w:firstLine="737" w:start="0" w:end="0"/>
        <w:jc w:val="center"/>
        <w:rPr>
          <w:rFonts w:ascii="Times New Roman" w:hAnsi="Times New Roman"/>
        </w:rPr>
      </w:pPr>
      <w:r>
        <w:rPr>
          <w:rFonts w:cs="Times New Roman" w:ascii="Times New Roman" w:hAnsi="Times New Roman"/>
          <w:i w:val="false"/>
          <w:iCs w:val="false"/>
          <w:sz w:val="28"/>
          <w:szCs w:val="28"/>
          <w:lang w:val="ru-RU"/>
        </w:rPr>
        <w:t xml:space="preserve">Рисунок 18– Результат секционирования целевых участков секвенирования на примере генов </w:t>
      </w:r>
      <w:r>
        <w:rPr>
          <w:rFonts w:cs="Times New Roman" w:ascii="Times New Roman" w:hAnsi="Times New Roman"/>
          <w:i/>
          <w:iCs/>
          <w:sz w:val="28"/>
          <w:szCs w:val="28"/>
          <w:lang w:val="ru-RU"/>
        </w:rPr>
        <w:t xml:space="preserve">SlMlo1 </w:t>
      </w:r>
      <w:r>
        <w:rPr>
          <w:rFonts w:cs="Times New Roman" w:ascii="Times New Roman" w:hAnsi="Times New Roman"/>
          <w:i w:val="false"/>
          <w:iCs w:val="false"/>
          <w:sz w:val="28"/>
          <w:szCs w:val="28"/>
          <w:lang w:val="ru-RU"/>
        </w:rPr>
        <w:t xml:space="preserve">(верх) и </w:t>
      </w:r>
      <w:r>
        <w:rPr>
          <w:rFonts w:cs="Times New Roman" w:ascii="Times New Roman" w:hAnsi="Times New Roman"/>
          <w:i/>
          <w:iCs/>
          <w:sz w:val="28"/>
          <w:szCs w:val="28"/>
          <w:lang w:val="ru-RU"/>
        </w:rPr>
        <w:t xml:space="preserve">SlMlo8 </w:t>
      </w:r>
      <w:r>
        <w:rPr>
          <w:rFonts w:cs="Times New Roman" w:ascii="Times New Roman" w:hAnsi="Times New Roman"/>
          <w:i w:val="false"/>
          <w:iCs w:val="false"/>
          <w:sz w:val="28"/>
          <w:szCs w:val="28"/>
          <w:lang w:val="ru-RU"/>
        </w:rPr>
        <w:t>(низ)</w:t>
      </w:r>
    </w:p>
    <w:p>
      <w:pPr>
        <w:pStyle w:val="Normal"/>
        <w:suppressAutoHyphens w:val="false"/>
        <w:ind w:firstLine="680"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hanging="0" w:start="0" w:end="0"/>
        <w:jc w:val="both"/>
        <w:rPr>
          <w:rFonts w:ascii="Times New Roman" w:hAnsi="Times New Roman"/>
          <w:lang w:val="ru-RU"/>
        </w:rPr>
      </w:pPr>
      <w:r>
        <w:rPr>
          <w:rFonts w:ascii="Times New Roman" w:hAnsi="Times New Roman"/>
          <w:lang w:val="ru-RU"/>
        </w:rPr>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3.2.3 Идентификация и культивирование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Инокуляция растений томата с отредактированным геномом.</w:t>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Для получения патогена использовали собранный листовой материал томата с типичными симптомами мучнистой росы [225]. Симптомы были успешно воспроизведены на растениях томата, выращенных в лабораторных условиях (рисунок 20). В использованных условиях выращивания первые признаки белых мучнистых пятен появились примерно на 14-16 день после инокуляции; появившиеся симптомы быстро распространялись на близлежащие листья и побеги, приводя к их некрозу. Дальнейшие инокуляции вторично полученным инфекционным материалом демонстрировали аналогичное развитие заболеваний. Микроскопическое исследование проводилось на протяжении всего периода культивирования гриба мучнистой росы </w:t>
      </w:r>
      <w:r>
        <w:rPr>
          <w:rFonts w:cs="Times New Roman" w:ascii="Times New Roman" w:hAnsi="Times New Roman"/>
          <w:i/>
          <w:iCs/>
          <w:sz w:val="28"/>
          <w:szCs w:val="28"/>
          <w:lang w:val="ru-RU"/>
        </w:rPr>
        <w:t>in vivo</w:t>
      </w:r>
      <w:r>
        <w:rPr>
          <w:rFonts w:cs="Times New Roman" w:ascii="Times New Roman" w:hAnsi="Times New Roman"/>
          <w:i w:val="false"/>
          <w:iCs w:val="false"/>
          <w:sz w:val="28"/>
          <w:szCs w:val="28"/>
          <w:lang w:val="ru-RU"/>
        </w:rPr>
        <w:t xml:space="preserve">. Для наблюдения за микроморфологией патогена использовали несколько методов (рисунок 21). Морфология конидий и конидиофоров соответствовала опубликованным данным по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xml:space="preserve"> [42,51]. Из-за относительно низкой влажности среды произрастания конидиофоры формировали отдельные конидии, а не  псевдоцепи [58]. Морфологические свойства были стабильны в течение нескольких инокуляций, что свидетельствует об идентичности инфекционного агента. </w:t>
      </w:r>
    </w:p>
    <w:p>
      <w:pPr>
        <w:pStyle w:val="Normal"/>
        <w:ind w:firstLine="737"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drawing>
          <wp:anchor behindDoc="0" distT="0" distB="0" distL="0" distR="0" simplePos="0" locked="0" layoutInCell="0" allowOverlap="1" relativeHeight="7">
            <wp:simplePos x="0" y="0"/>
            <wp:positionH relativeFrom="column">
              <wp:posOffset>808355</wp:posOffset>
            </wp:positionH>
            <wp:positionV relativeFrom="paragraph">
              <wp:posOffset>170180</wp:posOffset>
            </wp:positionV>
            <wp:extent cx="4603115" cy="3115310"/>
            <wp:effectExtent l="0" t="0" r="0" b="0"/>
            <wp:wrapTopAndBottom/>
            <wp:docPr id="19"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 descr="" title=""/>
                    <pic:cNvPicPr>
                      <a:picLocks noChangeAspect="1" noChangeArrowheads="1"/>
                    </pic:cNvPicPr>
                  </pic:nvPicPr>
                  <pic:blipFill>
                    <a:blip r:embed="rId26"/>
                    <a:stretch>
                      <a:fillRect/>
                    </a:stretch>
                  </pic:blipFill>
                  <pic:spPr bwMode="auto">
                    <a:xfrm>
                      <a:off x="0" y="0"/>
                      <a:ext cx="4603115" cy="3115310"/>
                    </a:xfrm>
                    <a:prstGeom prst="rect">
                      <a:avLst/>
                    </a:prstGeom>
                  </pic:spPr>
                </pic:pic>
              </a:graphicData>
            </a:graphic>
          </wp:anchor>
        </w:drawing>
      </w:r>
    </w:p>
    <w:p>
      <w:pPr>
        <w:pStyle w:val="Normal"/>
        <w:ind w:firstLine="737" w:start="0" w:end="0"/>
        <w:jc w:val="center"/>
        <w:rPr>
          <w:rFonts w:ascii="Times New Roman" w:hAnsi="Times New Roman"/>
        </w:rPr>
      </w:pPr>
      <w:r>
        <w:rPr>
          <w:rFonts w:cs="Times New Roman" w:ascii="Times New Roman" w:hAnsi="Times New Roman"/>
          <w:i w:val="false"/>
          <w:iCs w:val="false"/>
          <w:sz w:val="28"/>
          <w:szCs w:val="28"/>
          <w:lang w:val="ru-RU"/>
        </w:rPr>
        <w:t xml:space="preserve">Рисунок 19–  Культивирование возбудителя мучнистой росы </w:t>
      </w:r>
      <w:r>
        <w:rPr>
          <w:rFonts w:cs="Times New Roman" w:ascii="Times New Roman" w:hAnsi="Times New Roman"/>
          <w:i/>
          <w:iCs/>
          <w:sz w:val="28"/>
          <w:szCs w:val="28"/>
          <w:lang w:val="ru-RU"/>
        </w:rPr>
        <w:t xml:space="preserve">in vivo </w:t>
      </w:r>
      <w:r>
        <w:rPr>
          <w:rFonts w:cs="Times New Roman" w:ascii="Times New Roman" w:hAnsi="Times New Roman"/>
          <w:i w:val="false"/>
          <w:iCs w:val="false"/>
          <w:sz w:val="28"/>
          <w:szCs w:val="28"/>
          <w:lang w:val="ru-RU"/>
        </w:rPr>
        <w:t>на живых растениях томата</w:t>
      </w:r>
    </w:p>
    <w:p>
      <w:pPr>
        <w:pStyle w:val="Normal"/>
        <w:ind w:firstLine="737"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Известная специфичность видов мучнистой росы, растущих на растениях томата, указывает на два вида,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xml:space="preserve"> и </w:t>
      </w:r>
      <w:r>
        <w:rPr>
          <w:rFonts w:cs="Times New Roman" w:ascii="Times New Roman" w:hAnsi="Times New Roman"/>
          <w:i/>
          <w:iCs/>
          <w:sz w:val="28"/>
          <w:szCs w:val="28"/>
          <w:lang w:val="ru-RU"/>
        </w:rPr>
        <w:t>Leveilulla taurica</w:t>
      </w:r>
      <w:r>
        <w:rPr>
          <w:rFonts w:cs="Times New Roman" w:ascii="Times New Roman" w:hAnsi="Times New Roman"/>
          <w:i w:val="false"/>
          <w:iCs w:val="false"/>
          <w:sz w:val="28"/>
          <w:szCs w:val="28"/>
          <w:lang w:val="ru-RU"/>
        </w:rPr>
        <w:t>, как на основных кандидатов для обнаруженного патогенного изолята. Наряду с визуальными симптомами на растениях, морфология гриба позволила предварительно идентифицировать его как</w:t>
      </w:r>
      <w:r>
        <w:rPr>
          <w:rFonts w:cs="Times New Roman" w:ascii="Times New Roman" w:hAnsi="Times New Roman"/>
          <w:i/>
          <w:iCs/>
          <w:sz w:val="28"/>
          <w:szCs w:val="28"/>
          <w:lang w:val="ru-RU"/>
        </w:rPr>
        <w:t xml:space="preserve"> O. neolycopersici</w:t>
      </w:r>
      <w:r>
        <w:rPr>
          <w:rFonts w:cs="Times New Roman" w:ascii="Times New Roman" w:hAnsi="Times New Roman"/>
          <w:i w:val="false"/>
          <w:iCs w:val="false"/>
          <w:sz w:val="28"/>
          <w:szCs w:val="28"/>
          <w:lang w:val="ru-RU"/>
        </w:rPr>
        <w:t xml:space="preserve">, а не </w:t>
      </w:r>
      <w:r>
        <w:rPr>
          <w:rFonts w:cs="Times New Roman" w:ascii="Times New Roman" w:hAnsi="Times New Roman"/>
          <w:i/>
          <w:iCs/>
          <w:sz w:val="28"/>
          <w:szCs w:val="28"/>
          <w:lang w:val="ru-RU"/>
        </w:rPr>
        <w:t>L. taurica</w:t>
      </w:r>
      <w:r>
        <w:rPr>
          <w:rFonts w:cs="Times New Roman" w:ascii="Times New Roman" w:hAnsi="Times New Roman"/>
          <w:i w:val="false"/>
          <w:iCs w:val="false"/>
          <w:sz w:val="28"/>
          <w:szCs w:val="28"/>
          <w:lang w:val="ru-RU"/>
        </w:rPr>
        <w:t xml:space="preserve">. Для дальнейшего подтверждения проводилось ПЦР и секвенирование фрагмента гена рРНК, согласно [29]. Новшеством является использование технологии Nanopore для секвенирования, что позволяет решить проблему присутствия в секвенируемой ДНК посторонних последовательностей (в случае данной работы, гены рРНК томата), так как секвенирование осуществляется на уровне индивидуальных молекул.  Это особенно важно в случае последовательностей генов рРНК и ITS, которые повсеместно распространены среди всех клеточных организмов, поэтому амплификация последовательностей конкретного вида затруднена. Действительно, только 9044 из всех 74 990 полученных прочтений были успешно сопоставлены с референснсным геномом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xml:space="preserve">, и 5693 прочтений были специфичны для целевого региона (гена рРНК, расположенного в скаффолде MCFK01000579 </w:t>
      </w:r>
      <w:r>
        <w:rPr>
          <w:rFonts w:cs="Times New Roman" w:ascii="Times New Roman" w:hAnsi="Times New Roman"/>
          <w:i/>
          <w:iCs/>
          <w:sz w:val="28"/>
          <w:szCs w:val="28"/>
          <w:lang w:val="ru-RU"/>
        </w:rPr>
        <w:t>O. neolycopersici</w:t>
      </w:r>
      <w:r>
        <w:rPr>
          <w:rFonts w:cs="Times New Roman" w:ascii="Times New Roman" w:hAnsi="Times New Roman"/>
          <w:i w:val="false"/>
          <w:iCs w:val="false"/>
          <w:sz w:val="28"/>
          <w:szCs w:val="28"/>
          <w:lang w:val="ru-RU"/>
        </w:rPr>
        <w:t xml:space="preserve">). После картирования и отфильтровывания плохо сопоставленных чтений была получена высококачественная частичная консенсусная последовательность гена рРНК длиной 499 п.н. Результаты BLAST-поиска выявили высокое сходство с видами рода </w:t>
      </w:r>
      <w:r>
        <w:rPr>
          <w:rFonts w:cs="Times New Roman" w:ascii="Times New Roman" w:hAnsi="Times New Roman"/>
          <w:i/>
          <w:iCs/>
          <w:sz w:val="28"/>
          <w:szCs w:val="28"/>
          <w:lang w:val="ru-RU"/>
        </w:rPr>
        <w:t>Erysiphe</w:t>
      </w:r>
      <w:r>
        <w:rPr>
          <w:rFonts w:cs="Times New Roman" w:ascii="Times New Roman" w:hAnsi="Times New Roman"/>
          <w:i w:val="false"/>
          <w:iCs w:val="false"/>
          <w:sz w:val="28"/>
          <w:szCs w:val="28"/>
          <w:lang w:val="ru-RU"/>
        </w:rPr>
        <w:t xml:space="preserve"> (таблица 22). Для всех рассмотренных совпадений (100 лучших совпадений BLAST) покрытие запроса составило 88%, идентичность от 89,6 до 90,06%, E-значение близко к нулю (не превышает 10</w:t>
      </w:r>
      <w:r>
        <w:rPr>
          <w:rFonts w:cs="Times New Roman" w:ascii="Times New Roman" w:hAnsi="Times New Roman"/>
          <w:i w:val="false"/>
          <w:iCs w:val="false"/>
          <w:sz w:val="28"/>
          <w:szCs w:val="28"/>
          <w:vertAlign w:val="superscript"/>
          <w:lang w:val="ru-RU"/>
        </w:rPr>
        <w:t>-147</w:t>
      </w:r>
      <w:r>
        <w:rPr>
          <w:rFonts w:cs="Times New Roman" w:ascii="Times New Roman" w:hAnsi="Times New Roman"/>
          <w:i w:val="false"/>
          <w:iCs w:val="false"/>
          <w:sz w:val="28"/>
          <w:szCs w:val="28"/>
          <w:lang w:val="ru-RU"/>
        </w:rPr>
        <w:t xml:space="preserve">). </w:t>
      </w:r>
    </w:p>
    <w:p>
      <w:pPr>
        <w:pStyle w:val="Normal"/>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hanging="0"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drawing>
          <wp:anchor behindDoc="0" distT="0" distB="0" distL="0" distR="0" simplePos="0" locked="0" layoutInCell="0" allowOverlap="1" relativeHeight="8">
            <wp:simplePos x="0" y="0"/>
            <wp:positionH relativeFrom="column">
              <wp:posOffset>219710</wp:posOffset>
            </wp:positionH>
            <wp:positionV relativeFrom="paragraph">
              <wp:posOffset>281940</wp:posOffset>
            </wp:positionV>
            <wp:extent cx="5512435" cy="4668520"/>
            <wp:effectExtent l="0" t="0" r="0" b="0"/>
            <wp:wrapTopAndBottom/>
            <wp:docPr id="20"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 descr="" title=""/>
                    <pic:cNvPicPr>
                      <a:picLocks noChangeAspect="1" noChangeArrowheads="1"/>
                    </pic:cNvPicPr>
                  </pic:nvPicPr>
                  <pic:blipFill>
                    <a:blip r:embed="rId27"/>
                    <a:stretch>
                      <a:fillRect/>
                    </a:stretch>
                  </pic:blipFill>
                  <pic:spPr bwMode="auto">
                    <a:xfrm>
                      <a:off x="0" y="0"/>
                      <a:ext cx="5512435" cy="4668520"/>
                    </a:xfrm>
                    <a:prstGeom prst="rect">
                      <a:avLst/>
                    </a:prstGeom>
                  </pic:spPr>
                </pic:pic>
              </a:graphicData>
            </a:graphic>
          </wp:anchor>
        </w:drawing>
      </w:r>
    </w:p>
    <w:p>
      <w:pPr>
        <w:pStyle w:val="Normal"/>
        <w:ind w:hanging="0"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hanging="0"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hanging="0" w:start="0" w:end="0"/>
        <w:jc w:val="center"/>
        <w:rPr>
          <w:rFonts w:ascii="Times New Roman" w:hAnsi="Times New Roman"/>
        </w:rPr>
      </w:pPr>
      <w:r>
        <w:rPr>
          <w:rFonts w:cs="Times New Roman" w:ascii="Times New Roman" w:hAnsi="Times New Roman"/>
          <w:i w:val="false"/>
          <w:iCs w:val="false"/>
          <w:sz w:val="28"/>
          <w:szCs w:val="28"/>
          <w:lang w:val="ru-RU"/>
        </w:rPr>
        <w:t xml:space="preserve">Рисунок 20 – Микроморфология </w:t>
      </w:r>
      <w:r>
        <w:rPr>
          <w:rFonts w:cs="Times New Roman" w:ascii="Times New Roman" w:hAnsi="Times New Roman"/>
          <w:i/>
          <w:iCs/>
          <w:sz w:val="28"/>
          <w:szCs w:val="28"/>
          <w:lang w:val="ru-RU"/>
        </w:rPr>
        <w:t>Oidium neolycopersici</w:t>
      </w:r>
      <w:r>
        <w:rPr>
          <w:rFonts w:cs="Times New Roman" w:ascii="Times New Roman" w:hAnsi="Times New Roman"/>
          <w:i w:val="false"/>
          <w:iCs w:val="false"/>
          <w:sz w:val="28"/>
          <w:szCs w:val="28"/>
          <w:lang w:val="ru-RU"/>
        </w:rPr>
        <w:t xml:space="preserve">: A) микроскопическое изображение конидий в темном поле, увеличение ×150; B) микроскопическое изображение конидий в фазовом контрасте, увеличение ×600; C) изолированные гифы, конидиофоры и конидии, зафиксированные нагреванием и окрашенные метиленовым синим, увеличение ×150; D) конидиофоры на поверхности листа, зафиксированные этанолом и окрашенные раствором Гимзы-Романовского, увеличение ×150 </w:t>
      </w:r>
    </w:p>
    <w:p>
      <w:pPr>
        <w:pStyle w:val="Normal"/>
        <w:ind w:hanging="0"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ind w:hanging="0" w:start="0" w:end="0"/>
        <w:jc w:val="both"/>
        <w:rPr>
          <w:rFonts w:ascii="Times New Roman" w:hAnsi="Times New Roman"/>
        </w:rPr>
      </w:pPr>
      <w:r>
        <w:rPr>
          <w:rFonts w:cs="Times New Roman" w:ascii="Times New Roman" w:hAnsi="Times New Roman"/>
          <w:i/>
          <w:iCs/>
          <w:sz w:val="28"/>
          <w:szCs w:val="28"/>
          <w:lang w:val="ru-RU"/>
        </w:rPr>
        <w:t>Erysiphe</w:t>
      </w:r>
      <w:r>
        <w:rPr>
          <w:rFonts w:cs="Times New Roman" w:ascii="Times New Roman" w:hAnsi="Times New Roman"/>
          <w:i w:val="false"/>
          <w:iCs w:val="false"/>
          <w:sz w:val="28"/>
          <w:szCs w:val="28"/>
          <w:lang w:val="ru-RU"/>
        </w:rPr>
        <w:t xml:space="preserve"> [</w:t>
      </w:r>
      <w:r>
        <w:rPr>
          <w:rFonts w:cs="Times New Roman" w:ascii="Times New Roman" w:hAnsi="Times New Roman"/>
          <w:i/>
          <w:iCs/>
          <w:sz w:val="28"/>
          <w:szCs w:val="28"/>
          <w:lang w:val="ru-RU"/>
        </w:rPr>
        <w:t>Oidium</w:t>
      </w:r>
      <w:r>
        <w:rPr>
          <w:rFonts w:cs="Times New Roman" w:ascii="Times New Roman" w:hAnsi="Times New Roman"/>
          <w:i w:val="false"/>
          <w:iCs w:val="false"/>
          <w:sz w:val="28"/>
          <w:szCs w:val="28"/>
          <w:lang w:val="ru-RU"/>
        </w:rPr>
        <w:t xml:space="preserve">] </w:t>
      </w:r>
      <w:r>
        <w:rPr>
          <w:rFonts w:cs="Times New Roman" w:ascii="Times New Roman" w:hAnsi="Times New Roman"/>
          <w:i/>
          <w:iCs/>
          <w:sz w:val="28"/>
          <w:szCs w:val="28"/>
          <w:lang w:val="ru-RU"/>
        </w:rPr>
        <w:t>neolycopersici</w:t>
      </w:r>
      <w:r>
        <w:rPr>
          <w:rFonts w:cs="Times New Roman" w:ascii="Times New Roman" w:hAnsi="Times New Roman"/>
          <w:i w:val="false"/>
          <w:iCs w:val="false"/>
          <w:sz w:val="28"/>
          <w:szCs w:val="28"/>
          <w:lang w:val="ru-RU"/>
        </w:rPr>
        <w:t xml:space="preserve"> и </w:t>
      </w:r>
      <w:r>
        <w:rPr>
          <w:rFonts w:cs="Times New Roman" w:ascii="Times New Roman" w:hAnsi="Times New Roman"/>
          <w:i/>
          <w:iCs/>
          <w:sz w:val="28"/>
          <w:szCs w:val="28"/>
          <w:lang w:val="ru-RU"/>
        </w:rPr>
        <w:t>E. aquilegiae</w:t>
      </w:r>
      <w:r>
        <w:rPr>
          <w:rFonts w:cs="Times New Roman" w:ascii="Times New Roman" w:hAnsi="Times New Roman"/>
          <w:i w:val="false"/>
          <w:iCs w:val="false"/>
          <w:sz w:val="28"/>
          <w:szCs w:val="28"/>
          <w:lang w:val="ru-RU"/>
        </w:rPr>
        <w:t xml:space="preserve">, являются филогенетически близкими виды [226] и имеют наибольшее число совпадений среди идентифицированных последовательностей, наряду с неидентифицированными видами рода </w:t>
      </w:r>
      <w:r>
        <w:rPr>
          <w:rFonts w:cs="Times New Roman" w:ascii="Times New Roman" w:hAnsi="Times New Roman"/>
          <w:i/>
          <w:iCs/>
          <w:sz w:val="28"/>
          <w:szCs w:val="28"/>
          <w:lang w:val="ru-RU"/>
        </w:rPr>
        <w:t>Erysiphe</w:t>
      </w:r>
      <w:r>
        <w:rPr>
          <w:rFonts w:cs="Times New Roman" w:ascii="Times New Roman" w:hAnsi="Times New Roman"/>
          <w:i w:val="false"/>
          <w:iCs w:val="false"/>
          <w:sz w:val="28"/>
          <w:szCs w:val="28"/>
          <w:lang w:val="ru-RU"/>
        </w:rPr>
        <w:t xml:space="preserve">. </w:t>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Хотя конкретная видовая идентификация найденного гриба мучнистой росы по полученной последовательности ДНК не является окончательной, в сочетании с морфологическими данными, симптомами и наблюдениями за растением-хозяином она позволяет с высокой степенью уверенности классифицировать его как </w:t>
      </w:r>
      <w:r>
        <w:rPr>
          <w:rFonts w:cs="Times New Roman" w:ascii="Times New Roman" w:hAnsi="Times New Roman"/>
          <w:i/>
          <w:iCs/>
          <w:sz w:val="28"/>
          <w:szCs w:val="28"/>
          <w:lang w:val="ru-RU"/>
        </w:rPr>
        <w:t>Oidium</w:t>
      </w:r>
      <w:r>
        <w:rPr>
          <w:rFonts w:cs="Times New Roman" w:ascii="Times New Roman" w:hAnsi="Times New Roman"/>
          <w:i w:val="false"/>
          <w:iCs w:val="false"/>
          <w:sz w:val="28"/>
          <w:szCs w:val="28"/>
          <w:lang w:val="ru-RU"/>
        </w:rPr>
        <w:t xml:space="preserve"> [</w:t>
      </w:r>
      <w:r>
        <w:rPr>
          <w:rFonts w:cs="Times New Roman" w:ascii="Times New Roman" w:hAnsi="Times New Roman"/>
          <w:i/>
          <w:iCs/>
          <w:sz w:val="28"/>
          <w:szCs w:val="28"/>
          <w:lang w:val="ru-RU"/>
        </w:rPr>
        <w:t>Erysiphe</w:t>
      </w:r>
      <w:r>
        <w:rPr>
          <w:rFonts w:cs="Times New Roman" w:ascii="Times New Roman" w:hAnsi="Times New Roman"/>
          <w:i w:val="false"/>
          <w:iCs w:val="false"/>
          <w:sz w:val="28"/>
          <w:szCs w:val="28"/>
          <w:lang w:val="ru-RU"/>
        </w:rPr>
        <w:t xml:space="preserve">] </w:t>
      </w:r>
      <w:r>
        <w:rPr>
          <w:rFonts w:cs="Times New Roman" w:ascii="Times New Roman" w:hAnsi="Times New Roman"/>
          <w:i/>
          <w:iCs/>
          <w:sz w:val="28"/>
          <w:szCs w:val="28"/>
          <w:lang w:val="ru-RU"/>
        </w:rPr>
        <w:t>neolycopersici</w:t>
      </w:r>
      <w:r>
        <w:rPr>
          <w:rFonts w:cs="Times New Roman" w:ascii="Times New Roman" w:hAnsi="Times New Roman"/>
          <w:i w:val="false"/>
          <w:iCs w:val="false"/>
          <w:sz w:val="28"/>
          <w:szCs w:val="28"/>
          <w:lang w:val="ru-RU"/>
        </w:rPr>
        <w:t xml:space="preserve">. </w:t>
      </w:r>
    </w:p>
    <w:p>
      <w:pPr>
        <w:pStyle w:val="Normal"/>
        <w:ind w:hanging="0" w:start="0" w:end="0"/>
        <w:jc w:val="both"/>
        <w:rPr>
          <w:rFonts w:ascii="Times New Roman" w:hAnsi="Times New Roman"/>
        </w:rPr>
      </w:pPr>
      <w:r>
        <w:rPr>
          <w:rFonts w:cs="Times New Roman" w:ascii="Times New Roman" w:hAnsi="Times New Roman"/>
          <w:i w:val="false"/>
          <w:iCs w:val="false"/>
          <w:sz w:val="28"/>
          <w:szCs w:val="28"/>
          <w:lang w:val="ru-RU"/>
        </w:rPr>
        <w:t>Таблица 22 – Результата поиска BLAST</w:t>
      </w:r>
    </w:p>
    <w:p>
      <w:pPr>
        <w:pStyle w:val="Normal"/>
        <w:ind w:hanging="0" w:start="0" w:end="0"/>
        <w:jc w:val="both"/>
        <w:rPr>
          <w:rFonts w:ascii="Times New Roman" w:hAnsi="Times New Roman" w:cs="Times New Roman"/>
          <w:i w:val="false"/>
          <w:i w:val="false"/>
          <w:iCs w:val="false"/>
        </w:rPr>
      </w:pPr>
      <w:r>
        <w:rPr>
          <w:rFonts w:cs="Times New Roman" w:ascii="Times New Roman" w:hAnsi="Times New Roman"/>
          <w:i w:val="false"/>
          <w:iCs w:val="false"/>
        </w:rPr>
      </w:r>
    </w:p>
    <w:tbl>
      <w:tblPr>
        <w:tblW w:w="9518" w:type="dxa"/>
        <w:jc w:val="start"/>
        <w:tblInd w:w="33" w:type="dxa"/>
        <w:tblLayout w:type="fixed"/>
        <w:tblCellMar>
          <w:top w:w="55" w:type="dxa"/>
          <w:start w:w="55" w:type="dxa"/>
          <w:bottom w:w="55" w:type="dxa"/>
          <w:end w:w="55" w:type="dxa"/>
        </w:tblCellMar>
      </w:tblPr>
      <w:tblGrid>
        <w:gridCol w:w="3825"/>
        <w:gridCol w:w="2352"/>
        <w:gridCol w:w="3341"/>
      </w:tblGrid>
      <w:tr>
        <w:trPr/>
        <w:tc>
          <w:tcPr>
            <w:tcW w:w="3825"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b w:val="false"/>
                <w:bCs w:val="false"/>
                <w:i w:val="false"/>
                <w:iCs w:val="false"/>
                <w:sz w:val="24"/>
                <w:szCs w:val="24"/>
                <w:lang w:val="ru-RU"/>
              </w:rPr>
              <w:t xml:space="preserve"> </w:t>
            </w:r>
            <w:r>
              <w:rPr>
                <w:rFonts w:ascii="Times New Roman" w:hAnsi="Times New Roman"/>
                <w:b w:val="false"/>
                <w:bCs w:val="false"/>
                <w:i w:val="false"/>
                <w:iCs w:val="false"/>
                <w:sz w:val="24"/>
                <w:szCs w:val="24"/>
                <w:lang w:val="ru-RU"/>
              </w:rPr>
              <w:t>Вид</w:t>
            </w:r>
          </w:p>
        </w:tc>
        <w:tc>
          <w:tcPr>
            <w:tcW w:w="2352"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BLAST score</w:t>
            </w:r>
          </w:p>
        </w:tc>
        <w:tc>
          <w:tcPr>
            <w:tcW w:w="3341" w:type="dxa"/>
            <w:tcBorders>
              <w:top w:val="single" w:sz="4" w:space="0" w:color="000000"/>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Число совпадений</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aquilegiae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11</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 xml:space="preserve">Erysiphe </w:t>
            </w:r>
            <w:r>
              <w:rPr>
                <w:rFonts w:ascii="Times New Roman" w:hAnsi="Times New Roman"/>
                <w:i w:val="false"/>
                <w:iCs w:val="false"/>
                <w:sz w:val="24"/>
                <w:szCs w:val="24"/>
                <w:u w:val="none"/>
                <w:lang w:val="ru-RU"/>
              </w:rPr>
              <w:t>(вид неопознан)</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10</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neolycopersici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8</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chloranthi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sedi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ruyongzhengiana</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begoniae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viburni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540</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lonicerae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540</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caricae-papayae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4</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pseudoviburni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540</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4</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macleayae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3</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takamatsui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3</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 xml:space="preserve">Erysiphe cf aquilegiae </w:t>
            </w:r>
            <w:r>
              <w:rPr>
                <w:rFonts w:ascii="Times New Roman" w:hAnsi="Times New Roman"/>
                <w:i w:val="false"/>
                <w:iCs w:val="false"/>
                <w:sz w:val="24"/>
                <w:szCs w:val="24"/>
                <w:u w:val="none"/>
                <w:lang w:val="ru-RU"/>
              </w:rPr>
              <w:t>HAL 3134 F</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parnassiae</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aquilegiae var ranunculi</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Erysiphe lentaginis</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540</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2</w:t>
            </w:r>
          </w:p>
        </w:tc>
      </w:tr>
      <w:tr>
        <w:trPr/>
        <w:tc>
          <w:tcPr>
            <w:tcW w:w="3825" w:type="dxa"/>
            <w:tcBorders>
              <w:start w:val="single" w:sz="4" w:space="0" w:color="000000"/>
              <w:bottom w:val="single" w:sz="4" w:space="0" w:color="000000"/>
            </w:tcBorders>
            <w:vAlign w:val="bottom"/>
          </w:tcPr>
          <w:p>
            <w:pPr>
              <w:pStyle w:val="Normal"/>
              <w:tabs>
                <w:tab w:val="clear" w:pos="709"/>
              </w:tabs>
              <w:jc w:val="start"/>
              <w:rPr>
                <w:rFonts w:ascii="Times New Roman" w:hAnsi="Times New Roman"/>
              </w:rPr>
            </w:pPr>
            <w:r>
              <w:rPr>
                <w:rFonts w:ascii="Times New Roman" w:hAnsi="Times New Roman"/>
                <w:i/>
                <w:iCs/>
                <w:sz w:val="24"/>
                <w:szCs w:val="24"/>
                <w:u w:val="none"/>
                <w:lang w:val="ru-RU"/>
              </w:rPr>
              <w:t>Pseudoidium pedaliacearum</w:t>
            </w:r>
          </w:p>
        </w:tc>
        <w:tc>
          <w:tcPr>
            <w:tcW w:w="2352"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545</w:t>
            </w:r>
          </w:p>
        </w:tc>
        <w:tc>
          <w:tcPr>
            <w:tcW w:w="3341"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lang w:val="ru-RU"/>
              </w:rPr>
              <w:t>8</w:t>
            </w:r>
          </w:p>
        </w:tc>
      </w:tr>
    </w:tbl>
    <w:p>
      <w:pPr>
        <w:pStyle w:val="Normal"/>
        <w:suppressAutoHyphens w:val="false"/>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Полученные результаты показывают, что технология секвенирования Nanopore подходит для целевой идентификации патогенов растений, однако, несмотря на то, что этот метод может быть использован для смешанных образцов ДНК, он все равно требует более высокой концентрации целевой ДНК по сравнению с любыми побочными компонентами, например, ДНК патогена против ДНК хозяина. Например, для более точной идентификации и характеристики обнаруженного изолята потребуется более точное выделение чистых конидий и их ДНК, а также использование вспомогательных локусов баркодирования [36]. </w:t>
      </w:r>
    </w:p>
    <w:p>
      <w:pPr>
        <w:pStyle w:val="Normal"/>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Несмотря на выявленное присутствие </w:t>
      </w:r>
      <w:r>
        <w:rPr>
          <w:rFonts w:cs="Times New Roman" w:ascii="Times New Roman" w:hAnsi="Times New Roman"/>
          <w:i/>
          <w:iCs/>
          <w:sz w:val="28"/>
          <w:szCs w:val="28"/>
          <w:lang w:val="ru-RU"/>
        </w:rPr>
        <w:t xml:space="preserve">O. neolycopersici </w:t>
      </w:r>
      <w:r>
        <w:rPr>
          <w:rFonts w:cs="Times New Roman" w:ascii="Times New Roman" w:hAnsi="Times New Roman"/>
          <w:b w:val="false"/>
          <w:bCs w:val="false"/>
          <w:i w:val="false"/>
          <w:iCs w:val="false"/>
          <w:sz w:val="28"/>
          <w:szCs w:val="28"/>
          <w:lang w:val="ru-RU"/>
        </w:rPr>
        <w:t xml:space="preserve">в теплицах и открытых полях Казахстана (частные наблюдения), полученные результаты являются первым формальным подтверждением наличия данного патогена на территории республики. Полученная живая культура подтвержденного биотрофного патогена использовалась в дальнейшем для тестирования восприимчивости растений томата с отредактированными генами </w:t>
      </w:r>
      <w:r>
        <w:rPr>
          <w:rFonts w:cs="Times New Roman" w:ascii="Times New Roman" w:hAnsi="Times New Roman"/>
          <w:b w:val="false"/>
          <w:bCs w:val="false"/>
          <w:i/>
          <w:iCs/>
          <w:sz w:val="28"/>
          <w:szCs w:val="28"/>
          <w:lang w:val="ru-RU"/>
        </w:rPr>
        <w:t>SlMlo.</w:t>
      </w:r>
    </w:p>
    <w:p>
      <w:pPr>
        <w:pStyle w:val="Normal"/>
        <w:ind w:firstLine="737" w:start="0" w:end="0"/>
        <w:jc w:val="both"/>
        <w:rPr>
          <w:rFonts w:ascii="Times New Roman" w:hAnsi="Times New Roman"/>
        </w:rPr>
      </w:pPr>
      <w:r>
        <w:rPr>
          <w:rFonts w:cs="Times New Roman" w:ascii="Times New Roman" w:hAnsi="Times New Roman"/>
          <w:b w:val="false"/>
          <w:bCs w:val="false"/>
          <w:i w:val="false"/>
          <w:iCs w:val="false"/>
          <w:sz w:val="28"/>
          <w:szCs w:val="28"/>
          <w:lang w:val="ru-RU"/>
        </w:rPr>
        <w:t xml:space="preserve">Заражение растений томата, полученных в ходе экспериментов, проводилось путем опрыскивания листьев свежей суспензией конидий </w:t>
      </w:r>
      <w:r>
        <w:rPr>
          <w:rFonts w:cs="Times New Roman" w:ascii="Times New Roman" w:hAnsi="Times New Roman"/>
          <w:b w:val="false"/>
          <w:bCs w:val="false"/>
          <w:i/>
          <w:iCs/>
          <w:sz w:val="28"/>
          <w:szCs w:val="28"/>
          <w:lang w:val="ru-RU"/>
        </w:rPr>
        <w:t xml:space="preserve">O. neоlycopersici </w:t>
      </w:r>
      <w:r>
        <w:rPr>
          <w:rFonts w:cs="Times New Roman" w:ascii="Times New Roman" w:hAnsi="Times New Roman"/>
          <w:b w:val="false"/>
          <w:bCs w:val="false"/>
          <w:i w:val="false"/>
          <w:iCs w:val="false"/>
          <w:sz w:val="28"/>
          <w:szCs w:val="28"/>
          <w:lang w:val="ru-RU"/>
        </w:rPr>
        <w:t>в PBS. Для каждой линии было использовано не менее 5 индивидуальных растений, полученных черенкованием исходных регенерантов. Для каждого индивидуального растения инокуляции подвергались 5 листьев достигших в длину 4-5 см. Спустя 15 дней после инокуляции проводился осмотр листьев.  При осмотре принималось во внимание количество порошистых пустул на листе и их диаметр, в среднем по 5 листьям на растение. Здоровые растения соответствующих сортов на сравнимых стадиях развития использовались в качестве контролей. Результаты осмотра приведены в таблице 23. Было проведено сравнение всех растений (линий и повторов), несущих одинаковые мутации и их комбинации (рисунок 21).</w:t>
      </w:r>
    </w:p>
    <w:p>
      <w:pPr>
        <w:pStyle w:val="Normal"/>
        <w:ind w:firstLine="737" w:start="0" w:end="0"/>
        <w:jc w:val="both"/>
        <w:rPr>
          <w:rFonts w:ascii="Times New Roman" w:hAnsi="Times New Roman"/>
        </w:rPr>
      </w:pPr>
      <w:r>
        <w:rPr>
          <w:rFonts w:cs="Times New Roman" w:ascii="Times New Roman" w:hAnsi="Times New Roman"/>
          <w:b w:val="false"/>
          <w:bCs w:val="false"/>
          <w:i w:val="false"/>
          <w:iCs w:val="false"/>
          <w:sz w:val="28"/>
          <w:szCs w:val="28"/>
          <w:lang w:val="ru-RU"/>
        </w:rPr>
        <w:t xml:space="preserve">Для статистической оценки различий групп растений с мутациями в одиночных генах </w:t>
      </w:r>
      <w:r>
        <w:rPr>
          <w:rFonts w:cs="Times New Roman" w:ascii="Times New Roman" w:hAnsi="Times New Roman"/>
          <w:b w:val="false"/>
          <w:bCs w:val="false"/>
          <w:i/>
          <w:iCs/>
          <w:sz w:val="28"/>
          <w:szCs w:val="28"/>
          <w:lang w:val="ru-RU"/>
        </w:rPr>
        <w:t>Mlo</w:t>
      </w:r>
      <w:r>
        <w:rPr>
          <w:rFonts w:cs="Times New Roman" w:ascii="Times New Roman" w:hAnsi="Times New Roman"/>
          <w:b w:val="false"/>
          <w:bCs w:val="false"/>
          <w:i w:val="false"/>
          <w:iCs w:val="false"/>
          <w:sz w:val="28"/>
          <w:szCs w:val="28"/>
          <w:lang w:val="ru-RU"/>
        </w:rPr>
        <w:t xml:space="preserve"> и их комбинациях, в попарных сравнениях между собой и с контрольными растениями, был использован </w:t>
      </w:r>
      <w:r>
        <w:rPr>
          <w:rFonts w:cs="Times New Roman" w:ascii="Times New Roman" w:hAnsi="Times New Roman"/>
          <w:b w:val="false"/>
          <w:bCs w:val="false"/>
          <w:i/>
          <w:iCs/>
          <w:sz w:val="28"/>
          <w:szCs w:val="28"/>
          <w:lang w:val="ru-RU"/>
        </w:rPr>
        <w:t>t-</w:t>
      </w:r>
      <w:r>
        <w:rPr>
          <w:rFonts w:cs="Times New Roman" w:ascii="Times New Roman" w:hAnsi="Times New Roman"/>
          <w:b w:val="false"/>
          <w:bCs w:val="false"/>
          <w:i w:val="false"/>
          <w:iCs w:val="false"/>
          <w:sz w:val="28"/>
          <w:szCs w:val="28"/>
          <w:lang w:val="ru-RU"/>
        </w:rPr>
        <w:t xml:space="preserve">критерий Уэлча как модификация классического </w:t>
      </w:r>
      <w:r>
        <w:rPr>
          <w:rFonts w:cs="Times New Roman" w:ascii="Times New Roman" w:hAnsi="Times New Roman"/>
          <w:b w:val="false"/>
          <w:bCs w:val="false"/>
          <w:i/>
          <w:iCs/>
          <w:sz w:val="28"/>
          <w:szCs w:val="28"/>
          <w:lang w:val="ru-RU"/>
        </w:rPr>
        <w:t>t-</w:t>
      </w:r>
      <w:r>
        <w:rPr>
          <w:rFonts w:cs="Times New Roman" w:ascii="Times New Roman" w:hAnsi="Times New Roman"/>
          <w:b w:val="false"/>
          <w:bCs w:val="false"/>
          <w:i w:val="false"/>
          <w:iCs w:val="false"/>
          <w:sz w:val="28"/>
          <w:szCs w:val="28"/>
          <w:lang w:val="ru-RU"/>
        </w:rPr>
        <w:t xml:space="preserve">теста Стьюдента с более широкой применимостью вне зависимости от разницы дисперсий сравниваемых групп (таблица 24). Для оценки значимости сравнений были выбраны два порога (0,05 и 0,001), которые далее были скорректированы по Бонферрони (21 сравнение по группам по 2 параметрам). </w:t>
      </w:r>
    </w:p>
    <w:p>
      <w:pPr>
        <w:pStyle w:val="Normal"/>
        <w:suppressAutoHyphens w:val="false"/>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hanging="0"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drawing>
          <wp:anchor behindDoc="0" distT="0" distB="0" distL="0" distR="0" simplePos="0" locked="0" layoutInCell="0" allowOverlap="1" relativeHeight="23">
            <wp:simplePos x="0" y="0"/>
            <wp:positionH relativeFrom="column">
              <wp:posOffset>584835</wp:posOffset>
            </wp:positionH>
            <wp:positionV relativeFrom="paragraph">
              <wp:posOffset>19050</wp:posOffset>
            </wp:positionV>
            <wp:extent cx="5100955" cy="4812030"/>
            <wp:effectExtent l="0" t="0" r="0" b="0"/>
            <wp:wrapTopAndBottom/>
            <wp:docPr id="21"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hape1" descr="" title=""/>
                    <pic:cNvPicPr>
                      <a:picLocks noChangeAspect="1" noChangeArrowheads="1"/>
                    </pic:cNvPicPr>
                  </pic:nvPicPr>
                  <pic:blipFill>
                    <a:blip r:embed="rId28"/>
                    <a:stretch>
                      <a:fillRect/>
                    </a:stretch>
                  </pic:blipFill>
                  <pic:spPr bwMode="auto">
                    <a:xfrm>
                      <a:off x="0" y="0"/>
                      <a:ext cx="5100955" cy="4812030"/>
                    </a:xfrm>
                    <a:prstGeom prst="rect">
                      <a:avLst/>
                    </a:prstGeom>
                  </pic:spPr>
                </pic:pic>
              </a:graphicData>
            </a:graphic>
          </wp:anchor>
        </w:drawing>
      </w:r>
    </w:p>
    <w:p>
      <w:pPr>
        <w:pStyle w:val="Normal"/>
        <w:suppressAutoHyphens w:val="false"/>
        <w:ind w:hanging="0" w:start="0" w:end="0"/>
        <w:jc w:val="center"/>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hanging="0" w:start="0" w:end="0"/>
        <w:jc w:val="center"/>
        <w:rPr>
          <w:rFonts w:ascii="Times New Roman" w:hAnsi="Times New Roman"/>
        </w:rPr>
      </w:pPr>
      <w:r>
        <w:rPr>
          <w:rFonts w:cs="Times New Roman" w:ascii="Times New Roman" w:hAnsi="Times New Roman"/>
          <w:i w:val="false"/>
          <w:iCs w:val="false"/>
          <w:sz w:val="28"/>
          <w:szCs w:val="28"/>
          <w:lang w:val="ru-RU"/>
        </w:rPr>
        <w:t xml:space="preserve">Рисунок 21 – Распределение параметров заражения мучнистой росой среди групп растений томата с мутациями в генах </w:t>
      </w:r>
      <w:r>
        <w:rPr>
          <w:rFonts w:cs="Times New Roman" w:ascii="Times New Roman" w:hAnsi="Times New Roman"/>
          <w:i/>
          <w:iCs/>
          <w:sz w:val="28"/>
          <w:szCs w:val="28"/>
          <w:lang w:val="ru-RU"/>
        </w:rPr>
        <w:t>Mlo</w:t>
      </w:r>
    </w:p>
    <w:p>
      <w:pPr>
        <w:pStyle w:val="Normal"/>
        <w:ind w:hanging="0" w:start="0" w:end="0"/>
        <w:jc w:val="both"/>
        <w:rPr>
          <w:rFonts w:ascii="Times New Roman" w:hAnsi="Times New Roman"/>
        </w:rPr>
      </w:pPr>
      <w:r>
        <w:rPr>
          <w:rFonts w:cs="Times New Roman" w:ascii="Times New Roman" w:hAnsi="Times New Roman"/>
          <w:i w:val="false"/>
          <w:iCs w:val="false"/>
          <w:sz w:val="28"/>
          <w:szCs w:val="28"/>
          <w:lang w:val="ru-RU"/>
        </w:rPr>
        <w:t xml:space="preserve">Таблица 23– Результаты заражения листьев томата с отредактированными генами </w:t>
      </w:r>
      <w:r>
        <w:rPr>
          <w:rFonts w:cs="Times New Roman" w:ascii="Times New Roman" w:hAnsi="Times New Roman"/>
          <w:i/>
          <w:iCs/>
          <w:sz w:val="28"/>
          <w:szCs w:val="28"/>
          <w:lang w:val="ru-RU"/>
        </w:rPr>
        <w:t>SlMLO</w:t>
      </w:r>
      <w:r>
        <w:rPr>
          <w:rFonts w:cs="Times New Roman" w:ascii="Times New Roman" w:hAnsi="Times New Roman"/>
          <w:i w:val="false"/>
          <w:iCs w:val="false"/>
          <w:sz w:val="28"/>
          <w:szCs w:val="28"/>
          <w:lang w:val="ru-RU"/>
        </w:rPr>
        <w:t xml:space="preserve"> конидиями </w:t>
      </w:r>
      <w:r>
        <w:rPr>
          <w:rFonts w:cs="Times New Roman" w:ascii="Times New Roman" w:hAnsi="Times New Roman"/>
          <w:i/>
          <w:iCs/>
          <w:sz w:val="28"/>
          <w:szCs w:val="28"/>
          <w:lang w:val="ru-RU"/>
        </w:rPr>
        <w:t>O. neolycopersici</w:t>
      </w:r>
    </w:p>
    <w:p>
      <w:pPr>
        <w:pStyle w:val="Normal"/>
        <w:ind w:hanging="0" w:start="0" w:end="0"/>
        <w:jc w:val="both"/>
        <w:rPr>
          <w:rFonts w:ascii="Times New Roman" w:hAnsi="Times New Roman" w:cs="Times New Roman"/>
          <w:i/>
          <w:i/>
          <w:iCs/>
          <w:sz w:val="28"/>
          <w:szCs w:val="28"/>
          <w:lang w:val="ru-RU"/>
        </w:rPr>
      </w:pPr>
      <w:r>
        <w:rPr>
          <w:rFonts w:cs="Times New Roman" w:ascii="Times New Roman" w:hAnsi="Times New Roman"/>
          <w:i/>
          <w:iCs/>
          <w:sz w:val="28"/>
          <w:szCs w:val="28"/>
          <w:lang w:val="ru-RU"/>
        </w:rPr>
      </w:r>
    </w:p>
    <w:tbl>
      <w:tblPr>
        <w:tblW w:w="9618" w:type="dxa"/>
        <w:jc w:val="start"/>
        <w:tblInd w:w="12" w:type="dxa"/>
        <w:tblLayout w:type="fixed"/>
        <w:tblCellMar>
          <w:top w:w="55" w:type="dxa"/>
          <w:start w:w="55" w:type="dxa"/>
          <w:bottom w:w="55" w:type="dxa"/>
          <w:end w:w="55" w:type="dxa"/>
        </w:tblCellMar>
      </w:tblPr>
      <w:tblGrid>
        <w:gridCol w:w="1413"/>
        <w:gridCol w:w="1309"/>
        <w:gridCol w:w="1873"/>
        <w:gridCol w:w="1976"/>
        <w:gridCol w:w="3047"/>
      </w:tblGrid>
      <w:tr>
        <w:trPr>
          <w:trHeight w:val="462" w:hRule="atLeast"/>
        </w:trPr>
        <w:tc>
          <w:tcPr>
            <w:tcW w:w="1413"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i w:val="false"/>
                <w:iCs w:val="false"/>
                <w:sz w:val="24"/>
                <w:szCs w:val="24"/>
              </w:rPr>
              <w:t>Н</w:t>
            </w:r>
            <w:r>
              <w:rPr>
                <w:rFonts w:ascii="Times New Roman" w:hAnsi="Times New Roman"/>
                <w:sz w:val="24"/>
                <w:szCs w:val="24"/>
              </w:rPr>
              <w:t>омер линии</w:t>
            </w:r>
          </w:p>
        </w:tc>
        <w:tc>
          <w:tcPr>
            <w:tcW w:w="1309"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Сорт</w:t>
            </w:r>
          </w:p>
        </w:tc>
        <w:tc>
          <w:tcPr>
            <w:tcW w:w="1873"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Конструкция</w:t>
            </w:r>
          </w:p>
        </w:tc>
        <w:tc>
          <w:tcPr>
            <w:tcW w:w="1976" w:type="dxa"/>
            <w:tcBorders>
              <w:top w:val="single" w:sz="4" w:space="0" w:color="000000"/>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Кол-во пустул, среднее по 5 листьям</w:t>
            </w:r>
          </w:p>
        </w:tc>
        <w:tc>
          <w:tcPr>
            <w:tcW w:w="3047" w:type="dxa"/>
            <w:tcBorders>
              <w:top w:val="single" w:sz="4" w:space="0" w:color="000000"/>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Диаметр пустул, среднее по 5 листьям, мм</w:t>
            </w:r>
          </w:p>
        </w:tc>
      </w:tr>
      <w:tr>
        <w:trPr>
          <w:trHeight w:val="317"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Контроль</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7,6</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6,7</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0,4</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2,6</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5</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4,0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8,1</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8,4</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6,2</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8</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6,9</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8,3</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10</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MLO1+MLO5</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1,1</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3,0</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12</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13</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0,9</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1,9</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14</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MLO5+MLO8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0,2</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2,0</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16</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Лидер</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MLO5+MLO8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5,4</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3,2</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Контроль</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6,9</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5,4</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18</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0,6</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3,2</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20</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21</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0,1</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1,5</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24</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MLO5</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9,1</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4,9</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26</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6,2</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6,4</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27</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5,3</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6,1</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29</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MLO1+MLO5</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31</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0,25</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2,1</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32</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MLO1+MLO8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0</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33</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MLO5+MLO8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9,1</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3,2</w:t>
            </w:r>
          </w:p>
        </w:tc>
      </w:tr>
      <w:tr>
        <w:trPr>
          <w:trHeight w:val="256" w:hRule="atLeast"/>
        </w:trPr>
        <w:tc>
          <w:tcPr>
            <w:tcW w:w="141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34</w:t>
            </w:r>
          </w:p>
        </w:tc>
        <w:tc>
          <w:tcPr>
            <w:tcW w:w="1309"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Меруерт</w:t>
            </w:r>
          </w:p>
        </w:tc>
        <w:tc>
          <w:tcPr>
            <w:tcW w:w="1873"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MLO5+MLO8</w:t>
            </w:r>
          </w:p>
        </w:tc>
        <w:tc>
          <w:tcPr>
            <w:tcW w:w="1976" w:type="dxa"/>
            <w:tcBorders>
              <w:start w:val="single" w:sz="4" w:space="0" w:color="000000"/>
              <w:bottom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6,3</w:t>
            </w:r>
          </w:p>
        </w:tc>
        <w:tc>
          <w:tcPr>
            <w:tcW w:w="3047" w:type="dxa"/>
            <w:tcBorders>
              <w:start w:val="single" w:sz="4" w:space="0" w:color="000000"/>
              <w:bottom w:val="single" w:sz="4" w:space="0" w:color="000000"/>
              <w:end w:val="single" w:sz="4" w:space="0" w:color="000000"/>
            </w:tcBorders>
            <w:vAlign w:val="bottom"/>
          </w:tcPr>
          <w:p>
            <w:pPr>
              <w:pStyle w:val="Normal"/>
              <w:tabs>
                <w:tab w:val="clear" w:pos="709"/>
              </w:tabs>
              <w:jc w:val="center"/>
              <w:rPr>
                <w:rFonts w:ascii="Times New Roman" w:hAnsi="Times New Roman"/>
              </w:rPr>
            </w:pPr>
            <w:r>
              <w:rPr>
                <w:rFonts w:ascii="Times New Roman" w:hAnsi="Times New Roman"/>
                <w:sz w:val="24"/>
                <w:szCs w:val="24"/>
              </w:rPr>
              <w:t>3,0</w:t>
            </w:r>
          </w:p>
        </w:tc>
      </w:tr>
    </w:tbl>
    <w:p>
      <w:pPr>
        <w:pStyle w:val="Normal"/>
        <w:suppressAutoHyphens w:val="false"/>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Для контрольных растений, как и ожидалось, наблюдалось активное развитие инфекции. Растения обоих сортов с модифицированным геном </w:t>
      </w:r>
      <w:r>
        <w:rPr>
          <w:rFonts w:cs="Times New Roman" w:ascii="Times New Roman" w:hAnsi="Times New Roman"/>
          <w:i/>
          <w:iCs/>
          <w:sz w:val="28"/>
          <w:szCs w:val="28"/>
          <w:lang w:val="ru-RU"/>
        </w:rPr>
        <w:t xml:space="preserve">SlMlo1 </w:t>
      </w:r>
      <w:r>
        <w:rPr>
          <w:rFonts w:cs="Times New Roman" w:ascii="Times New Roman" w:hAnsi="Times New Roman"/>
          <w:i w:val="false"/>
          <w:iCs w:val="false"/>
          <w:sz w:val="28"/>
          <w:szCs w:val="28"/>
          <w:lang w:val="ru-RU"/>
        </w:rPr>
        <w:t xml:space="preserve">показали значительное подавление развития патогена (рисунок 21), так, из двух линий сорта Лидер с делецией </w:t>
      </w:r>
      <w:r>
        <w:rPr>
          <w:rFonts w:cs="Times New Roman" w:ascii="Times New Roman" w:hAnsi="Times New Roman"/>
          <w:i/>
          <w:iCs/>
          <w:sz w:val="28"/>
          <w:szCs w:val="28"/>
          <w:lang w:val="ru-RU"/>
        </w:rPr>
        <w:t>SlMlo1</w:t>
      </w:r>
      <w:r>
        <w:rPr>
          <w:rFonts w:cs="Times New Roman" w:ascii="Times New Roman" w:hAnsi="Times New Roman"/>
          <w:i w:val="false"/>
          <w:iCs w:val="false"/>
          <w:sz w:val="28"/>
          <w:szCs w:val="28"/>
          <w:lang w:val="ru-RU"/>
        </w:rPr>
        <w:t xml:space="preserve"> одно показало отсутствие инфекции, на втором было обнаружено малое количество небольших очагов не отдельных листьях. Как видно из таблицы 24, данный эффект наблюдается с высоким уровнем значимости. Это согласуется с роль данного гена как основного фактора восприимчивости, показанной в предыдущих работах [19,20]. </w:t>
        <w:br/>
      </w:r>
    </w:p>
    <w:p>
      <w:pPr>
        <w:pStyle w:val="Normal"/>
        <w:suppressAutoHyphens w:val="false"/>
        <w:ind w:hanging="0" w:start="0" w:end="0"/>
        <w:jc w:val="both"/>
        <w:rPr>
          <w:rFonts w:ascii="Times New Roman" w:hAnsi="Times New Roman"/>
        </w:rPr>
      </w:pPr>
      <w:r>
        <w:rPr>
          <w:rFonts w:cs="Times New Roman" w:ascii="Times New Roman" w:hAnsi="Times New Roman"/>
          <w:i w:val="false"/>
          <w:iCs w:val="false"/>
          <w:sz w:val="28"/>
          <w:szCs w:val="28"/>
          <w:lang w:val="ru-RU"/>
        </w:rPr>
        <w:t xml:space="preserve">Таблица 24 – Результаты </w:t>
      </w:r>
      <w:r>
        <w:rPr>
          <w:rFonts w:cs="Times New Roman" w:ascii="Times New Roman" w:hAnsi="Times New Roman"/>
          <w:i/>
          <w:iCs/>
          <w:sz w:val="28"/>
          <w:szCs w:val="28"/>
          <w:lang w:val="ru-RU"/>
        </w:rPr>
        <w:t>t-</w:t>
      </w:r>
      <w:r>
        <w:rPr>
          <w:rFonts w:cs="Times New Roman" w:ascii="Times New Roman" w:hAnsi="Times New Roman"/>
          <w:i w:val="false"/>
          <w:iCs w:val="false"/>
          <w:sz w:val="28"/>
          <w:szCs w:val="28"/>
          <w:lang w:val="ru-RU"/>
        </w:rPr>
        <w:t>теста Уэлча для сравнения разницы в показателях симптомов заражения мучнистой росой среди мутантных линий: среднее количество пустул (ниже диагонали) и средний диаметр пустул (выше диагонали)</w:t>
      </w:r>
    </w:p>
    <w:p>
      <w:pPr>
        <w:pStyle w:val="Normal"/>
        <w:rPr>
          <w:rFonts w:ascii="Times New Roman" w:hAnsi="Times New Roman"/>
        </w:rPr>
      </w:pPr>
      <w:r>
        <w:rPr>
          <w:rFonts w:ascii="Times New Roman" w:hAnsi="Times New Roman"/>
        </w:rPr>
      </w:r>
    </w:p>
    <w:tbl>
      <w:tblPr>
        <w:tblW w:w="9698" w:type="dxa"/>
        <w:jc w:val="start"/>
        <w:tblInd w:w="-65" w:type="dxa"/>
        <w:tblLayout w:type="fixed"/>
        <w:tblCellMar>
          <w:top w:w="55" w:type="dxa"/>
          <w:start w:w="55" w:type="dxa"/>
          <w:bottom w:w="55" w:type="dxa"/>
          <w:end w:w="55" w:type="dxa"/>
        </w:tblCellMar>
      </w:tblPr>
      <w:tblGrid>
        <w:gridCol w:w="1186"/>
        <w:gridCol w:w="1199"/>
        <w:gridCol w:w="1214"/>
        <w:gridCol w:w="1314"/>
        <w:gridCol w:w="1348"/>
        <w:gridCol w:w="1380"/>
        <w:gridCol w:w="1189"/>
        <w:gridCol w:w="866"/>
      </w:tblGrid>
      <w:tr>
        <w:trPr>
          <w:trHeight w:val="1868" w:hRule="atLeast"/>
        </w:trPr>
        <w:tc>
          <w:tcPr>
            <w:tcW w:w="1186"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199"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Контроль</w:t>
            </w:r>
          </w:p>
        </w:tc>
        <w:tc>
          <w:tcPr>
            <w:tcW w:w="1214"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MLO1</w:t>
            </w:r>
          </w:p>
        </w:tc>
        <w:tc>
          <w:tcPr>
            <w:tcW w:w="1314"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MLO8</w:t>
            </w:r>
          </w:p>
        </w:tc>
        <w:tc>
          <w:tcPr>
            <w:tcW w:w="1348"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MLO1+MLO5</w:t>
            </w:r>
          </w:p>
        </w:tc>
        <w:tc>
          <w:tcPr>
            <w:tcW w:w="1380"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MLO1+MLO8</w:t>
            </w:r>
          </w:p>
        </w:tc>
        <w:tc>
          <w:tcPr>
            <w:tcW w:w="1189" w:type="dxa"/>
            <w:tcBorders>
              <w:top w:val="single" w:sz="4" w:space="0" w:color="000000"/>
              <w:start w:val="single" w:sz="4" w:space="0" w:color="000000"/>
              <w:bottom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MLO5+MLO8</w:t>
            </w:r>
          </w:p>
        </w:tc>
        <w:tc>
          <w:tcPr>
            <w:tcW w:w="866" w:type="dxa"/>
            <w:tcBorders>
              <w:top w:val="single" w:sz="4" w:space="0" w:color="000000"/>
              <w:start w:val="single" w:sz="4" w:space="0" w:color="000000"/>
              <w:bottom w:val="single" w:sz="4" w:space="0" w:color="000000"/>
              <w:end w:val="single" w:sz="4" w:space="0" w:color="000000"/>
            </w:tcBorders>
            <w:textDirection w:val="btLr"/>
            <w:vAlign w:val="center"/>
          </w:tcPr>
          <w:p>
            <w:pPr>
              <w:pStyle w:val="Normal"/>
              <w:tabs>
                <w:tab w:val="clear" w:pos="709"/>
              </w:tabs>
              <w:jc w:val="center"/>
              <w:rPr>
                <w:rFonts w:ascii="Times New Roman" w:hAnsi="Times New Roman"/>
              </w:rPr>
            </w:pPr>
            <w:r>
              <w:rPr>
                <w:rFonts w:ascii="Times New Roman" w:hAnsi="Times New Roman"/>
              </w:rPr>
              <w:t>MLO5</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Контроль</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1.543×10</w:t>
            </w:r>
            <w:r>
              <w:rPr>
                <w:rFonts w:ascii="Times New Roman" w:hAnsi="Times New Roman"/>
                <w:vertAlign w:val="superscript"/>
              </w:rPr>
              <w:t>-9</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0.9286</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0.0001</w:t>
            </w:r>
          </w:p>
          <w:p>
            <w:pPr>
              <w:pStyle w:val="Normal"/>
              <w:tabs>
                <w:tab w:val="clear" w:pos="709"/>
              </w:tabs>
              <w:jc w:val="center"/>
              <w:rPr>
                <w:rFonts w:ascii="Times New Roman" w:hAnsi="Times New Roman"/>
              </w:rPr>
            </w:pPr>
            <w:r>
              <w:rPr>
                <w:rFonts w:ascii="Times New Roman" w:hAnsi="Times New Roman"/>
              </w:rPr>
              <w:t>*</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2.003×10</w:t>
            </w:r>
            <w:r>
              <w:rPr>
                <w:rFonts w:ascii="Times New Roman" w:hAnsi="Times New Roman"/>
                <w:vertAlign w:val="superscript"/>
              </w:rPr>
              <w:t>-8</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0.1339</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0.8205</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MLO1</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5.482×10</w:t>
            </w:r>
            <w:r>
              <w:rPr>
                <w:rFonts w:ascii="Times New Roman" w:hAnsi="Times New Roman"/>
                <w:vertAlign w:val="superscript"/>
              </w:rPr>
              <w:t>-7</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6.524×10</w:t>
            </w:r>
            <w:r>
              <w:rPr>
                <w:rFonts w:ascii="Times New Roman" w:hAnsi="Times New Roman"/>
                <w:vertAlign w:val="superscript"/>
              </w:rPr>
              <w:t>-11</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0.9922</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0.4642</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3.192×10</w:t>
            </w:r>
            <w:r>
              <w:rPr>
                <w:rFonts w:ascii="Times New Roman" w:hAnsi="Times New Roman"/>
                <w:vertAlign w:val="superscript"/>
              </w:rPr>
              <w:t>-5</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0.0097</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MLO8</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0.3484</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6.156×10</w:t>
            </w:r>
            <w:r>
              <w:rPr>
                <w:rFonts w:ascii="Times New Roman" w:hAnsi="Times New Roman"/>
                <w:vertAlign w:val="superscript"/>
              </w:rPr>
              <w:t>-12</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0.0001</w:t>
            </w:r>
          </w:p>
          <w:p>
            <w:pPr>
              <w:pStyle w:val="Normal"/>
              <w:tabs>
                <w:tab w:val="clear" w:pos="709"/>
              </w:tabs>
              <w:jc w:val="center"/>
              <w:rPr>
                <w:rFonts w:ascii="Times New Roman" w:hAnsi="Times New Roman"/>
              </w:rPr>
            </w:pPr>
            <w:r>
              <w:rPr>
                <w:rFonts w:ascii="Times New Roman" w:hAnsi="Times New Roman"/>
              </w:rPr>
              <w:t>*</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1.353×10</w:t>
            </w:r>
            <w:r>
              <w:rPr>
                <w:rFonts w:ascii="Times New Roman" w:hAnsi="Times New Roman"/>
                <w:vertAlign w:val="superscript"/>
              </w:rPr>
              <w:t>-9</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0.1266</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0.8507</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MLO1 + MLO5</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5.649×10</w:t>
            </w:r>
            <w:r>
              <w:rPr>
                <w:rFonts w:ascii="Times New Roman" w:hAnsi="Times New Roman"/>
                <w:vertAlign w:val="superscript"/>
              </w:rPr>
              <w:t>-9</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0.5021</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5.441×10</w:t>
            </w:r>
            <w:r>
              <w:rPr>
                <w:rFonts w:ascii="Times New Roman" w:hAnsi="Times New Roman"/>
                <w:vertAlign w:val="superscript"/>
              </w:rPr>
              <w:t>-13</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0.5890</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0.0004</w:t>
            </w:r>
          </w:p>
          <w:p>
            <w:pPr>
              <w:pStyle w:val="Normal"/>
              <w:tabs>
                <w:tab w:val="clear" w:pos="709"/>
              </w:tabs>
              <w:jc w:val="center"/>
              <w:rPr>
                <w:rFonts w:ascii="Times New Roman" w:hAnsi="Times New Roman"/>
              </w:rPr>
            </w:pPr>
            <w:r>
              <w:rPr>
                <w:rFonts w:ascii="Times New Roman" w:hAnsi="Times New Roman"/>
              </w:rPr>
              <w:t>*</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0.0052</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MLO1 + MLO8</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2.525×10</w:t>
            </w:r>
            <w:r>
              <w:rPr>
                <w:rFonts w:ascii="Times New Roman" w:hAnsi="Times New Roman"/>
                <w:vertAlign w:val="superscript"/>
              </w:rPr>
              <w:t>-7</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0.3386</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3.730×10</w:t>
            </w:r>
            <w:r>
              <w:rPr>
                <w:rFonts w:ascii="Times New Roman" w:hAnsi="Times New Roman"/>
                <w:vertAlign w:val="superscript"/>
              </w:rPr>
              <w:t>-12</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0.8554</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0.0001</w:t>
            </w:r>
          </w:p>
          <w:p>
            <w:pPr>
              <w:pStyle w:val="Normal"/>
              <w:tabs>
                <w:tab w:val="clear" w:pos="709"/>
              </w:tabs>
              <w:jc w:val="center"/>
              <w:rPr>
                <w:rFonts w:ascii="Times New Roman" w:hAnsi="Times New Roman"/>
              </w:rPr>
            </w:pPr>
            <w:r>
              <w:rPr>
                <w:rFonts w:ascii="Times New Roman" w:hAnsi="Times New Roman"/>
              </w:rPr>
              <w:t>*</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0.0126</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MLO5 + MLO8</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0.7104</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9.929×10</w:t>
            </w:r>
            <w:r>
              <w:rPr>
                <w:rFonts w:ascii="Times New Roman" w:hAnsi="Times New Roman"/>
                <w:vertAlign w:val="superscript"/>
              </w:rPr>
              <w:t>-7</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0.8774</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7.618×10</w:t>
            </w:r>
            <w:r>
              <w:rPr>
                <w:rFonts w:ascii="Times New Roman" w:hAnsi="Times New Roman"/>
                <w:vertAlign w:val="superscript"/>
              </w:rPr>
              <w:t>-7</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1.063×10</w:t>
            </w:r>
            <w:r>
              <w:rPr>
                <w:rFonts w:ascii="Times New Roman" w:hAnsi="Times New Roman"/>
                <w:vertAlign w:val="superscript"/>
              </w:rPr>
              <w:t>-6</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0.2631</w:t>
            </w:r>
          </w:p>
        </w:tc>
      </w:tr>
      <w:tr>
        <w:trPr/>
        <w:tc>
          <w:tcPr>
            <w:tcW w:w="1186"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MLO5</w:t>
            </w:r>
          </w:p>
        </w:tc>
        <w:tc>
          <w:tcPr>
            <w:tcW w:w="119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0.0009</w:t>
            </w:r>
          </w:p>
          <w:p>
            <w:pPr>
              <w:pStyle w:val="Normal"/>
              <w:tabs>
                <w:tab w:val="clear" w:pos="709"/>
              </w:tabs>
              <w:jc w:val="center"/>
              <w:rPr>
                <w:rFonts w:ascii="Times New Roman" w:hAnsi="Times New Roman"/>
              </w:rPr>
            </w:pPr>
            <w:r>
              <w:rPr>
                <w:rFonts w:ascii="Times New Roman" w:hAnsi="Times New Roman"/>
              </w:rPr>
              <w:t>*</w:t>
            </w:r>
          </w:p>
        </w:tc>
        <w:tc>
          <w:tcPr>
            <w:tcW w:w="12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0.0003</w:t>
            </w:r>
          </w:p>
          <w:p>
            <w:pPr>
              <w:pStyle w:val="Normal"/>
              <w:tabs>
                <w:tab w:val="clear" w:pos="709"/>
              </w:tabs>
              <w:jc w:val="center"/>
              <w:rPr>
                <w:rFonts w:ascii="Times New Roman" w:hAnsi="Times New Roman"/>
              </w:rPr>
            </w:pPr>
            <w:r>
              <w:rPr>
                <w:rFonts w:ascii="Times New Roman" w:hAnsi="Times New Roman"/>
              </w:rPr>
              <w:t>*</w:t>
            </w:r>
          </w:p>
        </w:tc>
        <w:tc>
          <w:tcPr>
            <w:tcW w:w="131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0.0001</w:t>
            </w:r>
          </w:p>
          <w:p>
            <w:pPr>
              <w:pStyle w:val="Normal"/>
              <w:tabs>
                <w:tab w:val="clear" w:pos="709"/>
              </w:tabs>
              <w:jc w:val="center"/>
              <w:rPr>
                <w:rFonts w:ascii="Times New Roman" w:hAnsi="Times New Roman"/>
              </w:rPr>
            </w:pPr>
            <w:r>
              <w:rPr>
                <w:rFonts w:ascii="Times New Roman" w:hAnsi="Times New Roman"/>
              </w:rPr>
              <w:t>*</w:t>
            </w:r>
          </w:p>
        </w:tc>
        <w:tc>
          <w:tcPr>
            <w:tcW w:w="134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1.066×10</w:t>
            </w:r>
            <w:r>
              <w:rPr>
                <w:rFonts w:ascii="Times New Roman" w:hAnsi="Times New Roman"/>
                <w:vertAlign w:val="superscript"/>
              </w:rPr>
              <w:t>-6</w:t>
            </w:r>
          </w:p>
          <w:p>
            <w:pPr>
              <w:pStyle w:val="Normal"/>
              <w:tabs>
                <w:tab w:val="clear" w:pos="709"/>
              </w:tabs>
              <w:jc w:val="center"/>
              <w:rPr>
                <w:rFonts w:ascii="Times New Roman" w:hAnsi="Times New Roman"/>
              </w:rPr>
            </w:pPr>
            <w:r>
              <w:rPr>
                <w:rFonts w:ascii="Times New Roman" w:hAnsi="Times New Roman"/>
                <w:position w:val="0"/>
                <w:sz w:val="24"/>
                <w:sz w:val="24"/>
                <w:vertAlign w:val="baseline"/>
              </w:rPr>
              <w:t>**</w:t>
            </w:r>
          </w:p>
        </w:tc>
        <w:tc>
          <w:tcPr>
            <w:tcW w:w="138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0.0001</w:t>
            </w:r>
          </w:p>
          <w:p>
            <w:pPr>
              <w:pStyle w:val="Normal"/>
              <w:tabs>
                <w:tab w:val="clear" w:pos="709"/>
              </w:tabs>
              <w:jc w:val="center"/>
              <w:rPr>
                <w:rFonts w:ascii="Times New Roman" w:hAnsi="Times New Roman"/>
              </w:rPr>
            </w:pPr>
            <w:r>
              <w:rPr>
                <w:rFonts w:ascii="Times New Roman" w:hAnsi="Times New Roman"/>
              </w:rPr>
              <w:t>*</w:t>
            </w:r>
          </w:p>
        </w:tc>
        <w:tc>
          <w:tcPr>
            <w:tcW w:w="118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0.0124</w:t>
            </w:r>
          </w:p>
        </w:tc>
        <w:tc>
          <w:tcPr>
            <w:tcW w:w="866"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r>
          </w:p>
        </w:tc>
      </w:tr>
      <w:tr>
        <w:trPr/>
        <w:tc>
          <w:tcPr>
            <w:tcW w:w="9696" w:type="dxa"/>
            <w:gridSpan w:val="8"/>
            <w:tcBorders/>
            <w:vAlign w:val="center"/>
          </w:tcPr>
          <w:p>
            <w:pPr>
              <w:pStyle w:val="Normal"/>
              <w:tabs>
                <w:tab w:val="clear" w:pos="709"/>
              </w:tabs>
              <w:jc w:val="start"/>
              <w:rPr>
                <w:rFonts w:ascii="Times New Roman" w:hAnsi="Times New Roman"/>
              </w:rPr>
            </w:pPr>
            <w:r>
              <w:rPr>
                <w:rFonts w:ascii="Times New Roman" w:hAnsi="Times New Roman"/>
              </w:rPr>
              <w:t>Пороги P-значений для уровней значимости, с учётом поправки Бонферрони на множественные сравнения:</w:t>
            </w:r>
          </w:p>
          <w:p>
            <w:pPr>
              <w:pStyle w:val="Normal"/>
              <w:tabs>
                <w:tab w:val="clear" w:pos="709"/>
              </w:tabs>
              <w:jc w:val="start"/>
              <w:rPr>
                <w:rFonts w:ascii="Times New Roman" w:hAnsi="Times New Roman"/>
              </w:rPr>
            </w:pPr>
            <w:r>
              <w:rPr>
                <w:rFonts w:ascii="Times New Roman" w:hAnsi="Times New Roman"/>
              </w:rPr>
              <w:t>*P &lt; 0,0012 (порог до поправки P &lt; 0,05)</w:t>
            </w:r>
          </w:p>
          <w:p>
            <w:pPr>
              <w:pStyle w:val="Normal"/>
              <w:tabs>
                <w:tab w:val="clear" w:pos="709"/>
              </w:tabs>
              <w:jc w:val="start"/>
              <w:rPr>
                <w:rFonts w:ascii="Times New Roman" w:hAnsi="Times New Roman"/>
              </w:rPr>
            </w:pPr>
            <w:r>
              <w:rPr>
                <w:rFonts w:ascii="Times New Roman" w:hAnsi="Times New Roman"/>
              </w:rPr>
              <w:t>**P &lt; 2,4×10</w:t>
            </w:r>
            <w:r>
              <w:rPr>
                <w:rFonts w:ascii="Times New Roman" w:hAnsi="Times New Roman"/>
                <w:vertAlign w:val="superscript"/>
              </w:rPr>
              <w:t>-5</w:t>
            </w:r>
            <w:r>
              <w:rPr>
                <w:rFonts w:ascii="Times New Roman" w:hAnsi="Times New Roman"/>
              </w:rPr>
              <w:t xml:space="preserve"> (порог до поправки P &lt; 0,001)</w:t>
            </w:r>
          </w:p>
          <w:p>
            <w:pPr>
              <w:pStyle w:val="Normal"/>
              <w:tabs>
                <w:tab w:val="clear" w:pos="709"/>
              </w:tabs>
              <w:jc w:val="start"/>
              <w:rPr>
                <w:rFonts w:ascii="Times New Roman" w:hAnsi="Times New Roman"/>
              </w:rPr>
            </w:pPr>
            <w:r>
              <w:rPr>
                <w:rFonts w:ascii="Times New Roman" w:hAnsi="Times New Roman"/>
              </w:rPr>
            </w:r>
          </w:p>
        </w:tc>
      </w:tr>
    </w:tbl>
    <w:p>
      <w:pPr>
        <w:pStyle w:val="Normal"/>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hanging="0" w:start="0" w:end="0"/>
        <w:jc w:val="both"/>
        <w:rPr>
          <w:rFonts w:ascii="Times New Roman" w:hAnsi="Times New Roman"/>
        </w:rPr>
      </w:pPr>
      <w:r>
        <w:rPr>
          <w:rFonts w:cs="Times New Roman" w:ascii="Times New Roman" w:hAnsi="Times New Roman"/>
          <w:i w:val="false"/>
          <w:iCs w:val="false"/>
          <w:sz w:val="28"/>
          <w:szCs w:val="28"/>
          <w:lang w:val="ru-RU"/>
        </w:rPr>
        <w:t xml:space="preserve">При этом модифицирующего влияния генов </w:t>
      </w:r>
      <w:r>
        <w:rPr>
          <w:rFonts w:cs="Times New Roman" w:ascii="Times New Roman" w:hAnsi="Times New Roman"/>
          <w:i/>
          <w:iCs/>
          <w:sz w:val="28"/>
          <w:szCs w:val="28"/>
          <w:lang w:val="ru-RU"/>
        </w:rPr>
        <w:t>SlMlo5</w:t>
      </w:r>
      <w:r>
        <w:rPr>
          <w:rFonts w:cs="Times New Roman" w:ascii="Times New Roman" w:hAnsi="Times New Roman"/>
          <w:i w:val="false"/>
          <w:iCs w:val="false"/>
          <w:sz w:val="28"/>
          <w:szCs w:val="28"/>
          <w:lang w:val="ru-RU"/>
        </w:rPr>
        <w:t xml:space="preserve"> и </w:t>
      </w:r>
      <w:r>
        <w:rPr>
          <w:rFonts w:cs="Times New Roman" w:ascii="Times New Roman" w:hAnsi="Times New Roman"/>
          <w:i/>
          <w:iCs/>
          <w:sz w:val="28"/>
          <w:szCs w:val="28"/>
          <w:lang w:val="ru-RU"/>
        </w:rPr>
        <w:t>SlMlo8</w:t>
      </w:r>
      <w:r>
        <w:rPr>
          <w:rFonts w:cs="Times New Roman" w:ascii="Times New Roman" w:hAnsi="Times New Roman"/>
          <w:i w:val="false"/>
          <w:iCs w:val="false"/>
          <w:sz w:val="28"/>
          <w:szCs w:val="28"/>
          <w:lang w:val="ru-RU"/>
        </w:rPr>
        <w:t xml:space="preserve"> выявлено не было: подавление инфекции в растениях с одновременной инактивацией этих генов совместно с </w:t>
      </w:r>
      <w:r>
        <w:rPr>
          <w:rFonts w:cs="Times New Roman" w:ascii="Times New Roman" w:hAnsi="Times New Roman"/>
          <w:i/>
          <w:iCs/>
          <w:sz w:val="28"/>
          <w:szCs w:val="28"/>
          <w:lang w:val="ru-RU"/>
        </w:rPr>
        <w:t xml:space="preserve">SlMlo1 </w:t>
      </w:r>
      <w:r>
        <w:rPr>
          <w:rFonts w:cs="Times New Roman" w:ascii="Times New Roman" w:hAnsi="Times New Roman"/>
          <w:i w:val="false"/>
          <w:iCs w:val="false"/>
          <w:sz w:val="28"/>
          <w:szCs w:val="28"/>
          <w:lang w:val="ru-RU"/>
        </w:rPr>
        <w:t xml:space="preserve">не показало значимой разницы. Сами по себе мутации в </w:t>
      </w:r>
      <w:r>
        <w:rPr>
          <w:rFonts w:cs="Times New Roman" w:ascii="Times New Roman" w:hAnsi="Times New Roman"/>
          <w:i/>
          <w:iCs/>
          <w:sz w:val="28"/>
          <w:szCs w:val="28"/>
          <w:lang w:val="ru-RU"/>
        </w:rPr>
        <w:t>SlMlo5</w:t>
      </w:r>
      <w:r>
        <w:rPr>
          <w:rFonts w:cs="Times New Roman" w:ascii="Times New Roman" w:hAnsi="Times New Roman"/>
          <w:i w:val="false"/>
          <w:iCs w:val="false"/>
          <w:sz w:val="28"/>
          <w:szCs w:val="28"/>
          <w:lang w:val="ru-RU"/>
        </w:rPr>
        <w:t xml:space="preserve"> и </w:t>
      </w:r>
      <w:r>
        <w:rPr>
          <w:rFonts w:cs="Times New Roman" w:ascii="Times New Roman" w:hAnsi="Times New Roman"/>
          <w:i/>
          <w:iCs/>
          <w:sz w:val="28"/>
          <w:szCs w:val="28"/>
          <w:lang w:val="ru-RU"/>
        </w:rPr>
        <w:t>SlMlo8</w:t>
      </w:r>
      <w:r>
        <w:rPr>
          <w:rFonts w:cs="Times New Roman" w:ascii="Times New Roman" w:hAnsi="Times New Roman"/>
          <w:i w:val="false"/>
          <w:iCs w:val="false"/>
          <w:sz w:val="28"/>
          <w:szCs w:val="28"/>
          <w:lang w:val="ru-RU"/>
        </w:rPr>
        <w:t xml:space="preserve"> не показали эффекта на развитие инфекции, так же как их комбинация. Несмотря на то, что одиночные мутанты по </w:t>
      </w:r>
      <w:r>
        <w:rPr>
          <w:rFonts w:cs="Times New Roman" w:ascii="Times New Roman" w:hAnsi="Times New Roman"/>
          <w:i/>
          <w:iCs/>
          <w:sz w:val="28"/>
          <w:szCs w:val="28"/>
          <w:lang w:val="ru-RU"/>
        </w:rPr>
        <w:t xml:space="preserve">SlMlo5 </w:t>
      </w:r>
      <w:r>
        <w:rPr>
          <w:rFonts w:cs="Times New Roman" w:ascii="Times New Roman" w:hAnsi="Times New Roman"/>
          <w:i w:val="false"/>
          <w:iCs w:val="false"/>
          <w:sz w:val="28"/>
          <w:szCs w:val="28"/>
          <w:lang w:val="ru-RU"/>
        </w:rPr>
        <w:t xml:space="preserve">показали незначительное повышение частоты встречаемости пустул при скорректированном уровне значимости P &lt; 0,0012, следует учесть, что данная группа включает только одну линии, таким образом, достоверность сравнения этой группы ограничена меньшим количеством наблюдений. Хотя эти гены были ранее описаны как минорные факторы восприимчивости [19], их влияние на устойчивость вместе с </w:t>
      </w:r>
      <w:r>
        <w:rPr>
          <w:rFonts w:cs="Times New Roman" w:ascii="Times New Roman" w:hAnsi="Times New Roman"/>
          <w:i/>
          <w:iCs/>
          <w:sz w:val="28"/>
          <w:szCs w:val="28"/>
          <w:lang w:val="ru-RU"/>
        </w:rPr>
        <w:t xml:space="preserve">SlMlo1 </w:t>
      </w:r>
      <w:r>
        <w:rPr>
          <w:rFonts w:cs="Times New Roman" w:ascii="Times New Roman" w:hAnsi="Times New Roman"/>
          <w:i w:val="false"/>
          <w:iCs w:val="false"/>
          <w:sz w:val="28"/>
          <w:szCs w:val="28"/>
          <w:lang w:val="ru-RU"/>
        </w:rPr>
        <w:t xml:space="preserve">не было выявлено. Объяснением этому может служить высокий уровень подавления инфекции геном </w:t>
      </w:r>
      <w:r>
        <w:rPr>
          <w:rFonts w:cs="Times New Roman" w:ascii="Times New Roman" w:hAnsi="Times New Roman"/>
          <w:i/>
          <w:iCs/>
          <w:sz w:val="28"/>
          <w:szCs w:val="28"/>
          <w:lang w:val="ru-RU"/>
        </w:rPr>
        <w:t xml:space="preserve">SlMlo1, </w:t>
      </w:r>
      <w:r>
        <w:rPr>
          <w:rFonts w:cs="Times New Roman" w:ascii="Times New Roman" w:hAnsi="Times New Roman"/>
          <w:i w:val="false"/>
          <w:iCs w:val="false"/>
          <w:sz w:val="28"/>
          <w:szCs w:val="28"/>
          <w:lang w:val="ru-RU"/>
        </w:rPr>
        <w:t xml:space="preserve">на фоне которого эффект генов </w:t>
      </w:r>
      <w:r>
        <w:rPr>
          <w:rFonts w:cs="Times New Roman" w:ascii="Times New Roman" w:hAnsi="Times New Roman"/>
          <w:i/>
          <w:iCs/>
          <w:sz w:val="28"/>
          <w:szCs w:val="28"/>
          <w:lang w:val="ru-RU"/>
        </w:rPr>
        <w:t>SlMlo5</w:t>
      </w:r>
      <w:r>
        <w:rPr>
          <w:rFonts w:cs="Times New Roman" w:ascii="Times New Roman" w:hAnsi="Times New Roman"/>
          <w:i w:val="false"/>
          <w:iCs w:val="false"/>
          <w:sz w:val="28"/>
          <w:szCs w:val="28"/>
          <w:lang w:val="ru-RU"/>
        </w:rPr>
        <w:t xml:space="preserve"> и </w:t>
      </w:r>
      <w:r>
        <w:rPr>
          <w:rFonts w:cs="Times New Roman" w:ascii="Times New Roman" w:hAnsi="Times New Roman"/>
          <w:i/>
          <w:iCs/>
          <w:sz w:val="28"/>
          <w:szCs w:val="28"/>
          <w:lang w:val="ru-RU"/>
        </w:rPr>
        <w:t xml:space="preserve">SlMlo8 </w:t>
      </w:r>
      <w:r>
        <w:rPr>
          <w:rFonts w:cs="Times New Roman" w:ascii="Times New Roman" w:hAnsi="Times New Roman"/>
          <w:i w:val="false"/>
          <w:iCs w:val="false"/>
          <w:sz w:val="28"/>
          <w:szCs w:val="28"/>
          <w:lang w:val="ru-RU"/>
        </w:rPr>
        <w:t xml:space="preserve">был пренебрежимо мал для обнаружения в наблюдаемой выборке. </w:t>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Растения линий 21 и 32 (Меруерт, MLO1 и MLO1+MLO8, соответственно), признанные полными мутантами (см. обсуждение таблицы 21) дополнительно были сопоставлены с мозаичными линиями того же сорта и с такими же мутациями: линии 18 и 20 (Меруерт, MLO1), 31 (Меруерт, MLO1+MLO8) (таблица 25). Ни в одном из сравнений тест Уэлча не показал </w:t>
      </w:r>
      <w:r>
        <w:rPr>
          <w:rFonts w:cs="Times New Roman" w:ascii="Times New Roman" w:hAnsi="Times New Roman"/>
          <w:i/>
          <w:iCs/>
          <w:sz w:val="28"/>
          <w:szCs w:val="28"/>
          <w:lang w:val="ru-RU"/>
        </w:rPr>
        <w:t>Р-</w:t>
      </w:r>
      <w:r>
        <w:rPr>
          <w:rFonts w:cs="Times New Roman" w:ascii="Times New Roman" w:hAnsi="Times New Roman"/>
          <w:i w:val="false"/>
          <w:iCs w:val="false"/>
          <w:sz w:val="28"/>
          <w:szCs w:val="28"/>
          <w:lang w:val="ru-RU"/>
        </w:rPr>
        <w:t xml:space="preserve">значений, значимых при любом пороге. Таким образом, в настоящем эксперименте было показано, что мозаицизм в целом не препятствует противоинфекционному действию мутаций в </w:t>
      </w:r>
      <w:r>
        <w:rPr>
          <w:rFonts w:cs="Times New Roman" w:ascii="Times New Roman" w:hAnsi="Times New Roman"/>
          <w:i/>
          <w:iCs/>
          <w:sz w:val="28"/>
          <w:szCs w:val="28"/>
          <w:lang w:val="ru-RU"/>
        </w:rPr>
        <w:t>SlMlo1</w:t>
      </w:r>
      <w:r>
        <w:rPr>
          <w:rFonts w:cs="Times New Roman" w:ascii="Times New Roman" w:hAnsi="Times New Roman"/>
          <w:i w:val="false"/>
          <w:iCs w:val="false"/>
          <w:sz w:val="28"/>
          <w:szCs w:val="28"/>
          <w:lang w:val="ru-RU"/>
        </w:rPr>
        <w:t>. Хотя присутствие очагов инфекции в некоторых растениях с мутацией может быть отнесено к наличию мозаичных мутаций, т. е. развитие гриба происходит на участках листьев без делеции, наличествующего материала недостаточно для более надежных выводов.</w:t>
      </w:r>
    </w:p>
    <w:p>
      <w:pPr>
        <w:pStyle w:val="Normal"/>
        <w:suppressAutoHyphens w:val="false"/>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hanging="0" w:start="0" w:end="0"/>
        <w:jc w:val="both"/>
        <w:rPr>
          <w:rFonts w:ascii="Times New Roman" w:hAnsi="Times New Roman"/>
        </w:rPr>
      </w:pPr>
      <w:r>
        <w:rPr>
          <w:rFonts w:cs="Times New Roman" w:ascii="Times New Roman" w:hAnsi="Times New Roman"/>
          <w:i w:val="false"/>
          <w:iCs w:val="false"/>
          <w:sz w:val="28"/>
          <w:szCs w:val="28"/>
          <w:lang w:val="ru-RU"/>
        </w:rPr>
        <w:t>Таблица 25 - Сравнение линий 21 (MLO1) и 32 (MLO1+MLO8) с полным носительством целевых мутаций, и мозаичных линий 18, 20 (MLO1) и 31 (MLO1+MLO8), с использование t-теста Уэлча.</w:t>
      </w:r>
    </w:p>
    <w:p>
      <w:pPr>
        <w:pStyle w:val="Normal"/>
        <w:suppressAutoHyphens w:val="false"/>
        <w:ind w:hanging="0"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tbl>
      <w:tblPr>
        <w:tblW w:w="9137" w:type="dxa"/>
        <w:jc w:val="start"/>
        <w:tblInd w:w="217" w:type="dxa"/>
        <w:tblLayout w:type="fixed"/>
        <w:tblCellMar>
          <w:top w:w="55" w:type="dxa"/>
          <w:start w:w="55" w:type="dxa"/>
          <w:bottom w:w="55" w:type="dxa"/>
          <w:end w:w="55" w:type="dxa"/>
        </w:tblCellMar>
      </w:tblPr>
      <w:tblGrid>
        <w:gridCol w:w="3409"/>
        <w:gridCol w:w="1704"/>
        <w:gridCol w:w="1759"/>
        <w:gridCol w:w="2264"/>
      </w:tblGrid>
      <w:tr>
        <w:trPr/>
        <w:tc>
          <w:tcPr>
            <w:tcW w:w="3409" w:type="dxa"/>
            <w:tcBorders>
              <w:top w:val="single" w:sz="4" w:space="0" w:color="000000"/>
              <w:start w:val="single" w:sz="4" w:space="0" w:color="000000"/>
              <w:bottom w:val="single" w:sz="4" w:space="0" w:color="000000"/>
            </w:tcBorders>
          </w:tcPr>
          <w:p>
            <w:pPr>
              <w:pStyle w:val="Normal"/>
              <w:tabs>
                <w:tab w:val="clear" w:pos="709"/>
              </w:tabs>
              <w:jc w:val="center"/>
              <w:rPr>
                <w:rFonts w:ascii="Times New Roman" w:hAnsi="Times New Roman"/>
              </w:rPr>
            </w:pPr>
            <w:r>
              <w:rPr>
                <w:rFonts w:cs="Times New Roman" w:ascii="Times New Roman" w:hAnsi="Times New Roman"/>
                <w:i w:val="false"/>
                <w:iCs w:val="false"/>
                <w:sz w:val="28"/>
                <w:szCs w:val="28"/>
                <w:lang w:val="ru-RU"/>
              </w:rPr>
              <w:t>П</w:t>
            </w:r>
            <w:r>
              <w:rPr>
                <w:rFonts w:ascii="Times New Roman" w:hAnsi="Times New Roman"/>
              </w:rPr>
              <w:t>араметр</w:t>
            </w:r>
          </w:p>
        </w:tc>
        <w:tc>
          <w:tcPr>
            <w:tcW w:w="1704" w:type="dxa"/>
            <w:tcBorders>
              <w:top w:val="single" w:sz="4" w:space="0" w:color="000000"/>
              <w:start w:val="single" w:sz="4" w:space="0" w:color="000000"/>
              <w:bottom w:val="single" w:sz="4" w:space="0" w:color="000000"/>
            </w:tcBorders>
          </w:tcPr>
          <w:p>
            <w:pPr>
              <w:pStyle w:val="Normal"/>
              <w:tabs>
                <w:tab w:val="clear" w:pos="709"/>
              </w:tabs>
              <w:jc w:val="center"/>
              <w:rPr>
                <w:rFonts w:ascii="Times New Roman" w:hAnsi="Times New Roman"/>
              </w:rPr>
            </w:pPr>
            <w:r>
              <w:rPr>
                <w:rFonts w:ascii="Times New Roman" w:hAnsi="Times New Roman"/>
              </w:rPr>
              <w:t>Сравнение</w:t>
            </w:r>
          </w:p>
        </w:tc>
        <w:tc>
          <w:tcPr>
            <w:tcW w:w="1759" w:type="dxa"/>
            <w:tcBorders>
              <w:top w:val="single" w:sz="4" w:space="0" w:color="000000"/>
              <w:start w:val="single" w:sz="4" w:space="0" w:color="000000"/>
              <w:bottom w:val="single" w:sz="4" w:space="0" w:color="000000"/>
            </w:tcBorders>
          </w:tcPr>
          <w:p>
            <w:pPr>
              <w:pStyle w:val="Normal"/>
              <w:tabs>
                <w:tab w:val="clear" w:pos="709"/>
              </w:tabs>
              <w:jc w:val="center"/>
              <w:rPr>
                <w:rFonts w:ascii="Times New Roman" w:hAnsi="Times New Roman"/>
              </w:rPr>
            </w:pPr>
            <w:r>
              <w:rPr>
                <w:rFonts w:ascii="Times New Roman" w:hAnsi="Times New Roman"/>
                <w:i/>
              </w:rPr>
              <w:t>t-</w:t>
            </w:r>
            <w:r>
              <w:rPr>
                <w:rFonts w:ascii="Times New Roman" w:hAnsi="Times New Roman"/>
                <w:b w:val="false"/>
                <w:bCs w:val="false"/>
                <w:i w:val="false"/>
                <w:iCs w:val="false"/>
              </w:rPr>
              <w:t>статистика</w:t>
            </w:r>
          </w:p>
        </w:tc>
        <w:tc>
          <w:tcPr>
            <w:tcW w:w="2264" w:type="dxa"/>
            <w:tcBorders>
              <w:top w:val="single" w:sz="4" w:space="0" w:color="000000"/>
              <w:start w:val="single" w:sz="4" w:space="0" w:color="000000"/>
              <w:bottom w:val="single" w:sz="4" w:space="0" w:color="000000"/>
              <w:end w:val="single" w:sz="4" w:space="0" w:color="000000"/>
            </w:tcBorders>
          </w:tcPr>
          <w:p>
            <w:pPr>
              <w:pStyle w:val="Normal"/>
              <w:tabs>
                <w:tab w:val="clear" w:pos="709"/>
              </w:tabs>
              <w:jc w:val="center"/>
              <w:rPr>
                <w:rFonts w:ascii="Times New Roman" w:hAnsi="Times New Roman"/>
              </w:rPr>
            </w:pPr>
            <w:r>
              <w:rPr>
                <w:rFonts w:ascii="Times New Roman" w:hAnsi="Times New Roman"/>
                <w:i/>
              </w:rPr>
              <w:t>P-</w:t>
            </w:r>
            <w:r>
              <w:rPr>
                <w:rFonts w:ascii="Times New Roman" w:hAnsi="Times New Roman"/>
                <w:i w:val="false"/>
                <w:iCs w:val="false"/>
              </w:rPr>
              <w:t>значение</w:t>
            </w:r>
          </w:p>
        </w:tc>
      </w:tr>
      <w:tr>
        <w:trPr/>
        <w:tc>
          <w:tcPr>
            <w:tcW w:w="3409" w:type="dxa"/>
            <w:vMerge w:val="restart"/>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Среднее количество пустул на лист</w:t>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18+20</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0.55902</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0.5936</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18</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0.63246</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0.5813</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20</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1</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32 и 31</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-0.31623</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0.7769</w:t>
            </w:r>
          </w:p>
        </w:tc>
      </w:tr>
      <w:tr>
        <w:trPr/>
        <w:tc>
          <w:tcPr>
            <w:tcW w:w="3409" w:type="dxa"/>
            <w:vMerge w:val="restart"/>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Средний диаметр пустул на лист</w:t>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18+20</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0.48378</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0.6449</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18</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0.48103</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0.6651</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21 и 20</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0.2</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0.852</w:t>
            </w:r>
          </w:p>
        </w:tc>
      </w:tr>
      <w:tr>
        <w:trPr/>
        <w:tc>
          <w:tcPr>
            <w:tcW w:w="3409" w:type="dxa"/>
            <w:vMerge w:val="continue"/>
            <w:tcBorders>
              <w:start w:val="single" w:sz="4" w:space="0" w:color="000000"/>
              <w:bottom w:val="single" w:sz="4" w:space="0" w:color="000000"/>
            </w:tcBorders>
            <w:vAlign w:val="center"/>
          </w:tcPr>
          <w:p>
            <w:pPr>
              <w:pStyle w:val="Normal"/>
              <w:rPr>
                <w:rFonts w:ascii="Times New Roman" w:hAnsi="Times New Roman"/>
              </w:rPr>
            </w:pPr>
            <w:r>
              <w:rPr>
                <w:rFonts w:ascii="Times New Roman" w:hAnsi="Times New Roman"/>
              </w:rPr>
            </w:r>
          </w:p>
        </w:tc>
        <w:tc>
          <w:tcPr>
            <w:tcW w:w="170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32 и 31</w:t>
            </w:r>
          </w:p>
        </w:tc>
        <w:tc>
          <w:tcPr>
            <w:tcW w:w="1759"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0.73291</w:t>
            </w:r>
          </w:p>
        </w:tc>
        <w:tc>
          <w:tcPr>
            <w:tcW w:w="22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rPr>
              <w:t>0.5043</w:t>
            </w:r>
          </w:p>
        </w:tc>
      </w:tr>
    </w:tbl>
    <w:p>
      <w:pPr>
        <w:pStyle w:val="Normal"/>
        <w:rPr>
          <w:rFonts w:ascii="Times New Roman" w:hAnsi="Times New Roman"/>
        </w:rPr>
      </w:pPr>
      <w:r>
        <w:rPr>
          <w:rFonts w:ascii="Times New Roman" w:hAnsi="Times New Roman"/>
        </w:rPr>
      </w:r>
    </w:p>
    <w:p>
      <w:pPr>
        <w:pStyle w:val="Normal"/>
        <w:suppressAutoHyphens w:val="false"/>
        <w:ind w:firstLine="737" w:start="0" w:end="0"/>
        <w:jc w:val="both"/>
        <w:rPr>
          <w:rFonts w:ascii="Times New Roman" w:hAnsi="Times New Roman" w:cs="Times New Roman"/>
          <w:i w:val="false"/>
          <w:i w:val="false"/>
          <w:iCs w:val="false"/>
          <w:sz w:val="28"/>
          <w:szCs w:val="28"/>
          <w:lang w:val="ru-RU"/>
        </w:rPr>
      </w:pPr>
      <w:r>
        <w:rPr>
          <w:rFonts w:cs="Times New Roman" w:ascii="Times New Roman" w:hAnsi="Times New Roman"/>
          <w:i w:val="false"/>
          <w:iCs w:val="false"/>
          <w:sz w:val="28"/>
          <w:szCs w:val="28"/>
          <w:lang w:val="ru-RU"/>
        </w:rPr>
      </w:r>
    </w:p>
    <w:p>
      <w:pPr>
        <w:pStyle w:val="Normal"/>
        <w:suppressAutoHyphens w:val="false"/>
        <w:ind w:firstLine="737" w:start="0" w:end="0"/>
        <w:jc w:val="both"/>
        <w:rPr>
          <w:rFonts w:ascii="Times New Roman" w:hAnsi="Times New Roman"/>
        </w:rPr>
      </w:pPr>
      <w:r>
        <w:rPr>
          <w:rFonts w:cs="Times New Roman" w:ascii="Times New Roman" w:hAnsi="Times New Roman"/>
          <w:i w:val="false"/>
          <w:iCs w:val="false"/>
          <w:sz w:val="28"/>
          <w:szCs w:val="28"/>
          <w:lang w:val="ru-RU"/>
        </w:rPr>
        <w:t xml:space="preserve">Таким образом, редактирование генов </w:t>
      </w:r>
      <w:r>
        <w:rPr>
          <w:rFonts w:cs="Times New Roman" w:ascii="Times New Roman" w:hAnsi="Times New Roman"/>
          <w:i/>
          <w:iCs/>
          <w:sz w:val="28"/>
          <w:szCs w:val="28"/>
          <w:lang w:val="ru-RU"/>
        </w:rPr>
        <w:t xml:space="preserve">SlMlo </w:t>
      </w:r>
      <w:r>
        <w:rPr>
          <w:rFonts w:cs="Times New Roman" w:ascii="Times New Roman" w:hAnsi="Times New Roman"/>
          <w:i w:val="false"/>
          <w:iCs w:val="false"/>
          <w:sz w:val="28"/>
          <w:szCs w:val="28"/>
          <w:lang w:val="ru-RU"/>
        </w:rPr>
        <w:t xml:space="preserve">было успешно проведено на растениях томата сортов казахстанской селекции, и влияние полученных модификаций на восприимчивость к </w:t>
      </w:r>
      <w:r>
        <w:rPr>
          <w:rFonts w:cs="Times New Roman" w:ascii="Times New Roman" w:hAnsi="Times New Roman"/>
          <w:i/>
          <w:iCs/>
          <w:sz w:val="28"/>
          <w:szCs w:val="28"/>
          <w:lang w:val="ru-RU"/>
        </w:rPr>
        <w:t>O. nelycopersici</w:t>
      </w:r>
      <w:r>
        <w:rPr>
          <w:rFonts w:cs="Times New Roman" w:ascii="Times New Roman" w:hAnsi="Times New Roman"/>
          <w:i w:val="false"/>
          <w:iCs w:val="false"/>
          <w:sz w:val="28"/>
          <w:szCs w:val="28"/>
          <w:lang w:val="ru-RU"/>
        </w:rPr>
        <w:t xml:space="preserve"> было показано экспериментально. На текущем этапе полученные линии растений представляют собой предварительный материал для дальнейшего культивирования. Дальнейшее улучшение полученных линий и подготовка их в внедрению в селекционный процесс потребует дополнительные работы. Во-первых, необходимо вторичное введение мутантов в культуру </w:t>
      </w:r>
      <w:r>
        <w:rPr>
          <w:rFonts w:cs="Times New Roman" w:ascii="Times New Roman" w:hAnsi="Times New Roman"/>
          <w:i/>
          <w:iCs/>
          <w:sz w:val="28"/>
          <w:szCs w:val="28"/>
          <w:lang w:val="ru-RU"/>
        </w:rPr>
        <w:t>in vitro</w:t>
      </w:r>
      <w:r>
        <w:rPr>
          <w:rFonts w:cs="Times New Roman" w:ascii="Times New Roman" w:hAnsi="Times New Roman"/>
          <w:i w:val="false"/>
          <w:iCs w:val="false"/>
          <w:sz w:val="28"/>
          <w:szCs w:val="28"/>
          <w:lang w:val="ru-RU"/>
        </w:rPr>
        <w:t>, получение и скрининг новых линий регенерантов-клонов, с целью исключения мозаицизма и получения полностью однородных мутантов. Во-вторых, получения ряда поколений путем самоопыления и их скрининг для исключения трансгенной вставки (Т-ДНК, несущей систему CRISPR/Cas9). Эти улучшения требуют долговременных кропотливых работ, выходящих за рамки настоящих исследований, однако являются необходимыми предпосылками для получения генетически-чистых мутантных линий томата, пригодных и безопасных для практического использования в селекционных программах.</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3.3 Сравнительный анализ последовательностей генов и белков MLO</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Для оценки стабильности выбранных мишеней для редактирования генома томата был проведен анализ вариабельности генов </w:t>
      </w:r>
      <w:r>
        <w:rPr>
          <w:rFonts w:ascii="Times New Roman" w:hAnsi="Times New Roman"/>
          <w:i/>
          <w:iCs/>
          <w:sz w:val="28"/>
          <w:szCs w:val="28"/>
          <w:lang w:val="ru-RU"/>
        </w:rPr>
        <w:t xml:space="preserve">SlMlo </w:t>
      </w:r>
      <w:r>
        <w:rPr>
          <w:rFonts w:ascii="Times New Roman" w:hAnsi="Times New Roman"/>
          <w:i w:val="false"/>
          <w:iCs w:val="false"/>
          <w:sz w:val="28"/>
          <w:szCs w:val="28"/>
          <w:lang w:val="ru-RU"/>
        </w:rPr>
        <w:t xml:space="preserve">с использованием доступных данных по изменчивости генома томата (таблица 24) [227]. Анализ показал, что гены обладают высокой консервативность. Ген </w:t>
      </w:r>
      <w:r>
        <w:rPr>
          <w:rFonts w:ascii="Times New Roman" w:hAnsi="Times New Roman"/>
          <w:i/>
          <w:iCs/>
          <w:sz w:val="28"/>
          <w:szCs w:val="28"/>
          <w:lang w:val="ru-RU"/>
        </w:rPr>
        <w:t xml:space="preserve">SlMlo1 </w:t>
      </w:r>
      <w:r>
        <w:rPr>
          <w:rFonts w:ascii="Times New Roman" w:hAnsi="Times New Roman"/>
          <w:i w:val="false"/>
          <w:iCs w:val="false"/>
          <w:sz w:val="28"/>
          <w:szCs w:val="28"/>
          <w:lang w:val="ru-RU"/>
        </w:rPr>
        <w:t>оказался одним из наиболее стабильных, с 16 вариациями в интронах и отсутствием вариантов в кодирующих областях.</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 xml:space="preserve">Таблица 26 – Распределение геномных вариантов среди генов </w:t>
      </w:r>
      <w:r>
        <w:rPr>
          <w:rFonts w:ascii="Times New Roman" w:hAnsi="Times New Roman"/>
          <w:i/>
          <w:iCs/>
          <w:sz w:val="28"/>
          <w:szCs w:val="28"/>
          <w:lang w:val="ru-RU"/>
        </w:rPr>
        <w:t>Mlo</w:t>
      </w:r>
      <w:r>
        <w:rPr>
          <w:rFonts w:ascii="Times New Roman" w:hAnsi="Times New Roman"/>
          <w:i w:val="false"/>
          <w:iCs w:val="false"/>
          <w:sz w:val="28"/>
          <w:szCs w:val="28"/>
          <w:lang w:val="ru-RU"/>
        </w:rPr>
        <w:t xml:space="preserve"> томата</w:t>
      </w:r>
    </w:p>
    <w:p>
      <w:pPr>
        <w:pStyle w:val="Normal"/>
        <w:ind w:hanging="0" w:start="0" w:end="0"/>
        <w:jc w:val="both"/>
        <w:rPr>
          <w:rFonts w:ascii="Times New Roman" w:hAnsi="Times New Roman"/>
          <w:sz w:val="28"/>
          <w:szCs w:val="28"/>
          <w:lang w:val="ru-RU"/>
        </w:rPr>
      </w:pPr>
      <w:r>
        <w:rPr>
          <w:rFonts w:ascii="Times New Roman" w:hAnsi="Times New Roman"/>
          <w:sz w:val="28"/>
          <w:szCs w:val="28"/>
          <w:lang w:val="ru-RU"/>
        </w:rPr>
      </w:r>
    </w:p>
    <w:tbl>
      <w:tblPr>
        <w:tblW w:w="9696" w:type="dxa"/>
        <w:jc w:val="start"/>
        <w:tblInd w:w="-65" w:type="dxa"/>
        <w:tblLayout w:type="fixed"/>
        <w:tblCellMar>
          <w:top w:w="55" w:type="dxa"/>
          <w:start w:w="55" w:type="dxa"/>
          <w:bottom w:w="55" w:type="dxa"/>
          <w:end w:w="55" w:type="dxa"/>
        </w:tblCellMar>
      </w:tblPr>
      <w:tblGrid>
        <w:gridCol w:w="1245"/>
        <w:gridCol w:w="1753"/>
        <w:gridCol w:w="801"/>
        <w:gridCol w:w="900"/>
        <w:gridCol w:w="968"/>
        <w:gridCol w:w="967"/>
        <w:gridCol w:w="1084"/>
        <w:gridCol w:w="1013"/>
        <w:gridCol w:w="964"/>
      </w:tblGrid>
      <w:tr>
        <w:trPr/>
        <w:tc>
          <w:tcPr>
            <w:tcW w:w="1245"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Ген</w:t>
            </w:r>
          </w:p>
        </w:tc>
        <w:tc>
          <w:tcPr>
            <w:tcW w:w="1753"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Локус</w:t>
            </w:r>
          </w:p>
        </w:tc>
        <w:tc>
          <w:tcPr>
            <w:tcW w:w="801"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Длина</w:t>
            </w:r>
          </w:p>
        </w:tc>
        <w:tc>
          <w:tcPr>
            <w:tcW w:w="900"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Интроны</w:t>
            </w:r>
          </w:p>
        </w:tc>
        <w:tc>
          <w:tcPr>
            <w:tcW w:w="968" w:type="dxa"/>
            <w:tcBorders>
              <w:top w:val="single" w:sz="4" w:space="0" w:color="000000"/>
              <w:start w:val="single" w:sz="4" w:space="0" w:color="000000"/>
              <w:bottom w:val="single" w:sz="4" w:space="0" w:color="000000"/>
            </w:tcBorders>
            <w:vAlign w:val="center"/>
          </w:tcPr>
          <w:p>
            <w:pPr>
              <w:pStyle w:val="gray3"/>
              <w:tabs>
                <w:tab w:val="clear" w:pos="709"/>
              </w:tabs>
              <w:jc w:val="center"/>
              <w:rPr>
                <w:rFonts w:ascii="Times New Roman" w:hAnsi="Times New Roman"/>
              </w:rPr>
            </w:pPr>
            <w:r>
              <w:rPr>
                <w:rFonts w:ascii="Times New Roman" w:hAnsi="Times New Roman"/>
                <w:b w:val="false"/>
                <w:i w:val="false"/>
                <w:sz w:val="24"/>
                <w:szCs w:val="24"/>
                <w:lang w:val="ru-RU"/>
              </w:rPr>
              <w:t>5`UTR</w:t>
            </w:r>
          </w:p>
        </w:tc>
        <w:tc>
          <w:tcPr>
            <w:tcW w:w="967" w:type="dxa"/>
            <w:tcBorders>
              <w:top w:val="single" w:sz="4" w:space="0" w:color="000000"/>
              <w:start w:val="single" w:sz="4" w:space="0" w:color="000000"/>
              <w:bottom w:val="single" w:sz="4" w:space="0" w:color="000000"/>
            </w:tcBorders>
            <w:vAlign w:val="center"/>
          </w:tcPr>
          <w:p>
            <w:pPr>
              <w:pStyle w:val="gray3"/>
              <w:tabs>
                <w:tab w:val="clear" w:pos="709"/>
              </w:tabs>
              <w:jc w:val="center"/>
              <w:rPr>
                <w:rFonts w:ascii="Times New Roman" w:hAnsi="Times New Roman"/>
              </w:rPr>
            </w:pPr>
            <w:r>
              <w:rPr>
                <w:rFonts w:ascii="Times New Roman" w:hAnsi="Times New Roman"/>
                <w:b w:val="false"/>
                <w:i w:val="false"/>
                <w:sz w:val="24"/>
                <w:szCs w:val="24"/>
                <w:lang w:val="ru-RU"/>
              </w:rPr>
              <w:t>3`UTR</w:t>
            </w:r>
          </w:p>
        </w:tc>
        <w:tc>
          <w:tcPr>
            <w:tcW w:w="1084" w:type="dxa"/>
            <w:tcBorders>
              <w:top w:val="single" w:sz="4" w:space="0" w:color="000000"/>
              <w:start w:val="single" w:sz="4" w:space="0" w:color="000000"/>
              <w:bottom w:val="single" w:sz="4" w:space="0" w:color="000000"/>
            </w:tcBorders>
            <w:vAlign w:val="center"/>
          </w:tcPr>
          <w:p>
            <w:pPr>
              <w:pStyle w:val="gray3"/>
              <w:tabs>
                <w:tab w:val="clear" w:pos="709"/>
              </w:tabs>
              <w:jc w:val="center"/>
              <w:rPr>
                <w:rFonts w:ascii="Times New Roman" w:hAnsi="Times New Roman"/>
              </w:rPr>
            </w:pPr>
            <w:r>
              <w:rPr>
                <w:rFonts w:eastAsia="DejaVu Sans" w:cs="Linux Libertine Display O" w:ascii="Times New Roman" w:hAnsi="Times New Roman"/>
                <w:b w:val="false"/>
                <w:i w:val="false"/>
                <w:color w:val="auto"/>
                <w:kern w:val="2"/>
                <w:sz w:val="24"/>
                <w:szCs w:val="24"/>
                <w:lang w:val="ru-RU"/>
              </w:rPr>
              <w:t>Синоним</w:t>
            </w:r>
          </w:p>
        </w:tc>
        <w:tc>
          <w:tcPr>
            <w:tcW w:w="1013" w:type="dxa"/>
            <w:tcBorders>
              <w:top w:val="single" w:sz="4" w:space="0" w:color="000000"/>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Миссенс</w:t>
            </w:r>
          </w:p>
        </w:tc>
        <w:tc>
          <w:tcPr>
            <w:tcW w:w="964" w:type="dxa"/>
            <w:tcBorders>
              <w:top w:val="single" w:sz="4" w:space="0" w:color="000000"/>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Сдвиг рамки</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i/>
                <w:sz w:val="24"/>
                <w:szCs w:val="24"/>
                <w:lang w:val="ru-RU"/>
              </w:rPr>
              <w:t>SlMLO1</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Solyc04g049090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5506</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16</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2</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SlMLO2</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Solyc08g015870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4943</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12</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i/>
                <w:sz w:val="24"/>
                <w:szCs w:val="24"/>
                <w:lang w:val="ru-RU"/>
              </w:rPr>
              <w:t>SlMLO5</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Solyc03g095650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8144</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lang w:val="ru-RU"/>
              </w:rPr>
              <w:t>62</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SlMLO6</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Solyc02g082430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6387</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13</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i/>
                <w:sz w:val="24"/>
                <w:szCs w:val="24"/>
                <w:u w:val="single"/>
                <w:lang w:val="ru-RU"/>
              </w:rPr>
              <w:t>SlMLO8</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Solyc11g069220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7163</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44</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2</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b/>
                <w:sz w:val="24"/>
                <w:szCs w:val="24"/>
                <w:u w:val="single"/>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SlMLO9</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Solyc06g082820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4363</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3</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SlMLO10</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Solyc02g083720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5939</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16</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4</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SlMLO11</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Solyc01g102520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3579</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18</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3</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3</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SlMLO12</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Solyc08g067760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5822</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22</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SlMLO13</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Solyc10g044510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7072</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6</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SlMLO14</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Solyc07g063260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7555</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25</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5</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SlMLO15</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Solyc02g077570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4942</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9</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2</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r>
      <w:tr>
        <w:trPr/>
        <w:tc>
          <w:tcPr>
            <w:tcW w:w="1245"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i/>
                <w:sz w:val="24"/>
                <w:szCs w:val="24"/>
                <w:lang w:val="ru-RU"/>
              </w:rPr>
              <w:t>SlMLO16</w:t>
            </w:r>
          </w:p>
        </w:tc>
        <w:tc>
          <w:tcPr>
            <w:tcW w:w="175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Solyc06g010010</w:t>
            </w:r>
          </w:p>
        </w:tc>
        <w:tc>
          <w:tcPr>
            <w:tcW w:w="801"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7019</w:t>
            </w:r>
          </w:p>
        </w:tc>
        <w:tc>
          <w:tcPr>
            <w:tcW w:w="900"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7</w:t>
            </w:r>
          </w:p>
        </w:tc>
        <w:tc>
          <w:tcPr>
            <w:tcW w:w="968"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7"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1084"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c>
          <w:tcPr>
            <w:tcW w:w="1013" w:type="dxa"/>
            <w:tcBorders>
              <w:start w:val="single" w:sz="4" w:space="0" w:color="000000"/>
              <w:bottom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0</w:t>
            </w:r>
          </w:p>
        </w:tc>
        <w:tc>
          <w:tcPr>
            <w:tcW w:w="964" w:type="dxa"/>
            <w:tcBorders>
              <w:start w:val="single" w:sz="4" w:space="0" w:color="000000"/>
              <w:bottom w:val="single" w:sz="4" w:space="0" w:color="000000"/>
              <w:end w:val="single" w:sz="4" w:space="0" w:color="000000"/>
            </w:tcBorders>
            <w:vAlign w:val="center"/>
          </w:tcPr>
          <w:p>
            <w:pPr>
              <w:pStyle w:val="Normal"/>
              <w:tabs>
                <w:tab w:val="clear" w:pos="709"/>
              </w:tabs>
              <w:jc w:val="center"/>
              <w:rPr>
                <w:rFonts w:ascii="Times New Roman" w:hAnsi="Times New Roman"/>
              </w:rPr>
            </w:pPr>
            <w:r>
              <w:rPr>
                <w:rFonts w:ascii="Times New Roman" w:hAnsi="Times New Roman"/>
                <w:sz w:val="24"/>
                <w:szCs w:val="24"/>
                <w:lang w:val="ru-RU"/>
              </w:rPr>
              <w:t>1</w:t>
            </w:r>
          </w:p>
        </w:tc>
      </w:tr>
    </w:tbl>
    <w:p>
      <w:pPr>
        <w:pStyle w:val="Normal"/>
        <w:rPr>
          <w:rFonts w:ascii="Times New Roman" w:hAnsi="Times New Roman"/>
          <w:sz w:val="28"/>
          <w:szCs w:val="28"/>
          <w:lang w:val="ru-RU"/>
        </w:rPr>
      </w:pPr>
      <w:r>
        <w:rPr>
          <w:rFonts w:ascii="Times New Roman" w:hAnsi="Times New Roman"/>
          <w:sz w:val="28"/>
          <w:szCs w:val="28"/>
          <w:lang w:val="ru-RU"/>
        </w:rPr>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Все гены MLO томата имеют высококонсервативные кодирующие последовательности. Основной фактор восприимчивости к мучнистой росе SlMLO1 имеет наиболее консервативные экзоны. Гены SlMLO5 и SlMLO8, минорные факторы восприимчивости к мучнистой росе, имеют сравнительно высокую  вариабельность интронов при низкой изменчивости кодирующих областей.</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Таким образом, гены </w:t>
      </w:r>
      <w:r>
        <w:rPr>
          <w:rFonts w:ascii="Times New Roman" w:hAnsi="Times New Roman"/>
          <w:i/>
          <w:iCs/>
          <w:sz w:val="28"/>
          <w:szCs w:val="28"/>
          <w:lang w:val="ru-RU"/>
        </w:rPr>
        <w:t xml:space="preserve">Mlo </w:t>
      </w:r>
      <w:r>
        <w:rPr>
          <w:rFonts w:ascii="Times New Roman" w:hAnsi="Times New Roman"/>
          <w:i w:val="false"/>
          <w:iCs w:val="false"/>
          <w:sz w:val="28"/>
          <w:szCs w:val="28"/>
          <w:lang w:val="ru-RU"/>
        </w:rPr>
        <w:t>томата отличаются высокой стабильностью своих кодирующих последовательностей. На основании данных об изменчивости 166 линий томатов, в том числе домашние, дикие и гибридные формы, можно заключить, что разработанные последовательности нРНК могут быть применены к любым генотипам томатов с низкой вероятностью ошибки из-за наличия вариации в сайтах-мишенях.</w:t>
      </w:r>
    </w:p>
    <w:p>
      <w:pPr>
        <w:pStyle w:val="Normal"/>
        <w:widowControl/>
        <w:suppressAutoHyphens w:val="false"/>
        <w:overflowPunct w:val="false"/>
        <w:bidi w:val="0"/>
        <w:spacing w:before="0" w:after="0"/>
        <w:ind w:firstLine="737" w:start="0" w:end="0"/>
        <w:jc w:val="both"/>
        <w:rPr>
          <w:rFonts w:ascii="Times New Roman" w:hAnsi="Times New Roman"/>
        </w:rPr>
      </w:pPr>
      <w:r>
        <w:rPr>
          <w:rFonts w:ascii="Times New Roman" w:hAnsi="Times New Roman"/>
          <w:i w:val="false"/>
          <w:iCs w:val="false"/>
          <w:sz w:val="28"/>
          <w:szCs w:val="28"/>
          <w:lang w:val="ru-RU"/>
        </w:rPr>
        <w:t>Результаты поиска белков MLO включали 4474 и 3110 последовательностей из баз данных UniProt и NCBI Protein, соответственно [17,228]. Оба набора данных были объединены с удалением дублирующихся последовательностей. Общий набор данных включал 5924 белковые последовательности длиной от 9 до 1446 аминокислотных остатков, среднее значение и медиана составили 476,1 и 512 соответственно, 1-й и 3-й квартили – 452 и 559 соответственно. Длины последовательностей имели бимодальное распределение с большим количеством коротких выбросов. Большинство из этих коротких последовательностей представляли собой неполные белковые последовательности. На основе графического обобщения 15-й и 99-й процентили (384 и 628,77 аминокислотных остатков, соответственно) были выбраны в качестве пороговых значений для отбора последовательностей для дальнейшего анализа. Последовательности, явно указанные в заголовке описания как неполные, также были удалены из набора данных. Окончательный отфильтрованный набор данных включал 4886 последовательностей, длина которых варьировала от 385 до 628 аминокислотных остатков. Последовательности представляли 151 род растений, преимущественно относящихся к группам розид и астерид двудольных (69 и 28 родов, соответственно) и однодольных (27 родов).</w:t>
      </w:r>
    </w:p>
    <w:p>
      <w:pPr>
        <w:pStyle w:val="Normal"/>
        <w:widowControl/>
        <w:suppressAutoHyphens w:val="false"/>
        <w:overflowPunct w:val="false"/>
        <w:bidi w:val="0"/>
        <w:spacing w:before="0" w:after="0"/>
        <w:ind w:firstLine="737" w:start="0" w:end="0"/>
        <w:jc w:val="both"/>
        <w:rPr>
          <w:rFonts w:ascii="Times New Roman" w:hAnsi="Times New Roman"/>
        </w:rPr>
      </w:pPr>
      <w:r>
        <w:rPr>
          <w:rFonts w:ascii="Times New Roman" w:hAnsi="Times New Roman"/>
          <w:i w:val="false"/>
          <w:iCs w:val="false"/>
          <w:sz w:val="28"/>
          <w:szCs w:val="28"/>
          <w:lang w:val="ru-RU"/>
        </w:rPr>
        <w:t xml:space="preserve">Выбранные белковые последовательности были выровнены с помощью MAFFT с использованием матрицы замен BLOSUM62. После удаления позиций с частотой замен ≥ 99% общая длина выравнивания составила 1116 аминокислотных остатков. Общая согласованность выравнивания была проверена путем ручного контроля позиций семи консервативных трансмембранных доменов (ТМ), идентифицированных согласно предыдущим исследованиям [15]. Поскольку сдвигов в доменах ТМ обнаружено не было, полученное выравнивание было признано пригодным для филогенетического анализа. После ручной проверки 370 относительно консервативных позиций были отобраны для построения филогенетических деревьев.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MLO-подобный белок из </w:t>
      </w:r>
      <w:r>
        <w:rPr>
          <w:rFonts w:ascii="Times New Roman" w:hAnsi="Times New Roman"/>
          <w:i/>
          <w:iCs/>
          <w:sz w:val="28"/>
          <w:szCs w:val="28"/>
          <w:lang w:val="ru-RU"/>
        </w:rPr>
        <w:t>Chlorella sorokiana</w:t>
      </w:r>
      <w:r>
        <w:rPr>
          <w:rFonts w:ascii="Times New Roman" w:hAnsi="Times New Roman"/>
          <w:i w:val="false"/>
          <w:iCs w:val="false"/>
          <w:sz w:val="28"/>
          <w:szCs w:val="28"/>
          <w:lang w:val="ru-RU"/>
        </w:rPr>
        <w:t xml:space="preserve"> (UniProt accession A0A2P6U4B6_CHLSO) был произвольно выбран в качестве корня дерева как внешняя группа. На основании общей топологии дерева было выделено девять филогенетических клад. Базальная часть дерева включала белки MLO из различных видов водорослей и смешанный набор последовательностей из различных видов покрытосеменных. Множественное выравнивание последовательностей показало, что эти белки более разнообразны и плохо соотносятся с массой других последовательностей. Независимо от вероятных причин такого отклонения, таких как индивидуальная диверсификация гомологов белков или низкое качество данных, эта базальная группа рассматривалась как внешняя и не использовалась для филогенетических выводов по ее содержанию.</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Для проверки наблюдаемой филогенетической структуры  использовались четыре метода построения деревьев: UPGMA, объединения ближайших соседей (NJ), максимального правдоподобия (ML) и байесовского дерева (Рисунок 22). Для согласованности все методы применялись с использованием одной и той же модели аминокислотных замен JTT («Jones» в программе MrBayes).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Девять клад, описанных выше, были четко идентифицированы во всех деревьях с незначительными отклонениями в их составе, однако имели разное положение относительно друг друга. Суперклады c1 и c2 наблюдались во всех четырех деревьях. Суперклада c1 имела идентичную структуру в деревьях NJ и ML. Клада второго уровня c1.1, состоящий из клад c1.1.1 и c1.2.2, наблюдалась во всех деревьях, однако была параллельна кладе c1.2 в NJ и ML деревьях, базальным по </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24">
            <wp:simplePos x="0" y="0"/>
            <wp:positionH relativeFrom="column">
              <wp:posOffset>47625</wp:posOffset>
            </wp:positionH>
            <wp:positionV relativeFrom="paragraph">
              <wp:posOffset>1905</wp:posOffset>
            </wp:positionV>
            <wp:extent cx="6120130" cy="4631055"/>
            <wp:effectExtent l="0" t="0" r="0" b="0"/>
            <wp:wrapSquare wrapText="largest"/>
            <wp:docPr id="22"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 descr="" title=""/>
                    <pic:cNvPicPr>
                      <a:picLocks noChangeAspect="1" noChangeArrowheads="1"/>
                    </pic:cNvPicPr>
                  </pic:nvPicPr>
                  <pic:blipFill>
                    <a:blip r:embed="rId29"/>
                    <a:stretch>
                      <a:fillRect/>
                    </a:stretch>
                  </pic:blipFill>
                  <pic:spPr bwMode="auto">
                    <a:xfrm>
                      <a:off x="0" y="0"/>
                      <a:ext cx="6120130" cy="4631055"/>
                    </a:xfrm>
                    <a:prstGeom prst="rect">
                      <a:avLst/>
                    </a:prstGeom>
                  </pic:spPr>
                </pic:pic>
              </a:graphicData>
            </a:graphic>
          </wp:anchor>
        </w:drawing>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Рисунок 22 – Сравнение филогении белков MLO при использовании 4 различных методов: A) Наложение выравненных топологий деревьев; B) Сравнение структуры деревьев</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отношению к c1.2 в UPGMA дереве и нисходящим по отношению к c1.2 в байесовском дереве. Клады 1.2.1 и 1.2.2 были четко отделены друг от друга во всех деревьях, за исключением UPGMA-дерева, где субклады из этих двух клад были смешаны в кладе c1.2. В байесовском дереве клада c1.2.2 оказалась базальной частью всего дерева, а клады c1.2.1, c1.1 и суперклада c2 – нисходящими. Состав суперклады c2 был менее последовательным в четырех деревьях, с различным положением пяти клад. Наиболее сходное представление суперклады c2 наблюдалось в деревьях NJ и ML, где две клады второго уровня были разделены, однако клада c2.2.1 была перенесен из клады c2.2 в c2.1 в дереве ML. В целом, девять первоначально определенных клад оказались стабильными филогенетическими единицами, поддерживаемыми четырьмя независимыми методами построения филогенетических деревьев. Для определенности последующее обсуждение будет основано на NJ-дереве, с учетом поддержки другими методами.</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Тщательное изучение выявленных клад показало, что внутренняя филогенетическая структура этих кластеров содержит группы, соответствующие известной систематике растений. Например, в субкладе однодольных в кладе c2.1.1 отчетливо выделялось семейство </w:t>
      </w:r>
      <w:r>
        <w:rPr>
          <w:rFonts w:ascii="Times New Roman" w:hAnsi="Times New Roman"/>
          <w:i/>
          <w:iCs/>
          <w:sz w:val="28"/>
          <w:szCs w:val="28"/>
          <w:lang w:val="ru-RU"/>
        </w:rPr>
        <w:t>Poaceae</w:t>
      </w:r>
      <w:r>
        <w:rPr>
          <w:rFonts w:ascii="Times New Roman" w:hAnsi="Times New Roman"/>
          <w:i w:val="false"/>
          <w:iCs w:val="false"/>
          <w:sz w:val="28"/>
          <w:szCs w:val="28"/>
          <w:lang w:val="ru-RU"/>
        </w:rPr>
        <w:t xml:space="preserve">, состоящее из подгрупп, соответствующих подсемействам </w:t>
      </w:r>
      <w:r>
        <w:rPr>
          <w:rFonts w:ascii="Times New Roman" w:hAnsi="Times New Roman"/>
          <w:i/>
          <w:iCs/>
          <w:sz w:val="28"/>
          <w:szCs w:val="28"/>
          <w:lang w:val="ru-RU"/>
        </w:rPr>
        <w:t>Pooideae</w:t>
      </w:r>
      <w:r>
        <w:rPr>
          <w:rFonts w:ascii="Times New Roman" w:hAnsi="Times New Roman"/>
          <w:i w:val="false"/>
          <w:iCs w:val="false"/>
          <w:sz w:val="28"/>
          <w:szCs w:val="28"/>
          <w:lang w:val="ru-RU"/>
        </w:rPr>
        <w:t xml:space="preserve"> (роды </w:t>
      </w:r>
      <w:r>
        <w:rPr>
          <w:rFonts w:ascii="Times New Roman" w:hAnsi="Times New Roman"/>
          <w:i/>
          <w:iCs/>
          <w:sz w:val="28"/>
          <w:szCs w:val="28"/>
          <w:lang w:val="ru-RU"/>
        </w:rPr>
        <w:t>Triticum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Hordeum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Aegilops</w:t>
      </w:r>
      <w:r>
        <w:rPr>
          <w:rFonts w:ascii="Times New Roman" w:hAnsi="Times New Roman"/>
          <w:i w:val="false"/>
          <w:iCs w:val="false"/>
          <w:sz w:val="28"/>
          <w:szCs w:val="28"/>
          <w:lang w:val="ru-RU"/>
        </w:rPr>
        <w:t xml:space="preserve">), </w:t>
      </w:r>
      <w:r>
        <w:rPr>
          <w:rFonts w:ascii="Times New Roman" w:hAnsi="Times New Roman"/>
          <w:i/>
          <w:iCs/>
          <w:sz w:val="28"/>
          <w:szCs w:val="28"/>
          <w:lang w:val="ru-RU"/>
        </w:rPr>
        <w:t>Oryzoideae</w:t>
      </w:r>
      <w:r>
        <w:rPr>
          <w:rFonts w:ascii="Times New Roman" w:hAnsi="Times New Roman"/>
          <w:i w:val="false"/>
          <w:iCs w:val="false"/>
          <w:sz w:val="28"/>
          <w:szCs w:val="28"/>
          <w:lang w:val="ru-RU"/>
        </w:rPr>
        <w:t xml:space="preserve"> (род </w:t>
      </w:r>
      <w:r>
        <w:rPr>
          <w:rFonts w:ascii="Times New Roman" w:hAnsi="Times New Roman"/>
          <w:i/>
          <w:iCs/>
          <w:sz w:val="28"/>
          <w:szCs w:val="28"/>
          <w:lang w:val="ru-RU"/>
        </w:rPr>
        <w:t>Oryza</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Panicoideae</w:t>
      </w:r>
      <w:r>
        <w:rPr>
          <w:rFonts w:ascii="Times New Roman" w:hAnsi="Times New Roman"/>
          <w:i w:val="false"/>
          <w:iCs w:val="false"/>
          <w:sz w:val="28"/>
          <w:szCs w:val="28"/>
          <w:lang w:val="ru-RU"/>
        </w:rPr>
        <w:t xml:space="preserve"> (роды </w:t>
      </w:r>
      <w:r>
        <w:rPr>
          <w:rFonts w:ascii="Times New Roman" w:hAnsi="Times New Roman"/>
          <w:i/>
          <w:iCs/>
          <w:sz w:val="28"/>
          <w:szCs w:val="28"/>
          <w:lang w:val="ru-RU"/>
        </w:rPr>
        <w:t>Panicum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Zea</w:t>
      </w:r>
      <w:r>
        <w:rPr>
          <w:rFonts w:ascii="Times New Roman" w:hAnsi="Times New Roman"/>
          <w:i w:val="false"/>
          <w:iCs w:val="false"/>
          <w:sz w:val="28"/>
          <w:szCs w:val="28"/>
          <w:lang w:val="ru-RU"/>
        </w:rPr>
        <w:t>). Такие заметные кластеры были выявлены в сравнении с известной таксономией во всех идентифицированных кладах, однако подробное обсуждение всех систематических групп выходит за рамки настоящего исследования.</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 общей сложности 219 последовательностей MLO, принадлежащих видам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были идентифицированы в девяти кладах. Семейство было представлено шестью видами </w:t>
      </w:r>
      <w:r>
        <w:rPr>
          <w:rFonts w:ascii="Times New Roman" w:hAnsi="Times New Roman"/>
          <w:i/>
          <w:iCs/>
          <w:sz w:val="28"/>
          <w:szCs w:val="28"/>
          <w:lang w:val="ru-RU"/>
        </w:rPr>
        <w:t>Solanum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S. chacoense, S. chilense, S. lycopersicum, S. melongena, S. tuberosum</w:t>
      </w:r>
      <w:r>
        <w:rPr>
          <w:rFonts w:ascii="Times New Roman" w:hAnsi="Times New Roman"/>
          <w:i w:val="false"/>
          <w:iCs w:val="false"/>
          <w:sz w:val="28"/>
          <w:szCs w:val="28"/>
          <w:lang w:val="ru-RU"/>
        </w:rPr>
        <w:t xml:space="preserve">), четырьмя видами </w:t>
      </w:r>
      <w:r>
        <w:rPr>
          <w:rFonts w:ascii="Times New Roman" w:hAnsi="Times New Roman"/>
          <w:i/>
          <w:iCs/>
          <w:sz w:val="28"/>
          <w:szCs w:val="28"/>
          <w:lang w:val="ru-RU"/>
        </w:rPr>
        <w:t>Nicotiana</w:t>
      </w:r>
      <w:r>
        <w:rPr>
          <w:rFonts w:ascii="Times New Roman" w:hAnsi="Times New Roman"/>
          <w:i w:val="false"/>
          <w:iCs w:val="false"/>
          <w:sz w:val="28"/>
          <w:szCs w:val="28"/>
          <w:lang w:val="ru-RU"/>
        </w:rPr>
        <w:t xml:space="preserve"> (</w:t>
      </w:r>
      <w:r>
        <w:rPr>
          <w:rFonts w:ascii="Times New Roman" w:hAnsi="Times New Roman"/>
          <w:i/>
          <w:iCs/>
          <w:sz w:val="28"/>
          <w:szCs w:val="28"/>
          <w:lang w:val="ru-RU"/>
        </w:rPr>
        <w:t>N. attenuata, N. sylvestris, N. tabacum, N. tomentosiformes</w:t>
      </w:r>
      <w:r>
        <w:rPr>
          <w:rFonts w:ascii="Times New Roman" w:hAnsi="Times New Roman"/>
          <w:i w:val="false"/>
          <w:iCs w:val="false"/>
          <w:sz w:val="28"/>
          <w:szCs w:val="28"/>
          <w:lang w:val="ru-RU"/>
        </w:rPr>
        <w:t xml:space="preserve">), тремя видами </w:t>
      </w:r>
      <w:r>
        <w:rPr>
          <w:rFonts w:ascii="Times New Roman" w:hAnsi="Times New Roman"/>
          <w:i/>
          <w:iCs/>
          <w:sz w:val="28"/>
          <w:szCs w:val="28"/>
          <w:lang w:val="ru-RU"/>
        </w:rPr>
        <w:t>Capsicum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C. annuum, C. baccatum, C. chinense</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Petunia hybrida</w:t>
      </w:r>
      <w:r>
        <w:rPr>
          <w:rFonts w:ascii="Times New Roman" w:hAnsi="Times New Roman"/>
          <w:i w:val="false"/>
          <w:iCs w:val="false"/>
          <w:sz w:val="28"/>
          <w:szCs w:val="28"/>
          <w:lang w:val="ru-RU"/>
        </w:rPr>
        <w:t xml:space="preserve">. Для белков MLO томата была установлена филогенетическая классификация (таблица 27). Можно заметить, что белки MLO1, MLO5, MLO8, гены которых являются основным предметом настоящей работы, локализованы в одной кладе с2.2.3 (в предыдущих исследованиях также объединялись в одну филогенетическую группу [15]. Клада c2.2.3 также содержала четыре группы MLO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расположенных в разных субкладах (рисунок 23). </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drawing>
          <wp:anchor behindDoc="0" distT="0" distB="0" distL="0" distR="0" simplePos="0" locked="0" layoutInCell="0" allowOverlap="1" relativeHeight="5">
            <wp:simplePos x="0" y="0"/>
            <wp:positionH relativeFrom="column">
              <wp:posOffset>0</wp:posOffset>
            </wp:positionH>
            <wp:positionV relativeFrom="paragraph">
              <wp:posOffset>153670</wp:posOffset>
            </wp:positionV>
            <wp:extent cx="6120130" cy="2592705"/>
            <wp:effectExtent l="0" t="0" r="0" b="0"/>
            <wp:wrapTopAndBottom/>
            <wp:docPr id="23"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7" descr="" title=""/>
                    <pic:cNvPicPr>
                      <a:picLocks noChangeAspect="1" noChangeArrowheads="1"/>
                    </pic:cNvPicPr>
                  </pic:nvPicPr>
                  <pic:blipFill>
                    <a:blip r:embed="rId30"/>
                    <a:stretch>
                      <a:fillRect/>
                    </a:stretch>
                  </pic:blipFill>
                  <pic:spPr bwMode="auto">
                    <a:xfrm>
                      <a:off x="0" y="0"/>
                      <a:ext cx="6120130" cy="2592705"/>
                    </a:xfrm>
                    <a:prstGeom prst="rect">
                      <a:avLst/>
                    </a:prstGeom>
                  </pic:spPr>
                </pic:pic>
              </a:graphicData>
            </a:graphic>
          </wp:anchor>
        </w:drawing>
      </w:r>
    </w:p>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center"/>
        <w:rPr>
          <w:rFonts w:ascii="Times New Roman" w:hAnsi="Times New Roman"/>
        </w:rPr>
      </w:pPr>
      <w:r>
        <w:rPr>
          <w:rFonts w:ascii="Times New Roman" w:hAnsi="Times New Roman"/>
          <w:i w:val="false"/>
          <w:iCs w:val="false"/>
          <w:sz w:val="28"/>
          <w:szCs w:val="28"/>
          <w:lang w:val="ru-RU"/>
        </w:rPr>
        <w:t xml:space="preserve">Рисунок 23– Подгруппы белков MLO, принадлежащих видам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в соответствии с белками томата: 1 – SlMLO5; 2 – SlMLO1; 3 – SlMLO8; 4 – SlMLO3.</w:t>
      </w:r>
    </w:p>
    <w:p>
      <w:pPr>
        <w:pStyle w:val="Normal"/>
        <w:ind w:hanging="0" w:start="0" w:end="0"/>
        <w:jc w:val="center"/>
        <w:rPr>
          <w:rFonts w:ascii="Times New Roman" w:hAnsi="Times New Roman"/>
          <w:lang w:val="ru-RU"/>
        </w:rPr>
      </w:pPr>
      <w:r>
        <w:rPr>
          <w:rFonts w:ascii="Times New Roman" w:hAnsi="Times New Roman"/>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 xml:space="preserve">SlMLO1, основной фактор восприимчивости к мучнистой росе у томата, находится в самой большой группе вместе с разнообразным набором последовательностей из родов </w:t>
      </w:r>
      <w:r>
        <w:rPr>
          <w:rFonts w:ascii="Times New Roman" w:hAnsi="Times New Roman"/>
          <w:i/>
          <w:iCs/>
          <w:sz w:val="28"/>
          <w:szCs w:val="28"/>
          <w:lang w:val="ru-RU"/>
        </w:rPr>
        <w:t>Solanum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Capsicum</w:t>
      </w:r>
      <w:r>
        <w:rPr>
          <w:rFonts w:ascii="Times New Roman" w:hAnsi="Times New Roman"/>
          <w:i w:val="false"/>
          <w:iCs w:val="false"/>
          <w:sz w:val="28"/>
          <w:szCs w:val="28"/>
          <w:lang w:val="ru-RU"/>
        </w:rPr>
        <w:t xml:space="preserve">, а также </w:t>
      </w:r>
      <w:r>
        <w:rPr>
          <w:rFonts w:ascii="Times New Roman" w:hAnsi="Times New Roman"/>
          <w:i/>
          <w:iCs/>
          <w:sz w:val="28"/>
          <w:szCs w:val="28"/>
          <w:lang w:val="ru-RU"/>
        </w:rPr>
        <w:t>Nicotiana</w:t>
      </w:r>
      <w:r>
        <w:rPr>
          <w:rFonts w:ascii="Times New Roman" w:hAnsi="Times New Roman"/>
          <w:i w:val="false"/>
          <w:iCs w:val="false"/>
          <w:sz w:val="28"/>
          <w:szCs w:val="28"/>
          <w:lang w:val="ru-RU"/>
        </w:rPr>
        <w:t xml:space="preserve"> spp. и </w:t>
      </w:r>
      <w:r>
        <w:rPr>
          <w:rFonts w:ascii="Times New Roman" w:hAnsi="Times New Roman"/>
          <w:i/>
          <w:iCs/>
          <w:sz w:val="28"/>
          <w:szCs w:val="28"/>
          <w:lang w:val="ru-RU"/>
        </w:rPr>
        <w:t>Petunia hybrida</w:t>
      </w:r>
      <w:r>
        <w:rPr>
          <w:rFonts w:ascii="Times New Roman" w:hAnsi="Times New Roman"/>
          <w:i w:val="false"/>
          <w:iCs w:val="false"/>
          <w:sz w:val="28"/>
          <w:szCs w:val="28"/>
          <w:lang w:val="ru-RU"/>
        </w:rPr>
        <w:t xml:space="preserve">. Эта группа гомологов демонстрировала заметную вариабельность между родами. SlMLO1 (локус Solyc04g049090.3.1) имеет три изоформы, отличающиеся незначительными аминокислотными изменениями (A0A3Q7G0J2_SOLLC, Q56BA6_SOLLC, A0A1C9A1D2_SOLLC). Интересно, что в третьей внутриклеточной петле белка MLO из </w:t>
      </w:r>
      <w:r>
        <w:rPr>
          <w:rFonts w:ascii="Times New Roman" w:hAnsi="Times New Roman"/>
          <w:i/>
          <w:iCs/>
          <w:sz w:val="28"/>
          <w:szCs w:val="28"/>
          <w:lang w:val="ru-RU"/>
        </w:rPr>
        <w:t>N. sylvestris</w:t>
      </w:r>
      <w:r>
        <w:rPr>
          <w:rFonts w:ascii="Times New Roman" w:hAnsi="Times New Roman"/>
          <w:i w:val="false"/>
          <w:iCs w:val="false"/>
          <w:sz w:val="28"/>
          <w:szCs w:val="28"/>
          <w:lang w:val="ru-RU"/>
        </w:rPr>
        <w:t xml:space="preserve"> была обнаружена мутация со сдвигом рамки считывания, нарушающая последующие последовательности. Такая мутация может указывать на вариант, придающий устойчивость к мучнистой росе; однако имеющихся данных недостаточно для подтверждения этого. Вторая группа, содержащая SlMLO5 (Solyc03g095650.3.1), располагалась по соседству с группой SlMLO1 и включала только последовательности из </w:t>
      </w:r>
      <w:r>
        <w:rPr>
          <w:rFonts w:ascii="Times New Roman" w:hAnsi="Times New Roman"/>
          <w:i/>
          <w:iCs/>
          <w:sz w:val="28"/>
          <w:szCs w:val="28"/>
          <w:lang w:val="ru-RU"/>
        </w:rPr>
        <w:t>Solanum</w:t>
      </w:r>
      <w:r>
        <w:rPr>
          <w:rFonts w:ascii="Times New Roman" w:hAnsi="Times New Roman"/>
          <w:i w:val="false"/>
          <w:iCs w:val="false"/>
          <w:sz w:val="28"/>
          <w:szCs w:val="28"/>
          <w:lang w:val="ru-RU"/>
        </w:rPr>
        <w:t xml:space="preserve"> spp. Вариабельность между видами была низкой. Среди пяти изоформ из </w:t>
      </w:r>
      <w:r>
        <w:rPr>
          <w:rFonts w:ascii="Times New Roman" w:hAnsi="Times New Roman"/>
          <w:i/>
          <w:iCs/>
          <w:sz w:val="28"/>
          <w:szCs w:val="28"/>
          <w:lang w:val="ru-RU"/>
        </w:rPr>
        <w:t>S. lycopersicum</w:t>
      </w:r>
      <w:r>
        <w:rPr>
          <w:rFonts w:ascii="Times New Roman" w:hAnsi="Times New Roman"/>
          <w:i w:val="false"/>
          <w:iCs w:val="false"/>
          <w:sz w:val="28"/>
          <w:szCs w:val="28"/>
          <w:lang w:val="ru-RU"/>
        </w:rPr>
        <w:t xml:space="preserve"> наиболее заметными были XP_010318227.1 с первоначальной делецией около 70 аминокислот (такая же изоформа присутствует у </w:t>
      </w:r>
      <w:r>
        <w:rPr>
          <w:rFonts w:ascii="Times New Roman" w:hAnsi="Times New Roman"/>
          <w:i/>
          <w:iCs/>
          <w:sz w:val="28"/>
          <w:szCs w:val="28"/>
          <w:lang w:val="ru-RU"/>
        </w:rPr>
        <w:t>S. pennellii</w:t>
      </w:r>
      <w:r>
        <w:rPr>
          <w:rFonts w:ascii="Times New Roman" w:hAnsi="Times New Roman"/>
          <w:i w:val="false"/>
          <w:iCs w:val="false"/>
          <w:sz w:val="28"/>
          <w:szCs w:val="28"/>
          <w:lang w:val="ru-RU"/>
        </w:rPr>
        <w:t xml:space="preserve">) и A0A1C9A1G2_SOLLC со вставкой 37 аминокислот (307-344), заменяющих и расширяющих трансмембранный домен 4. Группы, включающие SlMLO3 (Solyc06g010030.4.1) и SlMLO8 (Solyc11g069220.2.1), были тесно связаны друг с другом и отделены от первых двух групп на филогенетическом дереве. Обе группы включали последовательности MLO из трех родов – </w:t>
      </w:r>
      <w:r>
        <w:rPr>
          <w:rFonts w:ascii="Times New Roman" w:hAnsi="Times New Roman"/>
          <w:i/>
          <w:iCs/>
          <w:sz w:val="28"/>
          <w:szCs w:val="28"/>
          <w:lang w:val="ru-RU"/>
        </w:rPr>
        <w:t>Solanum</w:t>
      </w:r>
      <w:r>
        <w:rPr>
          <w:rFonts w:ascii="Times New Roman" w:hAnsi="Times New Roman"/>
          <w:i w:val="false"/>
          <w:iCs w:val="false"/>
          <w:sz w:val="28"/>
          <w:szCs w:val="28"/>
          <w:lang w:val="ru-RU"/>
        </w:rPr>
        <w:t xml:space="preserve">, </w:t>
      </w:r>
      <w:r>
        <w:rPr>
          <w:rFonts w:ascii="Times New Roman" w:hAnsi="Times New Roman"/>
          <w:i/>
          <w:iCs/>
          <w:sz w:val="28"/>
          <w:szCs w:val="28"/>
          <w:lang w:val="ru-RU"/>
        </w:rPr>
        <w:t>Capscium</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Nicotiana</w:t>
      </w:r>
      <w:r>
        <w:rPr>
          <w:rFonts w:ascii="Times New Roman" w:hAnsi="Times New Roman"/>
          <w:i w:val="false"/>
          <w:iCs w:val="false"/>
          <w:sz w:val="28"/>
          <w:szCs w:val="28"/>
          <w:lang w:val="ru-RU"/>
        </w:rPr>
        <w:t xml:space="preserve">. </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Клада c2.2.3 (V K.) включает белки SlMLO, которые были связаны с процессом заражения мучнистой росой у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и других видов двудольных [142]. Четыре группы гомологов MLO у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вероятно, дифференцировались от двух предковых белков MLO. Если говорить о гомологах томатов, то SlMLO3 и SlMLO8 возникли в результате дупликации генов у общего предка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а SlMLO5 – из белка SlMLO1 у общего предка рода </w:t>
      </w:r>
      <w:r>
        <w:rPr>
          <w:rFonts w:ascii="Times New Roman" w:hAnsi="Times New Roman"/>
          <w:i/>
          <w:iCs/>
          <w:sz w:val="28"/>
          <w:szCs w:val="28"/>
          <w:lang w:val="ru-RU"/>
        </w:rPr>
        <w:t>Solanum</w:t>
      </w:r>
      <w:r>
        <w:rPr>
          <w:rFonts w:ascii="Times New Roman" w:hAnsi="Times New Roman"/>
          <w:i w:val="false"/>
          <w:iCs w:val="false"/>
          <w:sz w:val="28"/>
          <w:szCs w:val="28"/>
          <w:lang w:val="ru-RU"/>
        </w:rPr>
        <w:t xml:space="preserve">. Ранее было показано, что белок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играет центральную роль в восприимчивости томата к мучнистой росе [115], </w:t>
      </w:r>
      <w:r>
        <w:rPr>
          <w:rFonts w:ascii="Times New Roman" w:hAnsi="Times New Roman"/>
          <w:i/>
          <w:iCs/>
          <w:sz w:val="28"/>
          <w:szCs w:val="28"/>
          <w:lang w:val="ru-RU"/>
        </w:rPr>
        <w:t>SlMLO5</w:t>
      </w:r>
      <w:r>
        <w:rPr>
          <w:rFonts w:ascii="Times New Roman" w:hAnsi="Times New Roman"/>
          <w:i w:val="false"/>
          <w:iCs w:val="false"/>
          <w:sz w:val="28"/>
          <w:szCs w:val="28"/>
          <w:lang w:val="ru-RU"/>
        </w:rPr>
        <w:t xml:space="preserve"> и </w:t>
      </w:r>
      <w:r>
        <w:rPr>
          <w:rFonts w:ascii="Times New Roman" w:hAnsi="Times New Roman"/>
          <w:i/>
          <w:iCs/>
          <w:sz w:val="28"/>
          <w:szCs w:val="28"/>
          <w:lang w:val="ru-RU"/>
        </w:rPr>
        <w:t>SlMLO8</w:t>
      </w:r>
      <w:r>
        <w:rPr>
          <w:rFonts w:ascii="Times New Roman" w:hAnsi="Times New Roman"/>
          <w:i w:val="false"/>
          <w:iCs w:val="false"/>
          <w:sz w:val="28"/>
          <w:szCs w:val="28"/>
          <w:lang w:val="ru-RU"/>
        </w:rPr>
        <w:t xml:space="preserve"> оказывают незначительное влияние на инфекцию [19]. Хотя эти гомологи были связаны с белками AtMLO2, AtMLO6 и AtMLO12 из </w:t>
      </w:r>
      <w:r>
        <w:rPr>
          <w:rFonts w:ascii="Times New Roman" w:hAnsi="Times New Roman"/>
          <w:i/>
          <w:iCs/>
          <w:sz w:val="28"/>
          <w:szCs w:val="28"/>
          <w:lang w:val="ru-RU"/>
        </w:rPr>
        <w:t>A. thaliana</w:t>
      </w:r>
      <w:r>
        <w:rPr>
          <w:rFonts w:ascii="Times New Roman" w:hAnsi="Times New Roman"/>
          <w:i w:val="false"/>
          <w:iCs w:val="false"/>
          <w:sz w:val="28"/>
          <w:szCs w:val="28"/>
          <w:lang w:val="ru-RU"/>
        </w:rPr>
        <w:t xml:space="preserve">, а также с другими последовательностями, принадлежащими к этому кладу, точное соответствие с видами вне семейства не удалось установить из-за сложной смешанной структуры клада. Это может быть результатом независимых дупликаций в семействах и порядках покрытосеменных. </w:t>
      </w:r>
    </w:p>
    <w:p>
      <w:pPr>
        <w:pStyle w:val="Normal"/>
        <w:ind w:firstLine="680" w:start="0" w:end="0"/>
        <w:jc w:val="both"/>
        <w:rPr>
          <w:rFonts w:ascii="Times New Roman" w:hAnsi="Times New Roman"/>
        </w:rPr>
      </w:pPr>
      <w:r>
        <w:rPr>
          <w:rFonts w:ascii="Times New Roman" w:hAnsi="Times New Roman"/>
          <w:i w:val="false"/>
          <w:iCs w:val="false"/>
          <w:sz w:val="28"/>
          <w:szCs w:val="28"/>
          <w:lang w:val="ru-RU"/>
        </w:rPr>
        <w:t xml:space="preserve">Результаты анализа филогении MLO у видов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xml:space="preserve"> не дают окончательного ответа на вопрос, возможно ли применить методику редактирования генома, использованную в настоящей работе, для достижения устойчивости к мучнистой росе у этих видов. Несмотря на близкое филогенетическое родство последовательностей MLO пасленовых к соответствующим гомологам томата, их вклад в восприимчивость к мучнистой росе у этих видов неясен и требует дальнейшего изучения. Несмотря на развитие геномики пасленовых культур и продолжающиеся проекты по полногеномному секвенированию, проводимые консорциумом SGN [207], данные по геномам многих видов уступают в полноте и точности геному томату, что также затрудняет сравнение. Тем не менее, можно утверждать, что полученные результаты предоставляют точку отсчета для проведения аналогичных исследований и на других видах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Использованная система редактирования генома характеризуется модульностью: специфичность мутагенеза может быть легко модифицирована путем замены используемых олигонуклеотидов нРНК.</w:t>
      </w:r>
    </w:p>
    <w:p>
      <w:pPr>
        <w:pStyle w:val="Normal"/>
        <w:ind w:firstLine="737"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hanging="0" w:start="0" w:end="0"/>
        <w:jc w:val="both"/>
        <w:rPr>
          <w:rFonts w:ascii="Times New Roman" w:hAnsi="Times New Roman"/>
        </w:rPr>
      </w:pPr>
      <w:r>
        <w:rPr>
          <w:rFonts w:ascii="Times New Roman" w:hAnsi="Times New Roman"/>
          <w:i w:val="false"/>
          <w:iCs w:val="false"/>
          <w:sz w:val="28"/>
          <w:szCs w:val="28"/>
          <w:lang w:val="ru-RU"/>
        </w:rPr>
        <w:t>Таблица 27– Филогенетическая классификация MLO белков томата. Выделены гомологи, рассматриваемые в настоящей работе</w:t>
      </w:r>
    </w:p>
    <w:p>
      <w:pPr>
        <w:pStyle w:val="Normal"/>
        <w:ind w:hanging="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tbl>
      <w:tblPr>
        <w:tblW w:w="9668" w:type="dxa"/>
        <w:jc w:val="start"/>
        <w:tblInd w:w="-35" w:type="dxa"/>
        <w:tblLayout w:type="fixed"/>
        <w:tblCellMar>
          <w:top w:w="55" w:type="dxa"/>
          <w:start w:w="55" w:type="dxa"/>
          <w:bottom w:w="55" w:type="dxa"/>
          <w:end w:w="55" w:type="dxa"/>
        </w:tblCellMar>
      </w:tblPr>
      <w:tblGrid>
        <w:gridCol w:w="3343"/>
        <w:gridCol w:w="3238"/>
        <w:gridCol w:w="1464"/>
        <w:gridCol w:w="1622"/>
      </w:tblGrid>
      <w:tr>
        <w:trPr>
          <w:trHeight w:val="294" w:hRule="atLeast"/>
        </w:trPr>
        <w:tc>
          <w:tcPr>
            <w:tcW w:w="3343" w:type="dxa"/>
            <w:tcBorders>
              <w:top w:val="single" w:sz="4" w:space="0" w:color="000000"/>
              <w:start w:val="single" w:sz="4" w:space="0" w:color="000000"/>
              <w:bottom w:val="single" w:sz="4" w:space="0" w:color="000000"/>
            </w:tcBorders>
            <w:vAlign w:val="center"/>
          </w:tcPr>
          <w:p>
            <w:pPr>
              <w:pStyle w:val="Normal"/>
              <w:jc w:val="start"/>
              <w:rPr>
                <w:rFonts w:ascii="Times New Roman" w:hAnsi="Times New Roman"/>
              </w:rPr>
            </w:pPr>
            <w:r>
              <w:rPr>
                <w:rFonts w:ascii="Times New Roman" w:hAnsi="Times New Roman"/>
                <w:sz w:val="24"/>
                <w:szCs w:val="24"/>
                <w:lang w:val="ru-RU"/>
              </w:rPr>
              <w:t>Номер последовательности в базах данных NCBI/UniProt</w:t>
            </w:r>
          </w:p>
        </w:tc>
        <w:tc>
          <w:tcPr>
            <w:tcW w:w="3238" w:type="dxa"/>
            <w:tcBorders>
              <w:top w:val="single" w:sz="4" w:space="0" w:color="000000"/>
              <w:start w:val="single" w:sz="4" w:space="0" w:color="000000"/>
              <w:bottom w:val="single" w:sz="4" w:space="0" w:color="000000"/>
            </w:tcBorders>
            <w:vAlign w:val="center"/>
          </w:tcPr>
          <w:p>
            <w:pPr>
              <w:pStyle w:val="Normal"/>
              <w:jc w:val="start"/>
              <w:rPr>
                <w:rFonts w:ascii="Times New Roman" w:hAnsi="Times New Roman"/>
              </w:rPr>
            </w:pPr>
            <w:r>
              <w:rPr>
                <w:rFonts w:ascii="Times New Roman" w:hAnsi="Times New Roman"/>
                <w:sz w:val="24"/>
                <w:szCs w:val="24"/>
                <w:lang w:val="ru-RU"/>
              </w:rPr>
              <w:t>Локус, согласно сборке генома томата SL 2.5</w:t>
            </w:r>
          </w:p>
        </w:tc>
        <w:tc>
          <w:tcPr>
            <w:tcW w:w="1464" w:type="dxa"/>
            <w:tcBorders>
              <w:top w:val="single" w:sz="4" w:space="0" w:color="000000"/>
              <w:start w:val="single" w:sz="4" w:space="0" w:color="000000"/>
              <w:bottom w:val="single" w:sz="4" w:space="0" w:color="000000"/>
            </w:tcBorders>
            <w:vAlign w:val="center"/>
          </w:tcPr>
          <w:p>
            <w:pPr>
              <w:pStyle w:val="Normal"/>
              <w:jc w:val="start"/>
              <w:rPr>
                <w:rFonts w:ascii="Times New Roman" w:hAnsi="Times New Roman"/>
              </w:rPr>
            </w:pPr>
            <w:r>
              <w:rPr>
                <w:rFonts w:ascii="Times New Roman" w:hAnsi="Times New Roman"/>
                <w:sz w:val="24"/>
                <w:szCs w:val="24"/>
                <w:lang w:val="ru-RU"/>
              </w:rPr>
              <w:t>Клада</w:t>
            </w:r>
          </w:p>
        </w:tc>
        <w:tc>
          <w:tcPr>
            <w:tcW w:w="1622" w:type="dxa"/>
            <w:tcBorders>
              <w:top w:val="single" w:sz="4" w:space="0" w:color="000000"/>
              <w:start w:val="single" w:sz="4" w:space="0" w:color="000000"/>
              <w:bottom w:val="single" w:sz="4" w:space="0" w:color="000000"/>
              <w:end w:val="single" w:sz="4" w:space="0" w:color="000000"/>
            </w:tcBorders>
            <w:vAlign w:val="center"/>
          </w:tcPr>
          <w:p>
            <w:pPr>
              <w:pStyle w:val="Normal"/>
              <w:rPr>
                <w:rFonts w:ascii="Times New Roman" w:hAnsi="Times New Roman"/>
              </w:rPr>
            </w:pPr>
            <w:r>
              <w:rPr>
                <w:rFonts w:ascii="Times New Roman" w:hAnsi="Times New Roman"/>
                <w:sz w:val="24"/>
                <w:szCs w:val="24"/>
                <w:lang w:val="ru-RU"/>
              </w:rPr>
              <w:t>Имя гена, согласно [19]</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XP_004231310.1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Solyc01g102520.4.1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c1.2.1</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SlMLO11</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XP_004242449.1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Solyc06g082820.4.1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c1.2.2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SlMLO9</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A0A3Q7HJ89_SOLLC</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Solyc08g015870.3.1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c1.2.2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SlMLO2</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A0A1C9A1H9_SOLLC</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Solyc02g077570.3.1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c2.2.2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SlMLO15</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XP_004245231.1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Solyc08g067760.4.1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c2.1.2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SlMLO12</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XP_010314898.1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Solyc02g038806.1.1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c2.1.2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SlMLO4</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XP_004232584.1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Solyc02g082430.4.1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c2.1.2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SlMLO6</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i w:val="false"/>
                <w:iCs w:val="false"/>
                <w:sz w:val="24"/>
                <w:szCs w:val="24"/>
                <w:u w:val="single"/>
                <w:lang w:val="ru-RU"/>
              </w:rPr>
              <w:t>XP_025884137.1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i w:val="false"/>
                <w:iCs w:val="false"/>
                <w:sz w:val="24"/>
                <w:szCs w:val="24"/>
                <w:u w:val="single"/>
                <w:lang w:val="ru-RU"/>
              </w:rPr>
              <w:t>Solyc11g069220.2.1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i w:val="false"/>
                <w:iCs w:val="false"/>
                <w:sz w:val="24"/>
                <w:szCs w:val="24"/>
                <w:u w:val="single"/>
                <w:lang w:val="ru-RU"/>
              </w:rPr>
              <w:t>c2.2.3</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b/>
                <w:bCs/>
                <w:i w:val="false"/>
                <w:iCs w:val="false"/>
                <w:sz w:val="24"/>
                <w:szCs w:val="24"/>
                <w:u w:val="single"/>
                <w:lang w:val="ru-RU"/>
              </w:rPr>
              <w:t>SlMLO8</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XP_004240581.1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Solyc06g010030.4.1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c2.2.3</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SlMLO3</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A0A3Q7G0J2_SOLLC</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Solyc04g049090.3.1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c2.2.3</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SlMLO1</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XP_004235223.1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Solyc03g095650.3.1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c2.2.3</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b/>
                <w:bCs/>
                <w:sz w:val="24"/>
                <w:szCs w:val="24"/>
                <w:u w:val="single"/>
                <w:lang w:val="ru-RU"/>
              </w:rPr>
              <w:t>SlMLO5</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XP_004244217.1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Solyc07g063260.4.1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c1.1.1</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SlMLO14</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XP_004248847.1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Solyc10g044510.2.1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c1.1.2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SlMLO13</w:t>
            </w:r>
          </w:p>
        </w:tc>
      </w:tr>
      <w:tr>
        <w:trPr>
          <w:trHeight w:val="294" w:hRule="atLeast"/>
        </w:trPr>
        <w:tc>
          <w:tcPr>
            <w:tcW w:w="3343"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XP_019067935.1</w:t>
            </w:r>
          </w:p>
        </w:tc>
        <w:tc>
          <w:tcPr>
            <w:tcW w:w="3238"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Solyc02g083720.4.1</w:t>
            </w:r>
          </w:p>
        </w:tc>
        <w:tc>
          <w:tcPr>
            <w:tcW w:w="1464" w:type="dxa"/>
            <w:tcBorders>
              <w:start w:val="single" w:sz="4" w:space="0" w:color="000000"/>
              <w:bottom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c1.1.2</w:t>
            </w:r>
          </w:p>
        </w:tc>
        <w:tc>
          <w:tcPr>
            <w:tcW w:w="1622" w:type="dxa"/>
            <w:tcBorders>
              <w:start w:val="single" w:sz="4" w:space="0" w:color="000000"/>
              <w:bottom w:val="single" w:sz="4" w:space="0" w:color="000000"/>
              <w:end w:val="single" w:sz="4" w:space="0" w:color="000000"/>
            </w:tcBorders>
            <w:vAlign w:val="bottom"/>
          </w:tcPr>
          <w:p>
            <w:pPr>
              <w:pStyle w:val="Normal"/>
              <w:jc w:val="start"/>
              <w:rPr>
                <w:rFonts w:ascii="Times New Roman" w:hAnsi="Times New Roman"/>
              </w:rPr>
            </w:pPr>
            <w:r>
              <w:rPr>
                <w:rFonts w:ascii="Times New Roman" w:hAnsi="Times New Roman"/>
                <w:sz w:val="24"/>
                <w:szCs w:val="24"/>
                <w:lang w:val="ru-RU"/>
              </w:rPr>
              <w:t>SlMLO10</w:t>
            </w:r>
          </w:p>
        </w:tc>
      </w:tr>
    </w:tbl>
    <w:p>
      <w:pPr>
        <w:pStyle w:val="Normal"/>
        <w:ind w:firstLine="737" w:start="0" w:end="0"/>
        <w:jc w:val="center"/>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p>
    <w:p>
      <w:pPr>
        <w:pStyle w:val="Normal"/>
        <w:ind w:firstLine="737" w:start="0" w:end="0"/>
        <w:jc w:val="center"/>
        <w:rPr>
          <w:rFonts w:ascii="Times New Roman" w:hAnsi="Times New Roman"/>
          <w:b/>
          <w:bCs/>
          <w:sz w:val="28"/>
          <w:szCs w:val="28"/>
          <w:lang w:val="ru-RU"/>
        </w:rPr>
      </w:pPr>
      <w:r>
        <w:rPr>
          <w:rFonts w:ascii="Times New Roman" w:hAnsi="Times New Roman"/>
          <w:b/>
          <w:bCs/>
          <w:sz w:val="28"/>
          <w:szCs w:val="28"/>
          <w:lang w:val="ru-RU"/>
        </w:rPr>
      </w:r>
      <w:r>
        <w:br w:type="page"/>
      </w:r>
    </w:p>
    <w:p>
      <w:pPr>
        <w:pStyle w:val="Normal"/>
        <w:spacing w:before="0" w:after="0"/>
        <w:ind w:firstLine="737" w:start="0" w:end="0"/>
        <w:jc w:val="center"/>
        <w:rPr>
          <w:rFonts w:ascii="Times New Roman" w:hAnsi="Times New Roman"/>
        </w:rPr>
      </w:pPr>
      <w:r>
        <w:rPr>
          <w:rFonts w:ascii="Times New Roman" w:hAnsi="Times New Roman"/>
          <w:b/>
          <w:bCs/>
          <w:sz w:val="28"/>
          <w:szCs w:val="28"/>
          <w:lang w:val="ru-RU"/>
        </w:rPr>
        <w:t>ЗАКЛЮЧЕНИЕ</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pStyle w:val="Normal"/>
        <w:suppressAutoHyphens w:val="false"/>
        <w:ind w:firstLine="737" w:start="0" w:end="0"/>
        <w:jc w:val="both"/>
        <w:rPr>
          <w:rFonts w:ascii="Times New Roman" w:hAnsi="Times New Roman"/>
        </w:rPr>
      </w:pPr>
      <w:r>
        <w:rPr>
          <w:rFonts w:ascii="Times New Roman" w:hAnsi="Times New Roman"/>
          <w:sz w:val="28"/>
          <w:szCs w:val="28"/>
          <w:lang w:val="ru-RU"/>
        </w:rPr>
        <w:t xml:space="preserve">Настоящая работа представляет результаты исследований по редактированию генома сортов томата отечественной селекции с целью достижения устойчивости к мучнистой росе. Исследование с использованием молекулярных маркеров (SSR, SCAR, CAPS) было проведено предварительно для выяснения генетической структуры местных сортов и определения генотипов, несущих маркеры устойчивости, как перспективных кандидатов для достижения множественной резистентности против патогенов. Для локального генофонда томата, используемого в селекционных программах Казахстана, данная работа проведена одной их первых в республике. Результаты показали отсутствие маркеров устойчивости к трем вирусным заболеваниям и наличие маркеров устойчивости к </w:t>
      </w:r>
      <w:r>
        <w:rPr>
          <w:rFonts w:ascii="Times New Roman" w:hAnsi="Times New Roman"/>
          <w:i/>
          <w:iCs/>
          <w:sz w:val="28"/>
          <w:szCs w:val="28"/>
          <w:lang w:val="ru-RU"/>
        </w:rPr>
        <w:t xml:space="preserve">Phythophthora infestans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Fusarium oxysporum</w:t>
      </w:r>
      <w:r>
        <w:rPr>
          <w:rFonts w:ascii="Times New Roman" w:hAnsi="Times New Roman"/>
          <w:sz w:val="28"/>
          <w:szCs w:val="28"/>
          <w:lang w:val="ru-RU"/>
        </w:rPr>
        <w:t xml:space="preserve">. Сорта Лидер и Меруерт, несущие маркеры устойчивости к </w:t>
      </w:r>
      <w:r>
        <w:rPr>
          <w:rFonts w:ascii="Times New Roman" w:hAnsi="Times New Roman"/>
          <w:i/>
          <w:iCs/>
          <w:sz w:val="28"/>
          <w:szCs w:val="28"/>
          <w:lang w:val="ru-RU"/>
        </w:rPr>
        <w:t xml:space="preserve">P. infestans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 xml:space="preserve">F. oxysporum </w:t>
      </w:r>
      <w:r>
        <w:rPr>
          <w:rFonts w:ascii="Times New Roman" w:hAnsi="Times New Roman"/>
          <w:i w:val="false"/>
          <w:iCs w:val="false"/>
          <w:sz w:val="28"/>
          <w:szCs w:val="28"/>
          <w:lang w:val="ru-RU"/>
        </w:rPr>
        <w:t xml:space="preserve">были выбраны как объект для редактирования генов </w:t>
      </w:r>
      <w:r>
        <w:rPr>
          <w:rFonts w:ascii="Times New Roman" w:hAnsi="Times New Roman"/>
          <w:i/>
          <w:iCs/>
          <w:sz w:val="28"/>
          <w:szCs w:val="28"/>
          <w:lang w:val="ru-RU"/>
        </w:rPr>
        <w:t>SlMLO1,5,8</w:t>
      </w:r>
      <w:r>
        <w:rPr>
          <w:rFonts w:ascii="Times New Roman" w:hAnsi="Times New Roman"/>
          <w:i w:val="false"/>
          <w:iCs w:val="false"/>
          <w:sz w:val="28"/>
          <w:szCs w:val="28"/>
          <w:lang w:val="ru-RU"/>
        </w:rPr>
        <w:t>, ассоциированных с восприимчивостью к мучнистой росе, таким образом, чтобы конечным результатом работы были линнии, обладающие множественной резистентностью к грибковым заболеваниям – мучнистой росе и фузариозу – и фитофторозу.</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 xml:space="preserve">Выбранный подход к редактированию генома был основан на инактивации соответствующих генов томата группы </w:t>
      </w:r>
      <w:r>
        <w:rPr>
          <w:rFonts w:ascii="Times New Roman" w:hAnsi="Times New Roman"/>
          <w:i/>
          <w:iCs/>
          <w:sz w:val="28"/>
          <w:szCs w:val="28"/>
          <w:lang w:val="ru-RU"/>
        </w:rPr>
        <w:t xml:space="preserve">Mlo </w:t>
      </w:r>
      <w:r>
        <w:rPr>
          <w:rFonts w:ascii="Times New Roman" w:hAnsi="Times New Roman"/>
          <w:i w:val="false"/>
          <w:iCs w:val="false"/>
          <w:sz w:val="28"/>
          <w:szCs w:val="28"/>
          <w:lang w:val="ru-RU"/>
        </w:rPr>
        <w:t xml:space="preserve">путем внесения специфических делеций системой CRISPR/cas9. В отличие от предыдущих исследований, в данной работе были протестированы одновременные мутации в указанных генах с целью проверить, усиливает ли взаимодействие между мутантными генами  </w:t>
      </w:r>
      <w:r>
        <w:rPr>
          <w:rFonts w:ascii="Times New Roman" w:hAnsi="Times New Roman"/>
          <w:i/>
          <w:iCs/>
          <w:sz w:val="28"/>
          <w:szCs w:val="28"/>
          <w:lang w:val="ru-RU"/>
        </w:rPr>
        <w:t xml:space="preserve">SlMlo1, SlMlo5, SlMlo8 </w:t>
      </w:r>
      <w:r>
        <w:rPr>
          <w:rFonts w:ascii="Times New Roman" w:hAnsi="Times New Roman"/>
          <w:i w:val="false"/>
          <w:iCs w:val="false"/>
          <w:sz w:val="28"/>
          <w:szCs w:val="28"/>
          <w:lang w:val="ru-RU"/>
        </w:rPr>
        <w:t xml:space="preserve">устойчивость к мучнистой росе. Были получены растения, несущие мутации в генах </w:t>
      </w:r>
      <w:r>
        <w:rPr>
          <w:rFonts w:ascii="Times New Roman" w:hAnsi="Times New Roman"/>
          <w:i/>
          <w:iCs/>
          <w:sz w:val="28"/>
          <w:szCs w:val="28"/>
          <w:lang w:val="ru-RU"/>
        </w:rPr>
        <w:t xml:space="preserve">SlMlo1, SlMlo5, SlMlo8. </w:t>
      </w:r>
      <w:r>
        <w:rPr>
          <w:rFonts w:ascii="Times New Roman" w:hAnsi="Times New Roman"/>
          <w:i w:val="false"/>
          <w:iCs w:val="false"/>
          <w:sz w:val="28"/>
          <w:szCs w:val="28"/>
          <w:lang w:val="ru-RU"/>
        </w:rPr>
        <w:t xml:space="preserve">Несмотря на наличие мозаицизма, то есть неполного охвата клеток растения редактированием генов, растения с мутантным геном </w:t>
      </w:r>
      <w:r>
        <w:rPr>
          <w:rFonts w:ascii="Times New Roman" w:hAnsi="Times New Roman"/>
          <w:i/>
          <w:iCs/>
          <w:sz w:val="28"/>
          <w:szCs w:val="28"/>
          <w:lang w:val="ru-RU"/>
        </w:rPr>
        <w:t xml:space="preserve">SlMlo1 </w:t>
      </w:r>
      <w:r>
        <w:rPr>
          <w:rFonts w:ascii="Times New Roman" w:hAnsi="Times New Roman"/>
          <w:i w:val="false"/>
          <w:iCs w:val="false"/>
          <w:sz w:val="28"/>
          <w:szCs w:val="28"/>
          <w:lang w:val="ru-RU"/>
        </w:rPr>
        <w:t xml:space="preserve">продемонстрировали устойчивость к </w:t>
      </w:r>
      <w:r>
        <w:rPr>
          <w:rFonts w:ascii="Times New Roman" w:hAnsi="Times New Roman"/>
          <w:i/>
          <w:iCs/>
          <w:sz w:val="28"/>
          <w:szCs w:val="28"/>
          <w:lang w:val="ru-RU"/>
        </w:rPr>
        <w:t xml:space="preserve">O. neolycоpersici </w:t>
      </w:r>
      <w:r>
        <w:rPr>
          <w:rFonts w:ascii="Times New Roman" w:hAnsi="Times New Roman"/>
          <w:i w:val="false"/>
          <w:iCs w:val="false"/>
          <w:sz w:val="28"/>
          <w:szCs w:val="28"/>
          <w:lang w:val="ru-RU"/>
        </w:rPr>
        <w:t xml:space="preserve"> при заражении в лабораторных условиях, в то время как для мутаций в генах </w:t>
      </w:r>
      <w:r>
        <w:rPr>
          <w:rFonts w:ascii="Times New Roman" w:hAnsi="Times New Roman"/>
          <w:i/>
          <w:iCs/>
          <w:sz w:val="28"/>
          <w:szCs w:val="28"/>
          <w:lang w:val="ru-RU"/>
        </w:rPr>
        <w:t xml:space="preserve">SlMlo5 </w:t>
      </w:r>
      <w:r>
        <w:rPr>
          <w:rFonts w:ascii="Times New Roman" w:hAnsi="Times New Roman"/>
          <w:i w:val="false"/>
          <w:iCs w:val="false"/>
          <w:sz w:val="28"/>
          <w:szCs w:val="28"/>
          <w:lang w:val="ru-RU"/>
        </w:rPr>
        <w:t>и</w:t>
      </w:r>
      <w:r>
        <w:rPr>
          <w:rFonts w:ascii="Times New Roman" w:hAnsi="Times New Roman"/>
          <w:i/>
          <w:iCs/>
          <w:sz w:val="28"/>
          <w:szCs w:val="28"/>
          <w:lang w:val="ru-RU"/>
        </w:rPr>
        <w:t xml:space="preserve"> SlMlo8 </w:t>
      </w:r>
      <w:r>
        <w:rPr>
          <w:rFonts w:ascii="Times New Roman" w:hAnsi="Times New Roman"/>
          <w:i w:val="false"/>
          <w:iCs w:val="false"/>
          <w:sz w:val="28"/>
          <w:szCs w:val="28"/>
          <w:lang w:val="ru-RU"/>
        </w:rPr>
        <w:t xml:space="preserve">заметного влияния на устойчивость обнаружено не было, как для индивидуальных мутаций, так и в комбинациях. Полученным результатом являются промежуточные лабораторные линии, требующие дальнейших работ для введения в селекционную практику. Во-первых, необходимо исключение мозаицизма для получения чистых линий. Данная задача будет достигаться путем серий размножения </w:t>
      </w:r>
      <w:r>
        <w:rPr>
          <w:rFonts w:ascii="Times New Roman" w:hAnsi="Times New Roman"/>
          <w:i/>
          <w:iCs/>
          <w:sz w:val="28"/>
          <w:szCs w:val="28"/>
          <w:lang w:val="ru-RU"/>
        </w:rPr>
        <w:t>in vitro</w:t>
      </w:r>
      <w:r>
        <w:rPr>
          <w:rFonts w:ascii="Times New Roman" w:hAnsi="Times New Roman"/>
          <w:i w:val="false"/>
          <w:iCs w:val="false"/>
          <w:sz w:val="28"/>
          <w:szCs w:val="28"/>
          <w:lang w:val="ru-RU"/>
        </w:rPr>
        <w:t xml:space="preserve"> культур клеток и тканей томата с контролем полноты мутагенеза методом секвенирования; регенеранты, показывающие полное присутствие мутаций в клетках (ок. 95-100% прочтений с мутациями при секвенировании будут использованы для получения генеративных поколений. Во-вторых, растения, сохраняющие в своем геноме систему редактирования CRISPR/Cas9, по определению будут являться трансгенными, или генетически модифицированными (ГМО) организмами. Таким образом, введение полученных мутантных линий в селекционную практику возможно только при условии исключения соответствующих вставок из генома, что достигается последовательным культивированием самоопыляющихся растений до полного исключения (выщепления) Т-ДНК под контролем молекулярных методов анализа (ПЦР и секвенирование).</w:t>
      </w:r>
    </w:p>
    <w:p>
      <w:pPr>
        <w:pStyle w:val="Normal"/>
        <w:ind w:firstLine="737" w:start="0" w:end="0"/>
        <w:jc w:val="both"/>
        <w:rPr>
          <w:rFonts w:ascii="Times New Roman" w:hAnsi="Times New Roman"/>
        </w:rPr>
      </w:pPr>
      <w:r>
        <w:rPr>
          <w:rFonts w:ascii="Times New Roman" w:hAnsi="Times New Roman"/>
          <w:i w:val="false"/>
          <w:iCs w:val="false"/>
          <w:sz w:val="28"/>
          <w:szCs w:val="28"/>
          <w:lang w:val="ru-RU"/>
        </w:rPr>
        <w:t>По результатам работы сделаны следующие выводы:</w:t>
      </w:r>
    </w:p>
    <w:p>
      <w:pPr>
        <w:pStyle w:val="Normal"/>
        <w:numPr>
          <w:ilvl w:val="0"/>
          <w:numId w:val="1"/>
        </w:numPr>
        <w:suppressAutoHyphens w:val="false"/>
        <w:ind w:firstLine="737" w:start="0" w:end="0"/>
        <w:jc w:val="both"/>
        <w:rPr/>
      </w:pPr>
      <w:r>
        <w:rPr>
          <w:rFonts w:ascii="Times New Roman" w:hAnsi="Times New Roman"/>
          <w:i w:val="false"/>
          <w:iCs w:val="false"/>
          <w:sz w:val="28"/>
          <w:szCs w:val="28"/>
          <w:lang w:val="ru-RU"/>
        </w:rPr>
        <w:t>Казахстанские сорта томата обладают высокой степенью родства друг с другом и близки к российским сортам.</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Среди казахстанских сортов маркеров устойчивости к вирусным патогенам не обнаружено. 8 казахстанских сортов обладали устойчивым генотипом маркера At2, сорт “Меруерт” обладал также устойчивым генотипом маркера Z103 (</w:t>
      </w:r>
      <w:r>
        <w:rPr>
          <w:rFonts w:ascii="Times New Roman" w:hAnsi="Times New Roman"/>
          <w:i/>
          <w:iCs/>
          <w:sz w:val="28"/>
          <w:szCs w:val="28"/>
          <w:lang w:val="ru-RU"/>
        </w:rPr>
        <w:t>F. oxysporum</w:t>
      </w:r>
      <w:r>
        <w:rPr>
          <w:rFonts w:ascii="Times New Roman" w:hAnsi="Times New Roman"/>
          <w:i w:val="false"/>
          <w:iCs w:val="false"/>
          <w:sz w:val="28"/>
          <w:szCs w:val="28"/>
          <w:lang w:val="ru-RU"/>
        </w:rPr>
        <w:t>) 2 казахстанских сорта, “Меруерт” и “Лидер”, обладали устойчивым генотипом маркера Ph3 (</w:t>
      </w:r>
      <w:r>
        <w:rPr>
          <w:rFonts w:ascii="Times New Roman" w:hAnsi="Times New Roman"/>
          <w:i/>
          <w:iCs/>
          <w:sz w:val="28"/>
          <w:szCs w:val="28"/>
          <w:lang w:val="ru-RU"/>
        </w:rPr>
        <w:t>P. Infestans</w:t>
      </w:r>
      <w:r>
        <w:rPr>
          <w:rFonts w:ascii="Times New Roman" w:hAnsi="Times New Roman"/>
          <w:i w:val="false"/>
          <w:iCs w:val="false"/>
          <w:sz w:val="28"/>
          <w:szCs w:val="28"/>
          <w:lang w:val="ru-RU"/>
        </w:rPr>
        <w:t>).</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Сорта “Меруерт” и “Лидер”, несущие маркеры устойчивости к </w:t>
      </w:r>
      <w:r>
        <w:rPr>
          <w:rFonts w:ascii="Times New Roman" w:hAnsi="Times New Roman"/>
          <w:i/>
          <w:iCs/>
          <w:sz w:val="28"/>
          <w:szCs w:val="28"/>
          <w:lang w:val="ru-RU"/>
        </w:rPr>
        <w:t xml:space="preserve">F. oxysporum </w:t>
      </w:r>
      <w:r>
        <w:rPr>
          <w:rFonts w:ascii="Times New Roman" w:hAnsi="Times New Roman"/>
          <w:i w:val="false"/>
          <w:iCs w:val="false"/>
          <w:sz w:val="28"/>
          <w:szCs w:val="28"/>
          <w:lang w:val="ru-RU"/>
        </w:rPr>
        <w:t xml:space="preserve">и </w:t>
      </w:r>
      <w:r>
        <w:rPr>
          <w:rFonts w:ascii="Times New Roman" w:hAnsi="Times New Roman"/>
          <w:i/>
          <w:iCs/>
          <w:sz w:val="28"/>
          <w:szCs w:val="28"/>
          <w:lang w:val="ru-RU"/>
        </w:rPr>
        <w:t>P. Infestans,</w:t>
      </w:r>
      <w:r>
        <w:rPr>
          <w:rFonts w:ascii="Times New Roman" w:hAnsi="Times New Roman"/>
          <w:i w:val="false"/>
          <w:iCs w:val="false"/>
          <w:sz w:val="28"/>
          <w:szCs w:val="28"/>
          <w:lang w:val="ru-RU"/>
        </w:rPr>
        <w:t xml:space="preserve"> отобраны как кандидаты для редактирования генома.</w:t>
      </w:r>
    </w:p>
    <w:p>
      <w:pPr>
        <w:pStyle w:val="Normal"/>
        <w:numPr>
          <w:ilvl w:val="0"/>
          <w:numId w:val="1"/>
        </w:numPr>
        <w:suppressAutoHyphens w:val="false"/>
        <w:spacing w:before="0" w:after="0"/>
        <w:ind w:firstLine="737" w:start="0" w:end="0"/>
        <w:jc w:val="both"/>
        <w:rPr>
          <w:rFonts w:ascii="Times New Roman" w:hAnsi="Times New Roman"/>
        </w:rPr>
      </w:pPr>
      <w:r>
        <w:rPr>
          <w:rFonts w:ascii="Times New Roman" w:hAnsi="Times New Roman"/>
          <w:i w:val="false"/>
          <w:iCs w:val="false"/>
          <w:sz w:val="28"/>
          <w:szCs w:val="28"/>
          <w:lang w:val="ru-RU"/>
        </w:rPr>
        <w:t xml:space="preserve">Успешно проведена сборка, клонирование и трансформация растений векторными конструкциями для редактирования генов </w:t>
      </w:r>
      <w:r>
        <w:rPr>
          <w:rFonts w:ascii="Times New Roman" w:hAnsi="Times New Roman"/>
          <w:i/>
          <w:iCs/>
          <w:sz w:val="28"/>
          <w:szCs w:val="28"/>
          <w:lang w:val="ru-RU"/>
        </w:rPr>
        <w:t>SlMlo1</w:t>
      </w:r>
      <w:r>
        <w:rPr>
          <w:rFonts w:ascii="Times New Roman" w:hAnsi="Times New Roman"/>
          <w:i w:val="false"/>
          <w:iCs w:val="false"/>
          <w:sz w:val="28"/>
          <w:szCs w:val="28"/>
          <w:lang w:val="ru-RU"/>
        </w:rPr>
        <w:t xml:space="preserve">, </w:t>
      </w:r>
      <w:r>
        <w:rPr>
          <w:rFonts w:ascii="Times New Roman" w:hAnsi="Times New Roman"/>
          <w:i/>
          <w:iCs/>
          <w:sz w:val="28"/>
          <w:szCs w:val="28"/>
          <w:lang w:val="ru-RU"/>
        </w:rPr>
        <w:t>SlMl5</w:t>
      </w:r>
      <w:r>
        <w:rPr>
          <w:rFonts w:ascii="Times New Roman" w:hAnsi="Times New Roman"/>
          <w:i w:val="false"/>
          <w:iCs w:val="false"/>
          <w:sz w:val="28"/>
          <w:szCs w:val="28"/>
          <w:lang w:val="ru-RU"/>
        </w:rPr>
        <w:t xml:space="preserve">, </w:t>
      </w:r>
      <w:r>
        <w:rPr>
          <w:rFonts w:ascii="Times New Roman" w:hAnsi="Times New Roman"/>
          <w:i/>
          <w:iCs/>
          <w:sz w:val="28"/>
          <w:szCs w:val="28"/>
          <w:lang w:val="ru-RU"/>
        </w:rPr>
        <w:t>SlMlo8</w:t>
      </w:r>
      <w:r>
        <w:rPr>
          <w:rFonts w:ascii="Times New Roman" w:hAnsi="Times New Roman"/>
          <w:i w:val="false"/>
          <w:iCs w:val="false"/>
          <w:sz w:val="28"/>
          <w:szCs w:val="28"/>
          <w:lang w:val="ru-RU"/>
        </w:rPr>
        <w:t>. Получены в общей сложности 35 растений сортов Лидер и Меруерт, из которых 18 были подтвержденными носителями мутаций в генах SlMlo. Подтверждена экспрессия нРНК и белка Cas9 в растениях методами ОТ-ПЦР и вестерн-блоттинга, соответственно.</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Секвенирование целевых участков генов подтвердило наличие делеций, однако показало частичный характер мутаций вследствие гетерозиготности и возможного мозаицизма; два растения сорта “Меруерт” были признаны чистыми мутантными линиями.</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Инокуляция растений возбудителем мучнистой росы подтвердило положительный эффект мутации в гене SlMlo1 на устойчивость к болезни, однако не выявило эффекта для генов  </w:t>
      </w:r>
      <w:r>
        <w:rPr>
          <w:rFonts w:ascii="Times New Roman" w:hAnsi="Times New Roman"/>
          <w:b w:val="false"/>
          <w:bCs w:val="false"/>
          <w:i/>
          <w:iCs/>
          <w:sz w:val="28"/>
          <w:szCs w:val="28"/>
          <w:lang w:val="ru-RU"/>
        </w:rPr>
        <w:t>SlMlo5, SlMlo8</w:t>
      </w:r>
      <w:r>
        <w:rPr>
          <w:rFonts w:ascii="Times New Roman" w:hAnsi="Times New Roman"/>
          <w:i w:val="false"/>
          <w:iCs w:val="false"/>
          <w:sz w:val="28"/>
          <w:szCs w:val="28"/>
          <w:lang w:val="ru-RU"/>
        </w:rPr>
        <w:t>.</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Участки генов </w:t>
      </w:r>
      <w:r>
        <w:rPr>
          <w:rFonts w:ascii="Times New Roman" w:hAnsi="Times New Roman"/>
          <w:i/>
          <w:iCs/>
          <w:sz w:val="28"/>
          <w:szCs w:val="28"/>
          <w:lang w:val="ru-RU"/>
        </w:rPr>
        <w:t>SlMlo1, 5, 8</w:t>
      </w:r>
      <w:r>
        <w:rPr>
          <w:rFonts w:ascii="Times New Roman" w:hAnsi="Times New Roman"/>
          <w:i w:val="false"/>
          <w:iCs w:val="false"/>
          <w:sz w:val="28"/>
          <w:szCs w:val="28"/>
          <w:lang w:val="ru-RU"/>
        </w:rPr>
        <w:t>, выбранные для редактирования, обладают высокой консервативность среди широкого круга геномов томата и таким образом разработанные нРНК могут быть использованы для различных сортов томата.</w:t>
      </w:r>
    </w:p>
    <w:p>
      <w:pPr>
        <w:pStyle w:val="Normal"/>
        <w:numPr>
          <w:ilvl w:val="0"/>
          <w:numId w:val="1"/>
        </w:numPr>
        <w:suppressAutoHyphens w:val="false"/>
        <w:ind w:firstLine="737" w:start="0" w:end="0"/>
        <w:jc w:val="both"/>
        <w:rPr>
          <w:rFonts w:ascii="Times New Roman" w:hAnsi="Times New Roman"/>
        </w:rPr>
      </w:pPr>
      <w:r>
        <w:rPr>
          <w:rFonts w:ascii="Times New Roman" w:hAnsi="Times New Roman"/>
          <w:i w:val="false"/>
          <w:iCs w:val="false"/>
          <w:sz w:val="28"/>
          <w:szCs w:val="28"/>
          <w:lang w:val="ru-RU"/>
        </w:rPr>
        <w:t xml:space="preserve">Анализ последовательностей белков и генов MLO среди наземных растений позволил определить ближайших гомологов соответствущих генов среди растений семейства </w:t>
      </w:r>
      <w:r>
        <w:rPr>
          <w:rFonts w:ascii="Times New Roman" w:hAnsi="Times New Roman"/>
          <w:i/>
          <w:iCs/>
          <w:sz w:val="28"/>
          <w:szCs w:val="28"/>
          <w:lang w:val="ru-RU"/>
        </w:rPr>
        <w:t>Solanaceae</w:t>
      </w:r>
      <w:r>
        <w:rPr>
          <w:rFonts w:ascii="Times New Roman" w:hAnsi="Times New Roman"/>
          <w:i w:val="false"/>
          <w:iCs w:val="false"/>
          <w:sz w:val="28"/>
          <w:szCs w:val="28"/>
          <w:lang w:val="ru-RU"/>
        </w:rPr>
        <w:t>, однако дальнейшие выводы о применимости нРНК и участие генов в устойчивости к мучнистой росе ограничено доступными данными и требует дальнейшего рассмотрения.</w:t>
      </w:r>
    </w:p>
    <w:p>
      <w:pPr>
        <w:pStyle w:val="Normal"/>
        <w:suppressAutoHyphens w:val="false"/>
        <w:ind w:firstLine="737" w:start="0" w:end="0"/>
        <w:jc w:val="both"/>
        <w:rPr>
          <w:rFonts w:ascii="Times New Roman" w:hAnsi="Times New Roman"/>
        </w:rPr>
      </w:pPr>
      <w:r>
        <w:rPr>
          <w:rFonts w:ascii="Times New Roman" w:hAnsi="Times New Roman"/>
          <w:i w:val="false"/>
          <w:iCs w:val="false"/>
          <w:sz w:val="28"/>
          <w:szCs w:val="28"/>
          <w:lang w:val="ru-RU"/>
        </w:rPr>
        <w:t>Таким образом, в результате проведенных исследований были выполнены все поставленные задачи. Полученные результаты закладывают основу для дальнейших исследований по внедрению технологий редактирования генома растений для получения сельскохозяйственных культур с экономически ценными признаками, в том числе устойчивости к биогенным стрессам.</w:t>
      </w:r>
    </w:p>
    <w:p>
      <w:pPr>
        <w:pStyle w:val="Normal"/>
        <w:ind w:firstLine="720" w:start="0" w:end="0"/>
        <w:jc w:val="both"/>
        <w:rPr>
          <w:rFonts w:ascii="Times New Roman" w:hAnsi="Times New Roman"/>
          <w:i w:val="false"/>
          <w:i w:val="false"/>
          <w:iCs w:val="false"/>
          <w:sz w:val="28"/>
          <w:szCs w:val="28"/>
          <w:lang w:val="ru-RU"/>
        </w:rPr>
      </w:pPr>
      <w:r>
        <w:rPr>
          <w:rFonts w:ascii="Times New Roman" w:hAnsi="Times New Roman"/>
          <w:i w:val="false"/>
          <w:iCs w:val="false"/>
          <w:sz w:val="28"/>
          <w:szCs w:val="28"/>
          <w:lang w:val="ru-RU"/>
        </w:rPr>
      </w:r>
      <w:r>
        <w:br w:type="page"/>
      </w:r>
    </w:p>
    <w:p>
      <w:pPr>
        <w:pStyle w:val="Normal"/>
        <w:spacing w:before="0" w:after="0"/>
        <w:ind w:firstLine="737" w:start="0" w:end="0"/>
        <w:jc w:val="center"/>
        <w:rPr>
          <w:rFonts w:ascii="Times New Roman" w:hAnsi="Times New Roman"/>
        </w:rPr>
      </w:pPr>
      <w:r>
        <w:rPr>
          <w:rFonts w:ascii="Times New Roman" w:hAnsi="Times New Roman"/>
          <w:b/>
          <w:bCs/>
          <w:sz w:val="28"/>
          <w:szCs w:val="28"/>
          <w:lang w:val="ru-RU"/>
        </w:rPr>
        <w:t>СПИСОК ИСПОЛЬЗОВАННЫХ ИСТОЧНИКОВ</w:t>
      </w:r>
    </w:p>
    <w:p>
      <w:pPr>
        <w:pStyle w:val="Normal"/>
        <w:ind w:firstLine="737" w:start="0" w:end="0"/>
        <w:jc w:val="both"/>
        <w:rPr>
          <w:rFonts w:ascii="Times New Roman" w:hAnsi="Times New Roman"/>
          <w:sz w:val="28"/>
          <w:szCs w:val="28"/>
          <w:lang w:val="ru-RU"/>
        </w:rPr>
      </w:pPr>
      <w:r>
        <w:rPr>
          <w:rFonts w:ascii="Times New Roman" w:hAnsi="Times New Roman"/>
          <w:sz w:val="28"/>
          <w:szCs w:val="28"/>
          <w:lang w:val="ru-RU"/>
        </w:rPr>
      </w:r>
    </w:p>
    <w:p>
      <w:pPr>
        <w:sectPr>
          <w:footerReference w:type="even" r:id="rId31"/>
          <w:footerReference w:type="default" r:id="rId32"/>
          <w:footerReference w:type="first" r:id="rId33"/>
          <w:type w:val="nextPage"/>
          <w:pgSz w:w="11906" w:h="16838"/>
          <w:pgMar w:left="1701" w:right="567" w:gutter="0" w:header="0" w:top="1134" w:footer="1134" w:bottom="1480"/>
          <w:pgNumType w:fmt="decimal"/>
          <w:formProt w:val="false"/>
          <w:titlePg/>
          <w:textDirection w:val="lrTb"/>
          <w:docGrid w:type="default" w:linePitch="312" w:charSpace="0"/>
        </w:sectPr>
      </w:pP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 </w:t>
        <w:tab/>
        <w:t xml:space="preserve">Food and Agriculture Organization of the United Nations FAOSTAT database [Electronic resource] // Food Agric. Organ. UN. – 2024. – URL: https://www.fao.org/faostat/en/#data/QCL (accessed: 01.06.2024)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 </w:t>
        <w:tab/>
        <w:t>Комитет государственных доходов Министерства финансов Республики Казахстан. Статистика внешней торговли РК [Электронный ресурс]. – 2022. – URL: https://kgd.gov.kz/en/exp_trade_files (дата доступа 02.09.2022).</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 </w:t>
        <w:tab/>
        <w:t xml:space="preserve">Chalam V.C., Gupta K., Sharma R., et al. Pest risk analysis and plant quarantine regulations // Emerging Trends in Plant Pathology / ed. Singh K.P., Jahagirdar S., Sarma B.K. – 2021. – P. 663–682.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 </w:t>
        <w:tab/>
        <w:t xml:space="preserve">Wilson C.E., Castro K.L., Thurston G.B., et al. Pathway risk analysis of weed seeds in imported grain: A Canadian perspective // NeoBiota. – 2016. – Vol. 30. – P. 49–74.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 </w:t>
        <w:tab/>
        <w:t xml:space="preserve">Elmer W.H. Seeds as vehicles for pathogen importation // Biol. Invasions. – 2001. – Vol. 3, № 3. – P. 263–271.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 </w:t>
        <w:tab/>
        <w:t xml:space="preserve">Rodoni B. The role of plant biosecurity in preventing and controlling emerging plant virus disease epidemics // Virus Res. – 2009. – Vol. 141, № 2. – P. 150–157.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 </w:t>
        <w:tab/>
        <w:t xml:space="preserve">Collard B.C.Y., Mackill D.J. Marker-assisted selection: An approach for precision plant breeding in the twenty-first century // Philos. Trans. R. Soc. B Biol. Sci. – 2008. – Vol. 363, № 1491. – P. 557–572.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 </w:t>
        <w:tab/>
        <w:t xml:space="preserve">Miedaner T. Breeding strategies for improving plant resistance to diseases // Advances in Plant Breeding Strategies: Agronomic, Abiotic and Biotic Stress Traits / ed. Al-Khayri J.M., Jain S.M., Johnson D.V. – 2016. – P. 561–599.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 </w:t>
        <w:tab/>
        <w:t xml:space="preserve">Foolad M.R., Panthee D.R. Marker-assisted selection in tomato breeding // Crit. Rev. Plant Sci. – 2012. – Vol. 31, № 2. – P. 93–123.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 </w:t>
        <w:tab/>
        <w:t>Braun U. The current systematics and taxonomy of the powdery mildews (</w:t>
      </w:r>
      <w:r>
        <w:rPr>
          <w:rFonts w:ascii="Times New Roman" w:hAnsi="Times New Roman"/>
          <w:i/>
          <w:iCs/>
          <w:sz w:val="28"/>
          <w:szCs w:val="28"/>
        </w:rPr>
        <w:t>Erysiphales</w:t>
      </w:r>
      <w:r>
        <w:rPr>
          <w:rFonts w:ascii="Times New Roman" w:hAnsi="Times New Roman"/>
          <w:sz w:val="28"/>
          <w:szCs w:val="28"/>
        </w:rPr>
        <w:t xml:space="preserve">): an overview // Mycoscience. – 2011. – Vol. 52, № 3. – P. 210–212.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 </w:t>
        <w:tab/>
        <w:t xml:space="preserve">Glawe D.A. The powdery mildews: A review of the world’s most familiar (yet poorly known) plant pathogens // Annu. Rev. Phytopathol. – 2008. – Vol. 46, № 1. – P. 27–51.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 </w:t>
        <w:tab/>
        <w:t xml:space="preserve">Hückelhoven R. Powdery mildew susceptibility and biotrophic infection strategies // FEMS Microbiol. Lett. – 2005. – Vol. 245, № 1. – P. 9–17.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 </w:t>
        <w:tab/>
        <w:t>Mieslerová B., Lebeda A. Taxonomy, distribution and biology of the tomato powdery mildew (</w:t>
      </w:r>
      <w:r>
        <w:rPr>
          <w:rFonts w:ascii="Times New Roman" w:hAnsi="Times New Roman"/>
          <w:i/>
          <w:iCs/>
          <w:sz w:val="28"/>
          <w:szCs w:val="28"/>
        </w:rPr>
        <w:t>Oidium lycopersici)</w:t>
      </w:r>
      <w:r>
        <w:rPr>
          <w:rFonts w:ascii="Times New Roman" w:hAnsi="Times New Roman"/>
          <w:sz w:val="28"/>
          <w:szCs w:val="28"/>
        </w:rPr>
        <w:t xml:space="preserve"> // J. Plant Dis. Prot. – 1999. – Vol. 106, № 2. – P. 140–157.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 </w:t>
        <w:tab/>
        <w:t xml:space="preserve">Jones H., Whipps J.M., Gurr S.J. The tomato powdery mildew fungus </w:t>
      </w:r>
      <w:r>
        <w:rPr>
          <w:rFonts w:ascii="Times New Roman" w:hAnsi="Times New Roman"/>
          <w:i/>
          <w:iCs/>
          <w:sz w:val="28"/>
          <w:szCs w:val="28"/>
        </w:rPr>
        <w:t>Oidium neolycopersici</w:t>
      </w:r>
      <w:r>
        <w:rPr>
          <w:rFonts w:ascii="Times New Roman" w:hAnsi="Times New Roman"/>
          <w:sz w:val="28"/>
          <w:szCs w:val="28"/>
        </w:rPr>
        <w:t xml:space="preserve"> // Mol. Plant Pathol. – 2001. – Vol. 2, № 6. – P. 303–309.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 </w:t>
        <w:tab/>
        <w:t xml:space="preserve">Kusch S., Pesch L., Panstruga R. Comprehensive phylogenetic analysis sheds light on the diversity and origin of the MLO family of integral membrane proteins // Genome Biol. Evol. – 2016. – Vol. 8, № 3. – P. 878–895.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 </w:t>
        <w:tab/>
        <w:t xml:space="preserve">Kusch S., Panstruga R. </w:t>
      </w:r>
      <w:r>
        <w:rPr>
          <w:rFonts w:ascii="Times New Roman" w:hAnsi="Times New Roman"/>
          <w:i/>
          <w:iCs/>
          <w:sz w:val="28"/>
          <w:szCs w:val="28"/>
        </w:rPr>
        <w:t>Mlo</w:t>
      </w:r>
      <w:r>
        <w:rPr>
          <w:rFonts w:ascii="Times New Roman" w:hAnsi="Times New Roman"/>
          <w:sz w:val="28"/>
          <w:szCs w:val="28"/>
        </w:rPr>
        <w:t xml:space="preserve">-based resistance: An apparently universal “weapon” to defeat powdery mildew disease // Mol. Plant. Microbe Interact. – 2017. – Vol. 30, № 3. – P. 179–189.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 </w:t>
        <w:tab/>
        <w:t>Pozharskiy A., Kostyukova V., Nizamdinova G., et al. MLO Proteins from tomato (</w:t>
      </w:r>
      <w:r>
        <w:rPr>
          <w:rFonts w:ascii="Times New Roman" w:hAnsi="Times New Roman"/>
          <w:i/>
          <w:iCs/>
          <w:sz w:val="28"/>
          <w:szCs w:val="28"/>
        </w:rPr>
        <w:t>Solanum lycopersicum</w:t>
      </w:r>
      <w:r>
        <w:rPr>
          <w:rFonts w:ascii="Times New Roman" w:hAnsi="Times New Roman"/>
          <w:sz w:val="28"/>
          <w:szCs w:val="28"/>
        </w:rPr>
        <w:t xml:space="preserve"> L.) and related species in the broad phylogenetic context // Plants. – 2022. – Vol. 11, № 12. – P. 1588.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 </w:t>
        <w:tab/>
        <w:t xml:space="preserve">Appiano M., Pavan S., Catalano D., et al. Identification of candidate </w:t>
      </w:r>
      <w:r>
        <w:rPr>
          <w:rFonts w:ascii="Times New Roman" w:hAnsi="Times New Roman"/>
          <w:i/>
          <w:iCs/>
          <w:sz w:val="28"/>
          <w:szCs w:val="28"/>
        </w:rPr>
        <w:t>MLO</w:t>
      </w:r>
      <w:r>
        <w:rPr>
          <w:rFonts w:ascii="Times New Roman" w:hAnsi="Times New Roman"/>
          <w:sz w:val="28"/>
          <w:szCs w:val="28"/>
        </w:rPr>
        <w:t xml:space="preserve"> powdery mildew susceptibility genes in cultivated </w:t>
      </w:r>
      <w:r>
        <w:rPr>
          <w:rFonts w:ascii="Times New Roman" w:hAnsi="Times New Roman"/>
          <w:i/>
          <w:iCs/>
          <w:sz w:val="28"/>
          <w:szCs w:val="28"/>
        </w:rPr>
        <w:t>Solanaceae</w:t>
      </w:r>
      <w:r>
        <w:rPr>
          <w:rFonts w:ascii="Times New Roman" w:hAnsi="Times New Roman"/>
          <w:sz w:val="28"/>
          <w:szCs w:val="28"/>
        </w:rPr>
        <w:t xml:space="preserve"> and functional characterization of tobacco NtMLO1 // Transgenic Res. – 2015. – Vol. 24, № 5. – P. 847–858.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 </w:t>
        <w:tab/>
        <w:t xml:space="preserve">Zheng Z., Appiano M., Pavan S., et al. Genome-wide study of the tomato </w:t>
      </w:r>
      <w:r>
        <w:rPr>
          <w:rFonts w:ascii="Times New Roman" w:hAnsi="Times New Roman"/>
          <w:i/>
          <w:iCs/>
          <w:sz w:val="28"/>
          <w:szCs w:val="28"/>
        </w:rPr>
        <w:t>SlMLO</w:t>
      </w:r>
      <w:r>
        <w:rPr>
          <w:rFonts w:ascii="Times New Roman" w:hAnsi="Times New Roman"/>
          <w:sz w:val="28"/>
          <w:szCs w:val="28"/>
        </w:rPr>
        <w:t xml:space="preserve"> gene family and its functional characterization in response to the powdery mildew fungus </w:t>
      </w:r>
      <w:r>
        <w:rPr>
          <w:rFonts w:ascii="Times New Roman" w:hAnsi="Times New Roman"/>
          <w:i/>
          <w:iCs/>
          <w:sz w:val="28"/>
          <w:szCs w:val="28"/>
        </w:rPr>
        <w:t>Oidium neolycopersici</w:t>
      </w:r>
      <w:r>
        <w:rPr>
          <w:rFonts w:ascii="Times New Roman" w:hAnsi="Times New Roman"/>
          <w:sz w:val="28"/>
          <w:szCs w:val="28"/>
        </w:rPr>
        <w:t xml:space="preserve"> // Front. Plant Sci. – 2016. – Vol. 7, № APR2016. – P. 380.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 </w:t>
        <w:tab/>
        <w:t xml:space="preserve">Nekrasov V., Wang C., Win J., et al. Rapid generation of a transgene-free powdery mildew resistant tomato by genome deletion // Sci. Rep. – 2017. – Vol. 7, № 1. – P. 1–6.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 </w:t>
        <w:tab/>
        <w:t xml:space="preserve">Тахтаджян А. Жизнь растений. Цветковые растения. Том 5, часть 2. – 1981. – 576 с.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 </w:t>
        <w:tab/>
        <w:t xml:space="preserve">Ефремов Д.П., Жаркова И.М., Плотникова И.В., и др.. Томаты: основные направления использования в пищевой промышленности (обзор) // Вестник Воронежского Государственного Университета Инженерных Технологий. – 2022. – Т. 84, № 1 (91). – С. 181–195.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23 </w:t>
        <w:tab/>
        <w:t>Артемьева А.М., Фатеев Д.А. Томат [Электронный ресурс] // Большая российская энциклопедия: научно-образовательный портал. – 2023. – URL: https://bigenc.ru/c/tomat-4fc6a7/?v=8416930 (дата доступа: 29.12.2024).</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24 </w:t>
        <w:tab/>
        <w:t xml:space="preserve">Bradshaw M.J., Boufford D., Braun U., et al. An in-depth evaluation of powdery mildew hosts reveals one of the world’s most common and widespread groups of fungal plant pathogens // Plant Dis. – 2024. – Vol. 108, № 3. – P. 576–581.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25 </w:t>
        <w:tab/>
        <w:t>Amirchakhmaghi N., Yousefzadeh H., Hosseinpour B., et al. First insight into genetic diversity and population structure of the Caucasian wild apple (</w:t>
      </w:r>
      <w:r>
        <w:rPr>
          <w:rFonts w:ascii="Times New Roman" w:hAnsi="Times New Roman"/>
          <w:i/>
          <w:iCs/>
          <w:sz w:val="28"/>
          <w:szCs w:val="28"/>
        </w:rPr>
        <w:t>Malus orientalis</w:t>
      </w:r>
      <w:r>
        <w:rPr>
          <w:rFonts w:ascii="Times New Roman" w:hAnsi="Times New Roman"/>
          <w:sz w:val="28"/>
          <w:szCs w:val="28"/>
        </w:rPr>
        <w:t xml:space="preserve"> Uglitzk.) in the Hyrcanian forest (Iran) and its resistance to apple scab and powdery mildew // Genet. Resour. Crop Evol. – 2018. – Vol. 65, № 4. – P. 1255–1268.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26 </w:t>
        <w:tab/>
        <w:t xml:space="preserve">Mieslerová B., Sedlářová M., Michutová M., et al. Powdery mildews on trees and shrubs in botanical gardens, parks and urban green areas in the Czech Republic 9 // Forests. – 2020. – Vol. 11, № 9. – P. 967.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27 </w:t>
        <w:tab/>
        <w:t xml:space="preserve">Voglmayr H., Jaklitsch W.M., Kirisits T. First report of powdery mildew caused by </w:t>
      </w:r>
      <w:r>
        <w:rPr>
          <w:rFonts w:ascii="Times New Roman" w:hAnsi="Times New Roman"/>
          <w:i/>
          <w:sz w:val="28"/>
          <w:szCs w:val="28"/>
        </w:rPr>
        <w:t>Erysiphe salmonii</w:t>
      </w:r>
      <w:r>
        <w:rPr>
          <w:rFonts w:ascii="Times New Roman" w:hAnsi="Times New Roman"/>
          <w:sz w:val="28"/>
          <w:szCs w:val="28"/>
        </w:rPr>
        <w:t xml:space="preserve"> on </w:t>
      </w:r>
      <w:r>
        <w:rPr>
          <w:rFonts w:ascii="Times New Roman" w:hAnsi="Times New Roman"/>
          <w:i/>
          <w:sz w:val="28"/>
          <w:szCs w:val="28"/>
        </w:rPr>
        <w:t>Fraxinus excelsior</w:t>
      </w:r>
      <w:r>
        <w:rPr>
          <w:rFonts w:ascii="Times New Roman" w:hAnsi="Times New Roman"/>
          <w:sz w:val="28"/>
          <w:szCs w:val="28"/>
        </w:rPr>
        <w:t xml:space="preserve"> and </w:t>
      </w:r>
      <w:r>
        <w:rPr>
          <w:rFonts w:ascii="Times New Roman" w:hAnsi="Times New Roman"/>
          <w:i/>
          <w:sz w:val="28"/>
          <w:szCs w:val="28"/>
        </w:rPr>
        <w:t>F. ornus</w:t>
      </w:r>
      <w:r>
        <w:rPr>
          <w:rFonts w:ascii="Times New Roman" w:hAnsi="Times New Roman"/>
          <w:sz w:val="28"/>
          <w:szCs w:val="28"/>
        </w:rPr>
        <w:t xml:space="preserve"> in Austria // New Dis. Rep. – 2021. – Vol. 44, № 2. – P. e12049.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28 </w:t>
        <w:tab/>
        <w:t xml:space="preserve">Johnston P.R., Quijada L., Smith C.A., et al. A multigene phylogeny toward a new phylogenetic classification of </w:t>
      </w:r>
      <w:r>
        <w:rPr>
          <w:rFonts w:ascii="Times New Roman" w:hAnsi="Times New Roman"/>
          <w:i/>
          <w:iCs/>
          <w:sz w:val="28"/>
          <w:szCs w:val="28"/>
        </w:rPr>
        <w:t>Leotiomycetes</w:t>
      </w:r>
      <w:r>
        <w:rPr>
          <w:rFonts w:ascii="Times New Roman" w:hAnsi="Times New Roman"/>
          <w:sz w:val="28"/>
          <w:szCs w:val="28"/>
        </w:rPr>
        <w:t xml:space="preserve"> // IMA Fungus. – 2019. – Vol. 10, № 1. – P. 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29 </w:t>
        <w:tab/>
        <w:t xml:space="preserve">Bradshaw M., Tobin P.C. Sequencing herbarium specimens of a common detrimental plant disease (powdery mildew) // Phytopathology®. – 2020. – Vol. 110, № 7. – P. 1248–1254.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30 </w:t>
        <w:tab/>
        <w:t xml:space="preserve">Hawksworth D.L. Limitation of dual nomenclature for pleomorphic fungi // TAXON. – 2004. – Vol. 53, № 2. – P. 596–598.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31 </w:t>
        <w:tab/>
        <w:t xml:space="preserve">Kirschner R. Sex does not sell: the argument for using the terms “anamorph” and “teleomorph” for fungi // Mycol. Prog. – 2019. – Vol. 18, № 1–2. – P. 305–312.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32 </w:t>
        <w:tab/>
        <w:t xml:space="preserve">Shenoy B.D., Jeewon R., Hyde K.D. Impact of DNA sequence-data on the taxonomy of anamorphic fungi // Fungal Divers. – 2007. – Vol. 26. – P. 1–54.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33 </w:t>
        <w:tab/>
        <w:t xml:space="preserve">Hawksworth D.L., Crous P.W., Redhead S.A., et al. The Amsterdam Declaration on Fungal Nomenclature // IMA Fungus. – 2011. – Vol. 2, № 1. – P. 105–111.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34 </w:t>
        <w:tab/>
        <w:t xml:space="preserve">Hawksworth D. A new dawn for the naming of fungi: impacts of decisions made in Melbourne in July 2011 on the future publication and regulation of fungal names // MycoKeys. – 2011. – Vol. 1. – P. 7–20.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35 </w:t>
        <w:tab/>
        <w:t xml:space="preserve">Braun U. The impacts of the discontinuation of dual nomenclature of pleomorphic fungi: the trivial facts, problems, and strategies 1 // IMA Fungus. – 2012. – Vol. 3, № 1. – P. 81–86.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36 </w:t>
        <w:tab/>
        <w:t>Bradshaw M.J., Guan G.-X., Nokes L., et al. Secondary DNA barcodes (</w:t>
      </w:r>
      <w:r>
        <w:rPr>
          <w:rFonts w:ascii="Times New Roman" w:hAnsi="Times New Roman"/>
          <w:i/>
          <w:iCs/>
          <w:sz w:val="28"/>
          <w:szCs w:val="28"/>
        </w:rPr>
        <w:t>CAM, GAPDH, GS</w:t>
      </w:r>
      <w:r>
        <w:rPr>
          <w:rFonts w:ascii="Times New Roman" w:hAnsi="Times New Roman"/>
          <w:sz w:val="28"/>
          <w:szCs w:val="28"/>
        </w:rPr>
        <w:t xml:space="preserve">, and </w:t>
      </w:r>
      <w:r>
        <w:rPr>
          <w:rFonts w:ascii="Times New Roman" w:hAnsi="Times New Roman"/>
          <w:i/>
          <w:iCs/>
          <w:sz w:val="28"/>
          <w:szCs w:val="28"/>
        </w:rPr>
        <w:t>RpB2</w:t>
      </w:r>
      <w:r>
        <w:rPr>
          <w:rFonts w:ascii="Times New Roman" w:hAnsi="Times New Roman"/>
          <w:sz w:val="28"/>
          <w:szCs w:val="28"/>
        </w:rPr>
        <w:t xml:space="preserve">) to characterize species complexes and strengthen the powdery mildew phylogeny // Front. Ecol. Evol. – 2022. – Vol. 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37 </w:t>
        <w:tab/>
        <w:t xml:space="preserve">Liu M., Braun U. Powdery mildews on crops and ornamentals in Canada: a summary of the phylogeny and taxonomy from 2000 – 2019 // Can. J. Plant Pathol. – 2022. – Vol. 44, № 2. – P. 191–218.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38 </w:t>
        <w:tab/>
        <w:t xml:space="preserve">Eichmann R., Hückelhoven R. Accommodation of powdery mildew fungi in intact plant cells // J. Plant Physiol. – 2008. – Vol. 165, № 1. – P. 5–18.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39 </w:t>
        <w:tab/>
        <w:t xml:space="preserve">Mori Y., Sato Y., Takamatsu S. Evolutionary analysis of the powdery mildew fungi using nucleotide sequences of the nuclear ribosomal DNA // Mycologia. – 2000. – Vol. 92, № 1. – P. 74–93.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40 </w:t>
        <w:tab/>
        <w:t>Cerkauskas R.F., Brown J. Aspects of the epidemiology and control of powdery mildew (</w:t>
      </w:r>
      <w:r>
        <w:rPr>
          <w:rFonts w:ascii="Times New Roman" w:hAnsi="Times New Roman"/>
          <w:i/>
          <w:iCs/>
          <w:sz w:val="28"/>
          <w:szCs w:val="28"/>
        </w:rPr>
        <w:t>Oidium neolycopersici</w:t>
      </w:r>
      <w:r>
        <w:rPr>
          <w:rFonts w:ascii="Times New Roman" w:hAnsi="Times New Roman"/>
          <w:sz w:val="28"/>
          <w:szCs w:val="28"/>
        </w:rPr>
        <w:t>) on tomato in Ontario, Canada // Can. J. Plant Pathol. – 2015. – P. 448-464.</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41 </w:t>
        <w:tab/>
        <w:t xml:space="preserve">Whipps J.M., Budge S.P., Fenlon J.S. Characteristics and host range of tomato powdery mildew // Plant Pathol. – 1998. – Vol. 47, № 1. – P. 36–48.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42 </w:t>
        <w:tab/>
        <w:t xml:space="preserve">Kiss L., Cook R.T.A., Saenz G.S., et al. Identification of two powdery mildew fungi, </w:t>
      </w:r>
      <w:r>
        <w:rPr>
          <w:rFonts w:ascii="Times New Roman" w:hAnsi="Times New Roman"/>
          <w:i/>
          <w:iCs/>
          <w:sz w:val="28"/>
          <w:szCs w:val="28"/>
        </w:rPr>
        <w:t>Oidium neolycopersici</w:t>
      </w:r>
      <w:r>
        <w:rPr>
          <w:rFonts w:ascii="Times New Roman" w:hAnsi="Times New Roman"/>
          <w:sz w:val="28"/>
          <w:szCs w:val="28"/>
        </w:rPr>
        <w:t xml:space="preserve"> sp. nov. and </w:t>
      </w:r>
      <w:r>
        <w:rPr>
          <w:rFonts w:ascii="Times New Roman" w:hAnsi="Times New Roman"/>
          <w:i/>
          <w:iCs/>
          <w:sz w:val="28"/>
          <w:szCs w:val="28"/>
        </w:rPr>
        <w:t>O. lycopersici</w:t>
      </w:r>
      <w:r>
        <w:rPr>
          <w:rFonts w:ascii="Times New Roman" w:hAnsi="Times New Roman"/>
          <w:sz w:val="28"/>
          <w:szCs w:val="28"/>
        </w:rPr>
        <w:t xml:space="preserve">, infecting tomato in different parts of the world. – 2001. – Vol. 105, № June. – P. 684–697.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43 </w:t>
        <w:tab/>
        <w:t xml:space="preserve">Kiss L., Vaghefi N., Bransgrove K., et al. Australia: A continent without native powdery mildews? The first comprehensive catalog indicates recent introductions and multiple host range expansion events, and leads to the re-discovery of </w:t>
      </w:r>
      <w:r>
        <w:rPr>
          <w:rFonts w:ascii="Times New Roman" w:hAnsi="Times New Roman"/>
          <w:i/>
          <w:iCs/>
          <w:sz w:val="28"/>
          <w:szCs w:val="28"/>
        </w:rPr>
        <w:t>Salmonomyces</w:t>
      </w:r>
      <w:r>
        <w:rPr>
          <w:rFonts w:ascii="Times New Roman" w:hAnsi="Times New Roman"/>
          <w:sz w:val="28"/>
          <w:szCs w:val="28"/>
        </w:rPr>
        <w:t xml:space="preserve"> as a new lineage of the </w:t>
      </w:r>
      <w:r>
        <w:rPr>
          <w:rFonts w:ascii="Times New Roman" w:hAnsi="Times New Roman"/>
          <w:i/>
          <w:iCs/>
          <w:sz w:val="28"/>
          <w:szCs w:val="28"/>
        </w:rPr>
        <w:t>Erysiphales</w:t>
      </w:r>
      <w:r>
        <w:rPr>
          <w:rFonts w:ascii="Times New Roman" w:hAnsi="Times New Roman"/>
          <w:sz w:val="28"/>
          <w:szCs w:val="28"/>
        </w:rPr>
        <w:t xml:space="preserve"> // Front. Microbiol. – 2020. – Vol. 11. – P. 1571.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44 </w:t>
        <w:tab/>
        <w:t xml:space="preserve">Paternotte S. Echte meeldauw in tomaat geen echte bedreiging // Groenten En Fruit. – 1988. – Vol. 43. – P. 30–31.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45 </w:t>
        <w:tab/>
        <w:t>Bai Y., Huang C.-C., van der Hulst R., et al. QTLs for tomato powdery mildew resistance (</w:t>
      </w:r>
      <w:r>
        <w:rPr>
          <w:rFonts w:ascii="Times New Roman" w:hAnsi="Times New Roman"/>
          <w:i/>
          <w:iCs/>
          <w:sz w:val="28"/>
          <w:szCs w:val="28"/>
        </w:rPr>
        <w:t>Oidium lycopersici</w:t>
      </w:r>
      <w:r>
        <w:rPr>
          <w:rFonts w:ascii="Times New Roman" w:hAnsi="Times New Roman"/>
          <w:sz w:val="28"/>
          <w:szCs w:val="28"/>
        </w:rPr>
        <w:t xml:space="preserve">) in </w:t>
      </w:r>
      <w:r>
        <w:rPr>
          <w:rFonts w:ascii="Times New Roman" w:hAnsi="Times New Roman"/>
          <w:i/>
          <w:iCs/>
          <w:sz w:val="28"/>
          <w:szCs w:val="28"/>
        </w:rPr>
        <w:t>Lycopersicon parviflorum</w:t>
      </w:r>
      <w:r>
        <w:rPr>
          <w:rFonts w:ascii="Times New Roman" w:hAnsi="Times New Roman"/>
          <w:sz w:val="28"/>
          <w:szCs w:val="28"/>
        </w:rPr>
        <w:t xml:space="preserve"> G1.1601 co-localize with two qualitative powdery mildew resistance genes // Mol. Plant-Microbe Interactions. – 2003. – Vol. 16, № 2. – P. 169–176.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46 </w:t>
        <w:tab/>
        <w:t xml:space="preserve">Fletcher J.T., Smewin B.J., Cook R.T.A. Tomato powdery mildew // Plant Pathol. – 1988. – Vol. 37, № 4. – P. 594–598.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47 </w:t>
        <w:tab/>
        <w:t>Noordeloos M.E., Loerakker W.M. Studies in plant pathogenic fungi–II. On some powdery mildews (</w:t>
      </w:r>
      <w:r>
        <w:rPr>
          <w:rFonts w:ascii="Times New Roman" w:hAnsi="Times New Roman"/>
          <w:i/>
          <w:iCs/>
          <w:sz w:val="28"/>
          <w:szCs w:val="28"/>
        </w:rPr>
        <w:t>Erysiphales</w:t>
      </w:r>
      <w:r>
        <w:rPr>
          <w:rFonts w:ascii="Times New Roman" w:hAnsi="Times New Roman"/>
          <w:sz w:val="28"/>
          <w:szCs w:val="28"/>
        </w:rPr>
        <w:t xml:space="preserve">) recently recorded from the Netherlands // Persoonia - Mol. Phylogeny Evol. Fungi. – 1989. – Vol. 14, № 1. – P. 51–60.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48 </w:t>
        <w:tab/>
        <w:t xml:space="preserve">Kiss L., Takamatsu S., Cunnington J.H. Molecular identification of </w:t>
      </w:r>
      <w:r>
        <w:rPr>
          <w:rFonts w:ascii="Times New Roman" w:hAnsi="Times New Roman"/>
          <w:i/>
          <w:iCs/>
          <w:sz w:val="28"/>
          <w:szCs w:val="28"/>
        </w:rPr>
        <w:t>Oidium neolycopersici</w:t>
      </w:r>
      <w:r>
        <w:rPr>
          <w:rFonts w:ascii="Times New Roman" w:hAnsi="Times New Roman"/>
          <w:sz w:val="28"/>
          <w:szCs w:val="28"/>
        </w:rPr>
        <w:t xml:space="preserve"> as the causal ggent of the recent tomato powdery mildew epidemics in North America [Electronic resource] research-article // https://doi.org/10.1094/PD-89-0491. – 2007. – URL: https://apsjournals.apsnet.org/doi/10.1094/PD-89-0491 (accessed: 24.11.2024)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49 </w:t>
        <w:tab/>
        <w:t xml:space="preserve">Bradshaw M., Braun U., Götz M., et al. Contributions to the knowledge of the phylogeny and taxonomy of the </w:t>
      </w:r>
      <w:r>
        <w:rPr>
          <w:rFonts w:ascii="Times New Roman" w:hAnsi="Times New Roman"/>
          <w:i/>
          <w:iCs/>
          <w:sz w:val="28"/>
          <w:szCs w:val="28"/>
        </w:rPr>
        <w:t>Erysiphaceae</w:t>
      </w:r>
      <w:r>
        <w:rPr>
          <w:rFonts w:ascii="Times New Roman" w:hAnsi="Times New Roman"/>
          <w:sz w:val="28"/>
          <w:szCs w:val="28"/>
        </w:rPr>
        <w:t xml:space="preserve"> (powdery mildews) – part 1 // Sydowia. – 2020. – Vol. 73. – P. 89–112.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50 </w:t>
        <w:tab/>
        <w:t xml:space="preserve">Schoch C.L., Ciufo S., Domrachev M., et al. NCBI Taxonomy: a comprehensive update on curation, resources and tools // Database. – 2020. – Vol. 2020. – P. baaa062.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51 </w:t>
        <w:tab/>
        <w:t xml:space="preserve">Hsiao H.-Y., Ariyawansa H.A., Hsu C.-C., et al. New Records of Powdery Mildews from Taiwan: </w:t>
      </w:r>
      <w:r>
        <w:rPr>
          <w:rFonts w:ascii="Times New Roman" w:hAnsi="Times New Roman"/>
          <w:i/>
          <w:iCs/>
          <w:sz w:val="28"/>
          <w:szCs w:val="28"/>
        </w:rPr>
        <w:t>Erysiphe ipomoea</w:t>
      </w:r>
      <w:r>
        <w:rPr>
          <w:rFonts w:ascii="Times New Roman" w:hAnsi="Times New Roman"/>
          <w:sz w:val="28"/>
          <w:szCs w:val="28"/>
        </w:rPr>
        <w:t xml:space="preserve">e comb. nov., </w:t>
      </w:r>
      <w:r>
        <w:rPr>
          <w:rFonts w:ascii="Times New Roman" w:hAnsi="Times New Roman"/>
          <w:i/>
          <w:iCs/>
          <w:sz w:val="28"/>
          <w:szCs w:val="28"/>
        </w:rPr>
        <w:t>E. aff. betae</w:t>
      </w:r>
      <w:r>
        <w:rPr>
          <w:rFonts w:ascii="Times New Roman" w:hAnsi="Times New Roman"/>
          <w:sz w:val="28"/>
          <w:szCs w:val="28"/>
        </w:rPr>
        <w:t xml:space="preserve"> on Buckwheat, and </w:t>
      </w:r>
      <w:r>
        <w:rPr>
          <w:rFonts w:ascii="Times New Roman" w:hAnsi="Times New Roman"/>
          <w:i/>
          <w:iCs/>
          <w:sz w:val="28"/>
          <w:szCs w:val="28"/>
        </w:rPr>
        <w:t>E. neolycopersici</w:t>
      </w:r>
      <w:r>
        <w:rPr>
          <w:rFonts w:ascii="Times New Roman" w:hAnsi="Times New Roman"/>
          <w:sz w:val="28"/>
          <w:szCs w:val="28"/>
        </w:rPr>
        <w:t xml:space="preserve"> comb. nov. on C</w:t>
      </w:r>
      <w:r>
        <w:rPr>
          <w:rFonts w:ascii="Times New Roman" w:hAnsi="Times New Roman"/>
          <w:i/>
          <w:iCs/>
          <w:sz w:val="28"/>
          <w:szCs w:val="28"/>
        </w:rPr>
        <w:t>ardiospermum halicacabum</w:t>
      </w:r>
      <w:r>
        <w:rPr>
          <w:rFonts w:ascii="Times New Roman" w:hAnsi="Times New Roman"/>
          <w:sz w:val="28"/>
          <w:szCs w:val="28"/>
        </w:rPr>
        <w:t xml:space="preserve"> 3 // Diversity. – 2022. – Vol. 14, № 3. – P. 204.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52 </w:t>
        <w:tab/>
        <w:t xml:space="preserve">Lebeda A., Mieslerová B., Petřivalský M., et al. Review of tomato powdery mildew - A challenging problem for researchers, breeders and growers // Acta Hortic. – 2017. – Vol. 1159. – P. 107–115.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53 </w:t>
        <w:tab/>
        <w:t>Whipps J.M., Budge S.P. Effect of humidity on development of tomato powdery mildew (</w:t>
      </w:r>
      <w:r>
        <w:rPr>
          <w:rFonts w:ascii="Times New Roman" w:hAnsi="Times New Roman"/>
          <w:i/>
          <w:iCs/>
          <w:sz w:val="28"/>
          <w:szCs w:val="28"/>
        </w:rPr>
        <w:t>Oidium lycopersici</w:t>
      </w:r>
      <w:r>
        <w:rPr>
          <w:rFonts w:ascii="Times New Roman" w:hAnsi="Times New Roman"/>
          <w:sz w:val="28"/>
          <w:szCs w:val="28"/>
        </w:rPr>
        <w:t xml:space="preserve">) in the glasshouse // Eur. J. Plant Pathol. – 2000. – Vol. 106, № 4. – P. 395–397.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54 </w:t>
        <w:tab/>
        <w:t xml:space="preserve">Jacob D., Rav David D., Sztjenberg A., et al. Conditions for development of powdery mildew of tomato caused by </w:t>
      </w:r>
      <w:r>
        <w:rPr>
          <w:rFonts w:ascii="Times New Roman" w:hAnsi="Times New Roman"/>
          <w:i/>
          <w:iCs/>
          <w:sz w:val="28"/>
          <w:szCs w:val="28"/>
        </w:rPr>
        <w:t xml:space="preserve">Oidium neolycopersici </w:t>
      </w:r>
      <w:r>
        <w:rPr>
          <w:rFonts w:ascii="Times New Roman" w:hAnsi="Times New Roman"/>
          <w:sz w:val="28"/>
          <w:szCs w:val="28"/>
        </w:rPr>
        <w:t xml:space="preserve">// Phytopathology. – 2008. – Vol. 98, № 3. – P. 270–281.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55 </w:t>
        <w:tab/>
        <w:t xml:space="preserve">Marois J.J., Momol M.T., Kimbrough J.W., et al. First report of powdery mildew on greenhouse tomatoes caused by </w:t>
      </w:r>
      <w:r>
        <w:rPr>
          <w:rFonts w:ascii="Times New Roman" w:hAnsi="Times New Roman"/>
          <w:i/>
          <w:iCs/>
          <w:sz w:val="28"/>
          <w:szCs w:val="28"/>
        </w:rPr>
        <w:t>Oidium neolycopersici</w:t>
      </w:r>
      <w:r>
        <w:rPr>
          <w:rFonts w:ascii="Times New Roman" w:hAnsi="Times New Roman"/>
          <w:sz w:val="28"/>
          <w:szCs w:val="28"/>
        </w:rPr>
        <w:t xml:space="preserve"> in Florida [Electronic resource] research-article // https://doi.org/10.1094/PDIS.2001.85.12.1292B. – 2007. – URL: https://apsjournals.apsnet.org/doi/10.1094/PDIS.2001.85.12.1292B (accessed: 30.11.2024)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56 </w:t>
        <w:tab/>
        <w:t xml:space="preserve">Rodríguez-Alvarado G., García-López J., Rodríguez-Fernández R., et al. First report of powdery mildew on greenhouse tomatoes caused by </w:t>
      </w:r>
      <w:r>
        <w:rPr>
          <w:rFonts w:ascii="Times New Roman" w:hAnsi="Times New Roman"/>
          <w:i/>
          <w:iCs/>
          <w:sz w:val="28"/>
          <w:szCs w:val="28"/>
        </w:rPr>
        <w:t>Oidium neolycopersici</w:t>
      </w:r>
      <w:r>
        <w:rPr>
          <w:rFonts w:ascii="Times New Roman" w:hAnsi="Times New Roman"/>
          <w:sz w:val="28"/>
          <w:szCs w:val="28"/>
        </w:rPr>
        <w:t xml:space="preserve"> in Michoacan, Mexico [Electronic resource] research-article // https://doi.org/10.1094/PDIS-91-12-1684C. – 2007. – URL: https://apsjournals.apsnet.org/doi/10.1094/PDIS-91-12-1684C (accessed: 30.11.2024)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57 </w:t>
        <w:tab/>
        <w:t xml:space="preserve">Stevanović M., Stanković I., Vučurović A., et al. First report of </w:t>
      </w:r>
      <w:r>
        <w:rPr>
          <w:rFonts w:ascii="Times New Roman" w:hAnsi="Times New Roman"/>
          <w:i/>
          <w:iCs/>
          <w:sz w:val="28"/>
          <w:szCs w:val="28"/>
        </w:rPr>
        <w:t>Oidium neolycopersici</w:t>
      </w:r>
      <w:r>
        <w:rPr>
          <w:rFonts w:ascii="Times New Roman" w:hAnsi="Times New Roman"/>
          <w:sz w:val="28"/>
          <w:szCs w:val="28"/>
        </w:rPr>
        <w:t xml:space="preserve"> on greenhouse tomatoes in Serbia [Electronic resource] research-article // https://doi.org/10.1094/PDIS-02-12-0179-PDN. – 2012. – URL: https://apsjournals.apsnet.org/doi/10.1094/PDIS-02-12-0179-PDN (accessed: 30.11.2024)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58 </w:t>
        <w:tab/>
        <w:t xml:space="preserve">Oichi W., Matsuda Y., Nonomura T., et al. Formation of conidial pseudochains by tomato powdery mildew </w:t>
      </w:r>
      <w:r>
        <w:rPr>
          <w:rFonts w:ascii="Times New Roman" w:hAnsi="Times New Roman"/>
          <w:i/>
          <w:iCs/>
          <w:sz w:val="28"/>
          <w:szCs w:val="28"/>
        </w:rPr>
        <w:t xml:space="preserve">Oidium neolycopersici </w:t>
      </w:r>
      <w:r>
        <w:rPr>
          <w:rFonts w:ascii="Times New Roman" w:hAnsi="Times New Roman"/>
          <w:sz w:val="28"/>
          <w:szCs w:val="28"/>
        </w:rPr>
        <w:t xml:space="preserve">// Plant Dis. – 2006. – Vol. 90, № 7. – P. 915–919.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59 </w:t>
        <w:tab/>
        <w:t xml:space="preserve">Correll J.C., Gordon T.R., Elliott V.J. Host range, specificity, and biometrical measurements of </w:t>
      </w:r>
      <w:r>
        <w:rPr>
          <w:rFonts w:ascii="Times New Roman" w:hAnsi="Times New Roman"/>
          <w:i/>
          <w:iCs/>
          <w:sz w:val="28"/>
          <w:szCs w:val="28"/>
        </w:rPr>
        <w:t>Leveillula taurica</w:t>
      </w:r>
      <w:r>
        <w:rPr>
          <w:rFonts w:ascii="Times New Roman" w:hAnsi="Times New Roman"/>
          <w:sz w:val="28"/>
          <w:szCs w:val="28"/>
        </w:rPr>
        <w:t xml:space="preserve"> in California // Plant Dis. – 1987. – Vol. 71, № 3. – P. 248–251.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60 </w:t>
        <w:tab/>
        <w:t xml:space="preserve">Clerk G.C., Ayesu-Offei E.N. Conidia and conidial germination in </w:t>
      </w:r>
      <w:r>
        <w:rPr>
          <w:rFonts w:ascii="Times New Roman" w:hAnsi="Times New Roman"/>
          <w:i/>
          <w:iCs/>
          <w:sz w:val="28"/>
          <w:szCs w:val="28"/>
        </w:rPr>
        <w:t xml:space="preserve">Leveillula taurica </w:t>
      </w:r>
      <w:r>
        <w:rPr>
          <w:rFonts w:ascii="Times New Roman" w:hAnsi="Times New Roman"/>
          <w:sz w:val="28"/>
          <w:szCs w:val="28"/>
        </w:rPr>
        <w:t xml:space="preserve">(Lèv.) Arn. // Ann. Bot. – 1967. – Vol. 31, № 4. – P. 749–754.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61 </w:t>
        <w:tab/>
        <w:t>Abdurazakov A.A., Bulgakov T.S., Kholmuradova T.N., et al. Powdery mildew fungi (</w:t>
      </w:r>
      <w:r>
        <w:rPr>
          <w:rFonts w:ascii="Times New Roman" w:hAnsi="Times New Roman"/>
          <w:i/>
          <w:iCs/>
          <w:sz w:val="28"/>
          <w:szCs w:val="28"/>
        </w:rPr>
        <w:t>Erysiphaceae</w:t>
      </w:r>
      <w:r>
        <w:rPr>
          <w:rFonts w:ascii="Times New Roman" w:hAnsi="Times New Roman"/>
          <w:sz w:val="28"/>
          <w:szCs w:val="28"/>
        </w:rPr>
        <w:t xml:space="preserve">) of the Fergana Valley (within Uzbekistan): a first annotated checklist // Nov. Sist. Nizshikh Rastenii. – 2021. – Vol. 55, № 1. – P. 55–78.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62 </w:t>
        <w:tab/>
        <w:t xml:space="preserve">Lin C.P., Dai Y.L., Huang J.H., et al. First report of tomato powdery mildew caused by </w:t>
      </w:r>
      <w:r>
        <w:rPr>
          <w:rFonts w:ascii="Times New Roman" w:hAnsi="Times New Roman"/>
          <w:i/>
          <w:iCs/>
          <w:sz w:val="28"/>
          <w:szCs w:val="28"/>
        </w:rPr>
        <w:t xml:space="preserve">Leveillula taurica </w:t>
      </w:r>
      <w:r>
        <w:rPr>
          <w:rFonts w:ascii="Times New Roman" w:hAnsi="Times New Roman"/>
          <w:sz w:val="28"/>
          <w:szCs w:val="28"/>
        </w:rPr>
        <w:t xml:space="preserve">in Taiwan // Plant Dis. – 2022. – Vol. 106, № 2. – P. 757.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63 </w:t>
        <w:tab/>
        <w:t xml:space="preserve">Khodaparast S.A., Takamatsu S., Harada M., et al. Additional rDNA ITS sequences and its phylogenetic consequences for the genus </w:t>
      </w:r>
      <w:r>
        <w:rPr>
          <w:rFonts w:ascii="Times New Roman" w:hAnsi="Times New Roman"/>
          <w:i/>
          <w:iCs/>
          <w:sz w:val="28"/>
          <w:szCs w:val="28"/>
        </w:rPr>
        <w:t>Leveillula</w:t>
      </w:r>
      <w:r>
        <w:rPr>
          <w:rFonts w:ascii="Times New Roman" w:hAnsi="Times New Roman"/>
          <w:sz w:val="28"/>
          <w:szCs w:val="28"/>
        </w:rPr>
        <w:t xml:space="preserve"> with emphasis on conidium morphology // Mycol. Prog. – 2012. – Vol. 11, № 3. – P. 741–752.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64 </w:t>
        <w:tab/>
        <w:t xml:space="preserve">Glawe D.A. Synopsis of genera of </w:t>
      </w:r>
      <w:r>
        <w:rPr>
          <w:rFonts w:ascii="Times New Roman" w:hAnsi="Times New Roman"/>
          <w:i/>
          <w:iCs/>
          <w:sz w:val="28"/>
          <w:szCs w:val="28"/>
        </w:rPr>
        <w:t>Erysiphales</w:t>
      </w:r>
      <w:r>
        <w:rPr>
          <w:rFonts w:ascii="Times New Roman" w:hAnsi="Times New Roman"/>
          <w:sz w:val="28"/>
          <w:szCs w:val="28"/>
        </w:rPr>
        <w:t xml:space="preserve"> (powdery mildew fungi) occurring in the Pacific Northwest // Pac. Northwest Fungi. – 2006. – Vol. 1, № 12. – P. 1–27.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65 </w:t>
        <w:tab/>
        <w:t xml:space="preserve">Blancard D. 2 - Diagnosis of Parasitic and Nonparasitic Diseases // Tomato Diseases (Second Edition) / ed. Blancard D. – 2012. – P. 35–411.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66 </w:t>
        <w:tab/>
        <w:t xml:space="preserve">Kokhmetova A., Kremneva O., Volkova G., et al. Evaluation of wheat cultivars growing in Kazakhstan and Russia for resistance to tan spot // J. Plant Pathol. – 2017. – Vol. 99, № 1. – P. 161–167.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67 </w:t>
        <w:tab/>
        <w:t>Ануарбек Ш., Абугалиева С., Туруспеков Е. Оценка генетического разнообразия сортов твердой пшеницы (</w:t>
      </w:r>
      <w:r>
        <w:rPr>
          <w:rFonts w:ascii="Times New Roman" w:hAnsi="Times New Roman"/>
          <w:i/>
          <w:iCs/>
          <w:sz w:val="28"/>
          <w:szCs w:val="28"/>
        </w:rPr>
        <w:t>Triticum durum</w:t>
      </w:r>
      <w:r>
        <w:rPr>
          <w:rFonts w:ascii="Times New Roman" w:hAnsi="Times New Roman"/>
          <w:sz w:val="28"/>
          <w:szCs w:val="28"/>
        </w:rPr>
        <w:t xml:space="preserve"> Desf.) с использованием микросателлитных маркеров  // Вестник КазНУ Серия Биологическая. – 2018. – Т. 74, № 1. – С. 88–98.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68 </w:t>
        <w:tab/>
        <w:t xml:space="preserve">Министерство сельского хозяйства Республики Казахстан. Об утверждении перечня карантинных объектов и чужеродных видов, по отношению к которым устанавливаются и осуществляются мероприятия по карантину растений, и перечня особо опасных вредных организмов. 4-4/282. – 2015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69 </w:t>
        <w:tab/>
        <w:t xml:space="preserve">Broadbent L. Epidemiology and control of tomato mosaic virus // Annu. Rev. Phytopthology. – 1976. – Vol. 14. – P. 75–96.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70 </w:t>
        <w:tab/>
        <w:t xml:space="preserve">Pico’ B., Jo&amp; Diez M., Nuez F. Viral diseases causing the greatest economic losses to the tomato crop. II. The Tomato yellow leaf curl virus-a review // Sci. Hortic. – 1996. – Vol. 67. – P. 151–196.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71 </w:t>
        <w:tab/>
        <w:t xml:space="preserve">Roselló S., Díez M.J., Nuez F. Viral diseases causing the greatest economic losses to the tomato crop. I. The tomato spotted wilt virus - A review // Sci. Hortic. – 1996. – Vol. 67, № 3–4. – P. 117–150.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72 </w:t>
        <w:tab/>
        <w:t xml:space="preserve">Ying Z., Davis M.J. Partial characterization and host range of Tomato Yellow Leaf Curl Virus in South Florida // Proc. Fla. State Hortic. Soc. – 2000. – Vol. 113. – P. 185–190.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73 </w:t>
        <w:tab/>
        <w:t xml:space="preserve">Parrella G., Gognalons P., Gebre-Selassie K., et al. An update of the host range of Tomato Spotted Wilt Virus // J. Plant. Path. – 2003. – Vol. 85, № 4. – P. 227–264.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74 </w:t>
        <w:tab/>
        <w:t xml:space="preserve">Hancinský R., Mihálik D., Mrkvová M., et al. Plant viruses infecting </w:t>
      </w:r>
      <w:r>
        <w:rPr>
          <w:rFonts w:ascii="Times New Roman" w:hAnsi="Times New Roman"/>
          <w:i/>
          <w:iCs/>
          <w:sz w:val="28"/>
          <w:szCs w:val="28"/>
        </w:rPr>
        <w:t>Solanaceae</w:t>
      </w:r>
      <w:r>
        <w:rPr>
          <w:rFonts w:ascii="Times New Roman" w:hAnsi="Times New Roman"/>
          <w:sz w:val="28"/>
          <w:szCs w:val="28"/>
        </w:rPr>
        <w:t xml:space="preserve"> family members in the cultivated and wild environments : A Review // Plants. – 2020. – Vol. 9, № 667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75 </w:t>
        <w:tab/>
        <w:t xml:space="preserve">Hall T.J. Resistance at the </w:t>
      </w:r>
      <w:r>
        <w:rPr>
          <w:rFonts w:ascii="Times New Roman" w:hAnsi="Times New Roman"/>
          <w:i/>
          <w:iCs/>
          <w:sz w:val="28"/>
          <w:szCs w:val="28"/>
        </w:rPr>
        <w:t>Tm-2</w:t>
      </w:r>
      <w:r>
        <w:rPr>
          <w:rFonts w:ascii="Times New Roman" w:hAnsi="Times New Roman"/>
          <w:sz w:val="28"/>
          <w:szCs w:val="28"/>
        </w:rPr>
        <w:t xml:space="preserve"> locus in the tomato to tomato mosaic virus // Euphytica. – 1980. – Vol. 29. – P. 189–197.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76 </w:t>
        <w:tab/>
        <w:t xml:space="preserve">Young N.D., Tanksley S.D. RFLP analysis of the size of chromosomal segments retained around the </w:t>
      </w:r>
      <w:r>
        <w:rPr>
          <w:rFonts w:ascii="Times New Roman" w:hAnsi="Times New Roman"/>
          <w:i/>
          <w:iCs/>
          <w:sz w:val="28"/>
          <w:szCs w:val="28"/>
        </w:rPr>
        <w:t>Tm-2</w:t>
      </w:r>
      <w:r>
        <w:rPr>
          <w:rFonts w:ascii="Times New Roman" w:hAnsi="Times New Roman"/>
          <w:sz w:val="28"/>
          <w:szCs w:val="28"/>
        </w:rPr>
        <w:t xml:space="preserve"> locus of tomato during backcross breeding // Theor. Appl. Genet. – 1989. – P. 353–359.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77 </w:t>
        <w:tab/>
        <w:t xml:space="preserve">Lanfermeijer F.C., Warmink J., Hille J. The products of the broken </w:t>
      </w:r>
      <w:r>
        <w:rPr>
          <w:rFonts w:ascii="Times New Roman" w:hAnsi="Times New Roman"/>
          <w:i/>
          <w:iCs/>
          <w:sz w:val="28"/>
          <w:szCs w:val="28"/>
        </w:rPr>
        <w:t>Tm-2</w:t>
      </w:r>
      <w:r>
        <w:rPr>
          <w:rFonts w:ascii="Times New Roman" w:hAnsi="Times New Roman"/>
          <w:sz w:val="28"/>
          <w:szCs w:val="28"/>
        </w:rPr>
        <w:t xml:space="preserve"> and the durable </w:t>
      </w:r>
      <w:r>
        <w:rPr>
          <w:rFonts w:ascii="Times New Roman" w:hAnsi="Times New Roman"/>
          <w:i/>
          <w:iCs/>
          <w:sz w:val="28"/>
          <w:szCs w:val="28"/>
        </w:rPr>
        <w:t>Tm-22</w:t>
      </w:r>
      <w:r>
        <w:rPr>
          <w:rFonts w:ascii="Times New Roman" w:hAnsi="Times New Roman"/>
          <w:sz w:val="28"/>
          <w:szCs w:val="28"/>
        </w:rPr>
        <w:t xml:space="preserve"> resistance genes from tomato differ in four amino acids // J. Exp. Bot. – 2005. – Vol. 56, № 421. – P. 2925–2933.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78 </w:t>
        <w:tab/>
        <w:t xml:space="preserve">Qi S., Zhang S., Islam M.M., et al. Natural resources resistance to tomato spotted wilt virus (Tswv) in tomato (solanum lycopersicum) // Int. J. Mol. Sci. – 2021. – Vol. 22, № 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79 </w:t>
        <w:tab/>
        <w:t xml:space="preserve">Langella R., Ercolano M.R., Monti L.M., et al. Molecular marker assisted transfer of resistance to TSWV in tomato elite lines // J. Hortic. Sci. Biotechnol. – 2004. – Vol. 79, № 5. – P. 806–810.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80 </w:t>
        <w:tab/>
        <w:t xml:space="preserve">Panthee D.R., Ibrahem R. New molecular markers associated with the </w:t>
      </w:r>
      <w:r>
        <w:rPr>
          <w:rFonts w:ascii="Times New Roman" w:hAnsi="Times New Roman"/>
          <w:i/>
          <w:iCs/>
          <w:sz w:val="28"/>
          <w:szCs w:val="28"/>
        </w:rPr>
        <w:t xml:space="preserve">Sw-5 </w:t>
      </w:r>
      <w:r>
        <w:rPr>
          <w:rFonts w:ascii="Times New Roman" w:hAnsi="Times New Roman"/>
          <w:sz w:val="28"/>
          <w:szCs w:val="28"/>
        </w:rPr>
        <w:t xml:space="preserve">gene conferring resistance to tomato spotted wilt virus in tomato // J. Hortic. Sci. Biotechnol. – 2013. – Vol. 88, № 2. – P. 129–134.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81 </w:t>
        <w:tab/>
        <w:t xml:space="preserve">Ji Y., Schuster Æ.D.J., Scott Æ.J.W. Ty-3 , a begomovirus resistance locus near the Tomato yellow leaf curl virus resistance locus </w:t>
      </w:r>
      <w:r>
        <w:rPr>
          <w:rFonts w:ascii="Times New Roman" w:hAnsi="Times New Roman"/>
          <w:i/>
          <w:iCs/>
          <w:sz w:val="28"/>
          <w:szCs w:val="28"/>
        </w:rPr>
        <w:t>Ty-1</w:t>
      </w:r>
      <w:r>
        <w:rPr>
          <w:rFonts w:ascii="Times New Roman" w:hAnsi="Times New Roman"/>
          <w:sz w:val="28"/>
          <w:szCs w:val="28"/>
        </w:rPr>
        <w:t xml:space="preserve"> on chromosome 6 of tomato // Mol. Breeding. – 2007. – P. 271–284.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82 </w:t>
        <w:tab/>
        <w:t>Yang X., Caro M., Hutton S.F., et al. Fine mapping of the tomato yellow leaf curl virus resistance gene Ty - 2 on chromosome 11 of tomato // Mol. Breeding. – 2014. – Vol. 34. – P. 749-760.</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83 </w:t>
        <w:tab/>
        <w:t xml:space="preserve">Kim M., Park Y., Lee J., et al. Development of molecular markers for </w:t>
      </w:r>
      <w:r>
        <w:rPr>
          <w:rFonts w:ascii="Times New Roman" w:hAnsi="Times New Roman"/>
          <w:i/>
          <w:iCs/>
          <w:sz w:val="28"/>
          <w:szCs w:val="28"/>
        </w:rPr>
        <w:t>Ty-2</w:t>
      </w:r>
      <w:r>
        <w:rPr>
          <w:rFonts w:ascii="Times New Roman" w:hAnsi="Times New Roman"/>
          <w:sz w:val="28"/>
          <w:szCs w:val="28"/>
        </w:rPr>
        <w:t xml:space="preserve"> and </w:t>
      </w:r>
      <w:r>
        <w:rPr>
          <w:rFonts w:ascii="Times New Roman" w:hAnsi="Times New Roman"/>
          <w:i/>
          <w:iCs/>
          <w:sz w:val="28"/>
          <w:szCs w:val="28"/>
        </w:rPr>
        <w:t>Ty-3</w:t>
      </w:r>
      <w:r>
        <w:rPr>
          <w:rFonts w:ascii="Times New Roman" w:hAnsi="Times New Roman"/>
          <w:sz w:val="28"/>
          <w:szCs w:val="28"/>
        </w:rPr>
        <w:t xml:space="preserve"> selection in tomato breeding // Sci. Hortic. – 2020. – Vol. 265. – P. 109230.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84 </w:t>
        <w:tab/>
        <w:t xml:space="preserve">Legard D.E. Pathogenic Specialization in </w:t>
      </w:r>
      <w:r>
        <w:rPr>
          <w:rFonts w:ascii="Times New Roman" w:hAnsi="Times New Roman"/>
          <w:i/>
          <w:sz w:val="28"/>
          <w:szCs w:val="28"/>
        </w:rPr>
        <w:t>Phytophthora infestans</w:t>
      </w:r>
      <w:r>
        <w:rPr>
          <w:rFonts w:ascii="Times New Roman" w:hAnsi="Times New Roman"/>
          <w:sz w:val="28"/>
          <w:szCs w:val="28"/>
        </w:rPr>
        <w:t xml:space="preserve"> : Aggressiveness on Tomato // Phytopathology. – 1995. – Vol. 85, № 11. – P. 1356.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85 </w:t>
        <w:tab/>
        <w:t xml:space="preserve">Judelson H.S., Blanco F.A. The spores of </w:t>
      </w:r>
      <w:r>
        <w:rPr>
          <w:rFonts w:ascii="Times New Roman" w:hAnsi="Times New Roman"/>
          <w:i/>
          <w:iCs/>
          <w:sz w:val="28"/>
          <w:szCs w:val="28"/>
        </w:rPr>
        <w:t>Phytophthora</w:t>
      </w:r>
      <w:r>
        <w:rPr>
          <w:rFonts w:ascii="Times New Roman" w:hAnsi="Times New Roman"/>
          <w:sz w:val="28"/>
          <w:szCs w:val="28"/>
        </w:rPr>
        <w:t xml:space="preserve">: weapons of the plant destroyer // Nat. Rev. Microbiol. – 2005. – Vol. 3, № 1. – P. 47–58.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86 </w:t>
        <w:tab/>
        <w:t xml:space="preserve">Ismailova E.T., Cadanov A.K., Shemshura O.N., et al. Morphological and molecular and genetic characteristics of causative agents of the main fungal diseases of tomatoes growing in Almaty region // News Natl. Acad. Sci. Repub. Kazakhstan Ser. Biol. Med. – 2017. – Vol. 5, № 323. – P. 75–81.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87 </w:t>
        <w:tab/>
        <w:t xml:space="preserve">Nowicki M., Foolad M.R., Nowakowska M., et al. Potato and tomato late blight caused by </w:t>
      </w:r>
      <w:r>
        <w:rPr>
          <w:rFonts w:ascii="Times New Roman" w:hAnsi="Times New Roman"/>
          <w:i/>
          <w:iCs/>
          <w:sz w:val="28"/>
          <w:szCs w:val="28"/>
        </w:rPr>
        <w:t>Phytophthora infestans</w:t>
      </w:r>
      <w:r>
        <w:rPr>
          <w:rFonts w:ascii="Times New Roman" w:hAnsi="Times New Roman"/>
          <w:sz w:val="28"/>
          <w:szCs w:val="28"/>
        </w:rPr>
        <w:t xml:space="preserve">: An overview of pathology and resistance breeding // Plant Dis. – 2012. – Vol. 96, № 1. – P. 4–17.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88 </w:t>
        <w:tab/>
        <w:t xml:space="preserve">Jung J., Kim H.J., Lee J.M., et al. Gene-based molecular marker system for multiple disease resistances in tomato against Tomato yellow leaf curl virus, late blight, and verticillium wilt // Euphytica. – 2015. – Vol. 205, № 2. – P. 599–613.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89 </w:t>
        <w:tab/>
        <w:t xml:space="preserve">Robbins M.D., Masud M.A.T., Panthee D.R., et al. Marker-assisted selection for coupling phase resistance to Tomato spotted wilt virus and </w:t>
      </w:r>
      <w:r>
        <w:rPr>
          <w:rFonts w:ascii="Times New Roman" w:hAnsi="Times New Roman"/>
          <w:i/>
          <w:iCs/>
          <w:sz w:val="28"/>
          <w:szCs w:val="28"/>
        </w:rPr>
        <w:t>Phytophthora infestans</w:t>
      </w:r>
      <w:r>
        <w:rPr>
          <w:rFonts w:ascii="Times New Roman" w:hAnsi="Times New Roman"/>
          <w:sz w:val="28"/>
          <w:szCs w:val="28"/>
        </w:rPr>
        <w:t xml:space="preserve"> (Late Blight) in tomato // HortScience. – 2010. – Vol. 45, № 10. – P. 1424–1428.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90 </w:t>
        <w:tab/>
        <w:t xml:space="preserve">Wang Y.-Y., Chen C.-H., Hoffmann A., et al. Evaluation of the </w:t>
      </w:r>
      <w:r>
        <w:rPr>
          <w:rFonts w:ascii="Times New Roman" w:hAnsi="Times New Roman"/>
          <w:i/>
          <w:sz w:val="28"/>
          <w:szCs w:val="28"/>
        </w:rPr>
        <w:t>Ph-3</w:t>
      </w:r>
      <w:r>
        <w:rPr>
          <w:rFonts w:ascii="Times New Roman" w:hAnsi="Times New Roman"/>
          <w:sz w:val="28"/>
          <w:szCs w:val="28"/>
        </w:rPr>
        <w:t xml:space="preserve"> gene-specific marker developed for marker-assisted selection of late blight-resistant tomato // Plant Breed. / ed. Wehling P. – 2016. – Vol. 135, № 5. – P. 636–642.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91 </w:t>
        <w:tab/>
        <w:t xml:space="preserve">Pietro A.D., Madrid M.P., Caracuel Z., et al. </w:t>
      </w:r>
      <w:r>
        <w:rPr>
          <w:rFonts w:ascii="Times New Roman" w:hAnsi="Times New Roman"/>
          <w:i/>
          <w:sz w:val="28"/>
          <w:szCs w:val="28"/>
        </w:rPr>
        <w:t>Fusarium oxysporum</w:t>
      </w:r>
      <w:r>
        <w:rPr>
          <w:rFonts w:ascii="Times New Roman" w:hAnsi="Times New Roman"/>
          <w:sz w:val="28"/>
          <w:szCs w:val="28"/>
        </w:rPr>
        <w:t xml:space="preserve"> : exploring the molecular arsenal of a vascular wilt fungus: The molecular arsenal of </w:t>
      </w:r>
      <w:r>
        <w:rPr>
          <w:rFonts w:ascii="Times New Roman" w:hAnsi="Times New Roman"/>
          <w:i/>
          <w:sz w:val="28"/>
          <w:szCs w:val="28"/>
        </w:rPr>
        <w:t>F. oxysporum</w:t>
      </w:r>
      <w:r>
        <w:rPr>
          <w:rFonts w:ascii="Times New Roman" w:hAnsi="Times New Roman"/>
          <w:sz w:val="28"/>
          <w:szCs w:val="28"/>
        </w:rPr>
        <w:t xml:space="preserve"> // Mol. Plant Pathol. – 2003. – Vol. 4, № 5. – P. 315–325.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92 </w:t>
        <w:tab/>
        <w:t xml:space="preserve">Chitwood-Brown J., Vallad G.E., Lee T.G., et al. Breeding for Resistance to </w:t>
      </w:r>
      <w:r>
        <w:rPr>
          <w:rFonts w:ascii="Times New Roman" w:hAnsi="Times New Roman"/>
          <w:i/>
          <w:iCs/>
          <w:sz w:val="28"/>
          <w:szCs w:val="28"/>
        </w:rPr>
        <w:t>Fusarium</w:t>
      </w:r>
      <w:r>
        <w:rPr>
          <w:rFonts w:ascii="Times New Roman" w:hAnsi="Times New Roman"/>
          <w:sz w:val="28"/>
          <w:szCs w:val="28"/>
        </w:rPr>
        <w:t xml:space="preserve"> wilt of tomato: a review // Genes. – 2021. – Vol. 12, № 11. – P. 1673.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93 </w:t>
        <w:tab/>
        <w:t xml:space="preserve">Sagitov A.O., El-Habbaa G.M., El-Fiki I.A. Sensitivity of seven tomato cultivars to </w:t>
      </w:r>
      <w:r>
        <w:rPr>
          <w:rFonts w:ascii="Times New Roman" w:hAnsi="Times New Roman"/>
          <w:i/>
          <w:iCs/>
          <w:sz w:val="28"/>
          <w:szCs w:val="28"/>
        </w:rPr>
        <w:t>Fusarium</w:t>
      </w:r>
      <w:r>
        <w:rPr>
          <w:rFonts w:ascii="Times New Roman" w:hAnsi="Times New Roman"/>
          <w:sz w:val="28"/>
          <w:szCs w:val="28"/>
        </w:rPr>
        <w:t xml:space="preserve"> wilt under glasshouse conditions in Kazakhstan // Egypt. J. Phytopathol. – 2010. – Vol. 38, № 1. – P. 89–97.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94 </w:t>
        <w:tab/>
        <w:t xml:space="preserve">Sagitov A.O., El-Habbaa G.M., El-Fiki I.A. Occurence of tomato </w:t>
      </w:r>
      <w:r>
        <w:rPr>
          <w:rFonts w:ascii="Times New Roman" w:hAnsi="Times New Roman"/>
          <w:i/>
          <w:sz w:val="28"/>
          <w:szCs w:val="28"/>
        </w:rPr>
        <w:t>Fusarium</w:t>
      </w:r>
      <w:r>
        <w:rPr>
          <w:rFonts w:ascii="Times New Roman" w:hAnsi="Times New Roman"/>
          <w:sz w:val="28"/>
          <w:szCs w:val="28"/>
        </w:rPr>
        <w:t xml:space="preserve"> wilt disease in Kazakhstan // Res. Results Kazn. Univ. – 2010. – Vol. 2, № 46. – P. 212–215.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95 </w:t>
        <w:tab/>
        <w:t xml:space="preserve">Arens P., Mansilla C., Deinum D., et al. Development and evaluation of robust molecular markers linked to disease resistance in tomato for distinctness, uniformity and stability testing // Theor. Appl. Genet. – 2010. – Vol. 120, № 3. – P. 655–664.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96 </w:t>
        <w:tab/>
        <w:t xml:space="preserve">Wightwick A., Walters R., Allinson G., et al. Environmental risks of fungicides used in horticultural production systems // Fungicides. – 2010. – P. 273–304.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97 </w:t>
        <w:tab/>
        <w:t xml:space="preserve">Gikas G.D., Parlakidis P., Mavropoulos T., et al. Particularities of fungicides and factors affecting their fate and removal efficacy: a review // Sustainability. – 2022. – Vol. 14, № 7. – P. 4056.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98 </w:t>
        <w:tab/>
        <w:t xml:space="preserve">Vielba-Fernández A., Polonio Á., Ruiz-Jiménez L., et al. Fungicide resistance in powdery mildew fungi // Microorganisms. – 2020. – Vol. 8, № 9. – P. 1431.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99 </w:t>
        <w:tab/>
        <w:t xml:space="preserve">Laterrot H. Disease resistance in tomato: practical situation // Acta Physiol. Plant. – 2000. – Vol. 22, № 3. – P. 328–331.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100 </w:t>
        <w:tab/>
        <w:t>Lindhout P., Pet G. Screening wild Lycopersicon species for resistance to powdery mildew (</w:t>
      </w:r>
      <w:r>
        <w:rPr>
          <w:rFonts w:ascii="Times New Roman" w:hAnsi="Times New Roman"/>
          <w:i/>
          <w:iCs/>
          <w:sz w:val="28"/>
          <w:szCs w:val="28"/>
        </w:rPr>
        <w:t>Oidium lycopersicum</w:t>
      </w:r>
      <w:r>
        <w:rPr>
          <w:rFonts w:ascii="Times New Roman" w:hAnsi="Times New Roman"/>
          <w:sz w:val="28"/>
          <w:szCs w:val="28"/>
        </w:rPr>
        <w:t xml:space="preserve">) // Euphytica. – 1994. – Vol. 72. – P. 43–49.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101 </w:t>
        <w:tab/>
        <w:t xml:space="preserve">Bai Y., Van Der Hulst R., Bonnema G., et al. Tomato defense to </w:t>
      </w:r>
      <w:r>
        <w:rPr>
          <w:rFonts w:ascii="Times New Roman" w:hAnsi="Times New Roman"/>
          <w:i/>
          <w:iCs/>
          <w:sz w:val="28"/>
          <w:szCs w:val="28"/>
        </w:rPr>
        <w:t>Oidium neolycopersici</w:t>
      </w:r>
      <w:r>
        <w:rPr>
          <w:rFonts w:ascii="Times New Roman" w:hAnsi="Times New Roman"/>
          <w:sz w:val="28"/>
          <w:szCs w:val="28"/>
        </w:rPr>
        <w:t xml:space="preserve">: Dominant Ol genes confer isolate-dependent resistance via a different mechanism than recessive ol-2 // Mol. Plant. Microbe Interact. – 2005. – Vol. 18, № 5. – P. 508.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102 </w:t>
        <w:tab/>
        <w:t>Seifi A., Gao D., Zheng Z., et al. Genetics and molecular mechanisms of resistance to powdery mildews in tomato (</w:t>
      </w:r>
      <w:r>
        <w:rPr>
          <w:rFonts w:ascii="Times New Roman" w:hAnsi="Times New Roman"/>
          <w:i/>
          <w:iCs/>
          <w:sz w:val="28"/>
          <w:szCs w:val="28"/>
        </w:rPr>
        <w:t>Solanum lycopersicum</w:t>
      </w:r>
      <w:r>
        <w:rPr>
          <w:rFonts w:ascii="Times New Roman" w:hAnsi="Times New Roman"/>
          <w:sz w:val="28"/>
          <w:szCs w:val="28"/>
        </w:rPr>
        <w:t xml:space="preserve">) and its wild relatives // Eur. J. Plant Pathol. – 2014. – Vol. 138, № 3. – P. 641–665.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103 </w:t>
        <w:tab/>
        <w:t xml:space="preserve">Li C., Bonnema G., Che D., et al. Biochemical and molecular mechanisms involved in monogenic resistance responses to tomato powdery mildew // Mol. Plant-Microbe Interactions®. – 2007. – Vol. 20, № 9. – P. 1161–1172.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104 </w:t>
        <w:tab/>
        <w:t xml:space="preserve">Seifi A., Kaloshian I., Vossen J., et al. Linked, if not the same, </w:t>
      </w:r>
      <w:r>
        <w:rPr>
          <w:rFonts w:ascii="Times New Roman" w:hAnsi="Times New Roman"/>
          <w:i/>
          <w:iCs/>
          <w:sz w:val="28"/>
          <w:szCs w:val="28"/>
        </w:rPr>
        <w:t>Mi-1</w:t>
      </w:r>
      <w:r>
        <w:rPr>
          <w:rFonts w:ascii="Times New Roman" w:hAnsi="Times New Roman"/>
          <w:sz w:val="28"/>
          <w:szCs w:val="28"/>
        </w:rPr>
        <w:t xml:space="preserve"> homologues confer resistance to tomato powdery mildew and root-knot nematodes // Mol. Plant-Microbe Interact. MPMI. – 2011. – Vol. 24, № 4. – P. 441–450.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105 </w:t>
        <w:tab/>
        <w:t>Chunwongse J., Bunn T.B., Crossman C., et al. Chromosomal localization and molecular-marker tagging of the powdery mildew resistance gene (</w:t>
      </w:r>
      <w:r>
        <w:rPr>
          <w:rFonts w:ascii="Times New Roman" w:hAnsi="Times New Roman"/>
          <w:i/>
          <w:iCs/>
          <w:sz w:val="28"/>
          <w:szCs w:val="28"/>
        </w:rPr>
        <w:t>Lv</w:t>
      </w:r>
      <w:r>
        <w:rPr>
          <w:rFonts w:ascii="Times New Roman" w:hAnsi="Times New Roman"/>
          <w:sz w:val="28"/>
          <w:szCs w:val="28"/>
        </w:rPr>
        <w:t xml:space="preserve">) in tomato // TAG Theor. Appl. Genet. Theor. Angew. Genet. – 1994. – Vol. 89, № 1. – P. 76–79.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106 </w:t>
        <w:tab/>
        <w:t xml:space="preserve">Chunwongse J., Doganlar S., Crossman C., et al. High-resolution genetic map of the </w:t>
      </w:r>
      <w:r>
        <w:rPr>
          <w:rFonts w:ascii="Times New Roman" w:hAnsi="Times New Roman"/>
          <w:i/>
          <w:iCs/>
          <w:sz w:val="28"/>
          <w:szCs w:val="28"/>
        </w:rPr>
        <w:t>Lv</w:t>
      </w:r>
      <w:r>
        <w:rPr>
          <w:rFonts w:ascii="Times New Roman" w:hAnsi="Times New Roman"/>
          <w:sz w:val="28"/>
          <w:szCs w:val="28"/>
        </w:rPr>
        <w:t xml:space="preserve"> resistance locus in tomato: // Theor. Appl. Genet. – 1997. – Vol. 95, № 1–2. – P. 220–223.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107 </w:t>
        <w:tab/>
        <w:t xml:space="preserve">Li C., Faino L., Dong L., et al. Characterization of polygenic resistance to powdery mildew in tomato at cytological, biochemical and gene expression level // Mol. Plant Pathol. – 2012. – Vol. 13, № 2. – P. 148–159.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108 </w:t>
        <w:tab/>
        <w:t xml:space="preserve">Park J., Lee S., Choi Y., et al. Germplasm screening using DNA markers and genome-wide association study for the identification of powdery mildew resistance loci in tomato // Int. J. Mol. Sci. – 2022. – Vol. 23, № 21. – P. 13610.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109 </w:t>
        <w:tab/>
        <w:t>Sang Y., Zhao H., Liu X., et al. Genome-wide association study of powdery mildew resistance in cultivated soybean from Northeast China // Front. Plant Sci. – 2023. – Vol. 14. – P. 1286706.</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110 </w:t>
        <w:tab/>
        <w:t>Binagwa P.H., Traore S.M., Egnin M., et al. Genome-wide identification of powdery mildew resistance in common bean (</w:t>
      </w:r>
      <w:r>
        <w:rPr>
          <w:rFonts w:ascii="Times New Roman" w:hAnsi="Times New Roman"/>
          <w:i/>
          <w:iCs/>
          <w:sz w:val="28"/>
          <w:szCs w:val="28"/>
        </w:rPr>
        <w:t>Phaseolus vulgaris</w:t>
      </w:r>
      <w:r>
        <w:rPr>
          <w:rFonts w:ascii="Times New Roman" w:hAnsi="Times New Roman"/>
          <w:sz w:val="28"/>
          <w:szCs w:val="28"/>
        </w:rPr>
        <w:t xml:space="preserve"> L.) // Front. Genet. – 2021. – Vol. 12. – P. 673069.</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111 </w:t>
        <w:tab/>
        <w:t xml:space="preserve">Alavilli H., Lee J.-J., You C.-R., et al. GWAS Reveals a novel candidate gene </w:t>
      </w:r>
      <w:r>
        <w:rPr>
          <w:rFonts w:ascii="Times New Roman" w:hAnsi="Times New Roman"/>
          <w:i/>
          <w:iCs/>
          <w:sz w:val="28"/>
          <w:szCs w:val="28"/>
        </w:rPr>
        <w:t>CmoAP2/ERF</w:t>
      </w:r>
      <w:r>
        <w:rPr>
          <w:rFonts w:ascii="Times New Roman" w:hAnsi="Times New Roman"/>
          <w:sz w:val="28"/>
          <w:szCs w:val="28"/>
        </w:rPr>
        <w:t xml:space="preserve"> in pumpkin (</w:t>
      </w:r>
      <w:r>
        <w:rPr>
          <w:rFonts w:ascii="Times New Roman" w:hAnsi="Times New Roman"/>
          <w:i/>
          <w:iCs/>
          <w:sz w:val="28"/>
          <w:szCs w:val="28"/>
        </w:rPr>
        <w:t>Cucurbita moschata</w:t>
      </w:r>
      <w:r>
        <w:rPr>
          <w:rFonts w:ascii="Times New Roman" w:hAnsi="Times New Roman"/>
          <w:sz w:val="28"/>
          <w:szCs w:val="28"/>
        </w:rPr>
        <w:t xml:space="preserve">) involved in resistance to powdery mildew// Int. J. Mol. Sci. – 2022. – Vol. 23, № 12. – P. 6524.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112 </w:t>
        <w:tab/>
        <w:t xml:space="preserve">Jin P., Guo X., Guo M., et al. Genome-wide association mapping of resistance to powdery mildew in regional trials of wheat mainly from China // Plant Dis. – 2022. – Vol. 106, № 10. – P. 2701–2710.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113 </w:t>
        <w:tab/>
        <w:t>Ricciardi V., Crespan M., Maddalena G., et al. Novel loci associated with resistance to downy and powdery mildew in grapevine // Front. Plant Sci. – 2024. – Vol. 15. – P. 1386225.</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114 </w:t>
        <w:tab/>
        <w:t>Van der Beek J.G., Pet G., Lindhout P. Resistance to powdery mildew (</w:t>
      </w:r>
      <w:r>
        <w:rPr>
          <w:rFonts w:ascii="Times New Roman" w:hAnsi="Times New Roman"/>
          <w:i/>
          <w:iCs/>
          <w:sz w:val="28"/>
          <w:szCs w:val="28"/>
        </w:rPr>
        <w:t>Oidium lycopersicum</w:t>
      </w:r>
      <w:r>
        <w:rPr>
          <w:rFonts w:ascii="Times New Roman" w:hAnsi="Times New Roman"/>
          <w:sz w:val="28"/>
          <w:szCs w:val="28"/>
        </w:rPr>
        <w:t xml:space="preserve">) in </w:t>
      </w:r>
      <w:r>
        <w:rPr>
          <w:rFonts w:ascii="Times New Roman" w:hAnsi="Times New Roman"/>
          <w:i/>
          <w:iCs/>
          <w:sz w:val="28"/>
          <w:szCs w:val="28"/>
        </w:rPr>
        <w:t>Lycopersicon hirsutu</w:t>
      </w:r>
      <w:r>
        <w:rPr>
          <w:rFonts w:ascii="Times New Roman" w:hAnsi="Times New Roman"/>
          <w:sz w:val="28"/>
          <w:szCs w:val="28"/>
        </w:rPr>
        <w:t xml:space="preserve">m is controlled by an incompletely-dominant gene </w:t>
      </w:r>
      <w:r>
        <w:rPr>
          <w:rFonts w:ascii="Times New Roman" w:hAnsi="Times New Roman"/>
          <w:i/>
          <w:iCs/>
          <w:sz w:val="28"/>
          <w:szCs w:val="28"/>
        </w:rPr>
        <w:t>Ol-1</w:t>
      </w:r>
      <w:r>
        <w:rPr>
          <w:rFonts w:ascii="Times New Roman" w:hAnsi="Times New Roman"/>
          <w:sz w:val="28"/>
          <w:szCs w:val="28"/>
        </w:rPr>
        <w:t xml:space="preserve"> on chromosome 6 // Theor. Appl. Genet. – 1994. – Vol. 89. – P. 467–473.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115 </w:t>
        <w:tab/>
        <w:t xml:space="preserve">Bai Y., Pavan S., Zheng Z., et al. Naturally occurring broad-spectrum powdery mildew resistance in a Central American tomato accession is caused by loss of </w:t>
      </w:r>
      <w:r>
        <w:rPr>
          <w:rFonts w:ascii="Times New Roman" w:hAnsi="Times New Roman"/>
          <w:i/>
          <w:iCs/>
          <w:sz w:val="28"/>
          <w:szCs w:val="28"/>
        </w:rPr>
        <w:t>Mlo</w:t>
      </w:r>
      <w:r>
        <w:rPr>
          <w:rFonts w:ascii="Times New Roman" w:hAnsi="Times New Roman"/>
          <w:sz w:val="28"/>
          <w:szCs w:val="28"/>
        </w:rPr>
        <w:t xml:space="preserve"> function // Mol. Plant. Microbe Interact. – 2008. – Vol. 21, № 1. – P. 30–39.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116 </w:t>
        <w:tab/>
        <w:t>Zhang T., Xu N., Amanullah S., et al. Genome-wide identification, evolution, and expression analysis of MLO gene family in melon (</w:t>
      </w:r>
      <w:r>
        <w:rPr>
          <w:rFonts w:ascii="Times New Roman" w:hAnsi="Times New Roman"/>
          <w:i/>
          <w:iCs/>
          <w:sz w:val="28"/>
          <w:szCs w:val="28"/>
        </w:rPr>
        <w:t>Cucumis melo</w:t>
      </w:r>
      <w:r>
        <w:rPr>
          <w:rFonts w:ascii="Times New Roman" w:hAnsi="Times New Roman"/>
          <w:sz w:val="28"/>
          <w:szCs w:val="28"/>
        </w:rPr>
        <w:t xml:space="preserve"> L.) // Front. Plant Sci. – 2023. – Vol. 14. – P. 1144317.</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117 </w:t>
        <w:tab/>
        <w:t xml:space="preserve">Bai Y., Van Der Hulst R., Huang C.C., et al. Mapping </w:t>
      </w:r>
      <w:r>
        <w:rPr>
          <w:rFonts w:ascii="Times New Roman" w:hAnsi="Times New Roman"/>
          <w:i/>
          <w:iCs/>
          <w:sz w:val="28"/>
          <w:szCs w:val="28"/>
        </w:rPr>
        <w:t>Ol-4</w:t>
      </w:r>
      <w:r>
        <w:rPr>
          <w:rFonts w:ascii="Times New Roman" w:hAnsi="Times New Roman"/>
          <w:sz w:val="28"/>
          <w:szCs w:val="28"/>
        </w:rPr>
        <w:t xml:space="preserve">, a gene conferring resistance to </w:t>
      </w:r>
      <w:r>
        <w:rPr>
          <w:rFonts w:ascii="Times New Roman" w:hAnsi="Times New Roman"/>
          <w:i/>
          <w:iCs/>
          <w:sz w:val="28"/>
          <w:szCs w:val="28"/>
        </w:rPr>
        <w:t>Oidium neolycopersici</w:t>
      </w:r>
      <w:r>
        <w:rPr>
          <w:rFonts w:ascii="Times New Roman" w:hAnsi="Times New Roman"/>
          <w:sz w:val="28"/>
          <w:szCs w:val="28"/>
        </w:rPr>
        <w:t xml:space="preserve"> and originating from </w:t>
      </w:r>
      <w:r>
        <w:rPr>
          <w:rFonts w:ascii="Times New Roman" w:hAnsi="Times New Roman"/>
          <w:i/>
          <w:iCs/>
          <w:sz w:val="28"/>
          <w:szCs w:val="28"/>
        </w:rPr>
        <w:t>Lycopersicon peruvianum</w:t>
      </w:r>
      <w:r>
        <w:rPr>
          <w:rFonts w:ascii="Times New Roman" w:hAnsi="Times New Roman"/>
          <w:sz w:val="28"/>
          <w:szCs w:val="28"/>
        </w:rPr>
        <w:t xml:space="preserve"> LA2172, requires multi-allelic, single-locus markers // Theor. Appl. Genet. – 2004. – Vol. 109, № 6. – P. 1215–1223.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118 </w:t>
        <w:tab/>
        <w:t xml:space="preserve">Ricciardi L., Lotti C., Pavan S., et al. Further isolation of AFLP and LMS markers for the mapping of the </w:t>
      </w:r>
      <w:r>
        <w:rPr>
          <w:rFonts w:ascii="Times New Roman" w:hAnsi="Times New Roman"/>
          <w:i/>
          <w:iCs/>
          <w:sz w:val="28"/>
          <w:szCs w:val="28"/>
        </w:rPr>
        <w:t>Ol-2</w:t>
      </w:r>
      <w:r>
        <w:rPr>
          <w:rFonts w:ascii="Times New Roman" w:hAnsi="Times New Roman"/>
          <w:sz w:val="28"/>
          <w:szCs w:val="28"/>
        </w:rPr>
        <w:t xml:space="preserve"> locus related to powdery mildew (Oidium neolycopersici) resistance in tomato (</w:t>
      </w:r>
      <w:r>
        <w:rPr>
          <w:rFonts w:ascii="Times New Roman" w:hAnsi="Times New Roman"/>
          <w:i/>
          <w:iCs/>
          <w:sz w:val="28"/>
          <w:szCs w:val="28"/>
        </w:rPr>
        <w:t>Solanum lycopersicum</w:t>
      </w:r>
      <w:r>
        <w:rPr>
          <w:rFonts w:ascii="Times New Roman" w:hAnsi="Times New Roman"/>
          <w:sz w:val="28"/>
          <w:szCs w:val="28"/>
        </w:rPr>
        <w:t xml:space="preserve"> L.) // Plant Sci. – 2007. – Vol. 172, № 4. – P. 746–755.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119 </w:t>
        <w:tab/>
        <w:t xml:space="preserve">Faino L., Azizinia S., Hassanzadeh B.H., et al. Fine mapping of two major QTLs conferring resistance to powdery mildew in tomato // Euphytica. – 2012. – Vol. 184, № 2. – P. 223–234.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120 </w:t>
        <w:tab/>
        <w:t xml:space="preserve">Santillán Martínez M.I., Bracuto V., Koseoglou E., et al. CRISPR/Cas9-targeted mutagenesis of the tomato susceptibility gene </w:t>
      </w:r>
      <w:r>
        <w:rPr>
          <w:rFonts w:ascii="Times New Roman" w:hAnsi="Times New Roman"/>
          <w:i/>
          <w:iCs/>
          <w:sz w:val="28"/>
          <w:szCs w:val="28"/>
        </w:rPr>
        <w:t>PMR4</w:t>
      </w:r>
      <w:r>
        <w:rPr>
          <w:rFonts w:ascii="Times New Roman" w:hAnsi="Times New Roman"/>
          <w:sz w:val="28"/>
          <w:szCs w:val="28"/>
        </w:rPr>
        <w:t xml:space="preserve"> for resistance against powdery mildew // BMC Plant Biol. – 2020. – Vol. 20, № 1. – P. 284.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121 </w:t>
        <w:tab/>
        <w:t xml:space="preserve">Huibers R.P., Loonen A.E.H.M., Gao D., et al. Powdery mildew resistance in tomato by impairment of </w:t>
      </w:r>
      <w:r>
        <w:rPr>
          <w:rFonts w:ascii="Times New Roman" w:hAnsi="Times New Roman"/>
          <w:i/>
          <w:iCs/>
          <w:sz w:val="28"/>
          <w:szCs w:val="28"/>
        </w:rPr>
        <w:t>SlPMR4</w:t>
      </w:r>
      <w:r>
        <w:rPr>
          <w:rFonts w:ascii="Times New Roman" w:hAnsi="Times New Roman"/>
          <w:sz w:val="28"/>
          <w:szCs w:val="28"/>
        </w:rPr>
        <w:t xml:space="preserve"> and </w:t>
      </w:r>
      <w:r>
        <w:rPr>
          <w:rFonts w:ascii="Times New Roman" w:hAnsi="Times New Roman"/>
          <w:i/>
          <w:iCs/>
          <w:sz w:val="28"/>
          <w:szCs w:val="28"/>
        </w:rPr>
        <w:t>SlDMR1</w:t>
      </w:r>
      <w:r>
        <w:rPr>
          <w:rFonts w:ascii="Times New Roman" w:hAnsi="Times New Roman"/>
          <w:sz w:val="28"/>
          <w:szCs w:val="28"/>
        </w:rPr>
        <w:t xml:space="preserve"> // PLoS ONE. – 2013. – Vol. 8, № 6. – P. e67467.</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122 </w:t>
        <w:tab/>
        <w:t xml:space="preserve">Liu W., Wang X., Song L., et al. Comparative transcriptome and widely targeted metabolome analysis reveals the molecular mechanism of powdery mildew resistance in tomato // Int. J. Mol. Sci. – 2023. – Vol. 24, № 9. – P. 8236.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123 </w:t>
        <w:tab/>
        <w:t xml:space="preserve">Lian Q., He X., Zhang B., et al. Identification and characterization of </w:t>
      </w:r>
      <w:r>
        <w:rPr>
          <w:rFonts w:ascii="Times New Roman" w:hAnsi="Times New Roman"/>
          <w:i/>
          <w:iCs/>
          <w:sz w:val="28"/>
          <w:szCs w:val="28"/>
        </w:rPr>
        <w:t>WRKY41</w:t>
      </w:r>
      <w:r>
        <w:rPr>
          <w:rFonts w:ascii="Times New Roman" w:hAnsi="Times New Roman"/>
          <w:sz w:val="28"/>
          <w:szCs w:val="28"/>
        </w:rPr>
        <w:t>, a gene conferring resistance to powdery mildew in wild tomato (</w:t>
      </w:r>
      <w:r>
        <w:rPr>
          <w:rFonts w:ascii="Times New Roman" w:hAnsi="Times New Roman"/>
          <w:i/>
          <w:iCs/>
          <w:sz w:val="28"/>
          <w:szCs w:val="28"/>
        </w:rPr>
        <w:t>Solanum habrochaites</w:t>
      </w:r>
      <w:r>
        <w:rPr>
          <w:rFonts w:ascii="Times New Roman" w:hAnsi="Times New Roman"/>
          <w:sz w:val="28"/>
          <w:szCs w:val="28"/>
        </w:rPr>
        <w:t xml:space="preserve">) LA1777 // Int. J. Mol. Sci. – 2022. – Vol. 23, № 3. – P. 1267.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124 </w:t>
        <w:tab/>
        <w:t>Bai S., Wang X., Guo M., et al. Selection and evaluation of reference genes for quantitative real-time PCR in tomato (</w:t>
      </w:r>
      <w:r>
        <w:rPr>
          <w:rFonts w:ascii="Times New Roman" w:hAnsi="Times New Roman"/>
          <w:i/>
          <w:iCs/>
          <w:sz w:val="28"/>
          <w:szCs w:val="28"/>
        </w:rPr>
        <w:t>Solanum lycopersicum</w:t>
      </w:r>
      <w:r>
        <w:rPr>
          <w:rFonts w:ascii="Times New Roman" w:hAnsi="Times New Roman"/>
          <w:sz w:val="28"/>
          <w:szCs w:val="28"/>
        </w:rPr>
        <w:t xml:space="preserve"> L.) inoculated with </w:t>
      </w:r>
      <w:r>
        <w:rPr>
          <w:rFonts w:ascii="Times New Roman" w:hAnsi="Times New Roman"/>
          <w:i/>
          <w:iCs/>
          <w:sz w:val="28"/>
          <w:szCs w:val="28"/>
        </w:rPr>
        <w:t>Oidium neolycopersici</w:t>
      </w:r>
      <w:r>
        <w:rPr>
          <w:rFonts w:ascii="Times New Roman" w:hAnsi="Times New Roman"/>
          <w:sz w:val="28"/>
          <w:szCs w:val="28"/>
        </w:rPr>
        <w:t xml:space="preserve"> // Agronomy. – 2022. – Vol. 12, № 12. – P. 3171.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125 </w:t>
        <w:tab/>
        <w:t xml:space="preserve">Zaidi S.S.-A., Mukhtar M.S., Mansoor S. Genome editing: targeting susceptibility genes for plant disease resistance // Trends Biotechnol. – 2018. – Vol. 36, № 9. – P. 898–906.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126 </w:t>
        <w:tab/>
        <w:t xml:space="preserve">Vorwerk S., Schiff C., Santamaria M., et al. </w:t>
      </w:r>
      <w:r>
        <w:rPr>
          <w:rFonts w:ascii="Times New Roman" w:hAnsi="Times New Roman"/>
          <w:i/>
          <w:iCs/>
          <w:sz w:val="28"/>
          <w:szCs w:val="28"/>
        </w:rPr>
        <w:t>EDR2</w:t>
      </w:r>
      <w:r>
        <w:rPr>
          <w:rFonts w:ascii="Times New Roman" w:hAnsi="Times New Roman"/>
          <w:sz w:val="28"/>
          <w:szCs w:val="28"/>
        </w:rPr>
        <w:t xml:space="preserve"> negatively regulates salicylic acid-based defenses and cell death during powdery mildew infections of Arabidopsis thaliana // BMC Plant Biol. – 2007. – Vol. 7, № 1. – P. 35.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127 </w:t>
        <w:tab/>
        <w:t xml:space="preserve">Wawrzynska A., Christiansen K.M., Lan Y., et al. Powdery Mildew Resistance Conferred by Loss of the ENHANCED DISEASE RESISTANCE1 Protein Kinase Is Suppressed by a Missense Mutation in KEEP ON GOING, a Regulator of Abscisic Acid Signaling // Plant Physiol. – 2008. – Vol. 148, № 3. – P. 1510–1522.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128 </w:t>
        <w:tab/>
        <w:t xml:space="preserve">Chidambara B., Muthaiah G., Sadashiva A.T., et al. Transcriptome analysis during ToLCBaV disease development in contrasting tomato genotypes // 3 Biotech. – 2023. – Vol. 13, № 7. – P. 226.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129 </w:t>
        <w:tab/>
        <w:t>Wu L., Zhang X., Xu B., et al. Identification and expression analysis of EDR1-like genes in tobacco (</w:t>
      </w:r>
      <w:r>
        <w:rPr>
          <w:rFonts w:ascii="Times New Roman" w:hAnsi="Times New Roman"/>
          <w:i/>
          <w:iCs/>
          <w:sz w:val="28"/>
          <w:szCs w:val="28"/>
        </w:rPr>
        <w:t>Nicotiana tabacum</w:t>
      </w:r>
      <w:r>
        <w:rPr>
          <w:rFonts w:ascii="Times New Roman" w:hAnsi="Times New Roman"/>
          <w:sz w:val="28"/>
          <w:szCs w:val="28"/>
        </w:rPr>
        <w:t xml:space="preserve">) in response to </w:t>
      </w:r>
      <w:r>
        <w:rPr>
          <w:rFonts w:ascii="Times New Roman" w:hAnsi="Times New Roman"/>
          <w:i/>
          <w:iCs/>
          <w:sz w:val="28"/>
          <w:szCs w:val="28"/>
        </w:rPr>
        <w:t>Golovinomyces orontii</w:t>
      </w:r>
      <w:r>
        <w:rPr>
          <w:rFonts w:ascii="Times New Roman" w:hAnsi="Times New Roman"/>
          <w:sz w:val="28"/>
          <w:szCs w:val="28"/>
        </w:rPr>
        <w:t xml:space="preserve"> // PeerJ. – 2018. – Vol. 6. – P. e5244.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130 </w:t>
        <w:tab/>
        <w:t xml:space="preserve">Wang Y., Nishimura M.T., Zhao T., et al. </w:t>
      </w:r>
      <w:r>
        <w:rPr>
          <w:rFonts w:ascii="Times New Roman" w:hAnsi="Times New Roman"/>
          <w:i/>
          <w:iCs/>
          <w:sz w:val="28"/>
          <w:szCs w:val="28"/>
        </w:rPr>
        <w:t>ATG2</w:t>
      </w:r>
      <w:r>
        <w:rPr>
          <w:rFonts w:ascii="Times New Roman" w:hAnsi="Times New Roman"/>
          <w:sz w:val="28"/>
          <w:szCs w:val="28"/>
        </w:rPr>
        <w:t xml:space="preserve">, an autophagy-related protein, negatively affects powdery mildew resistance and mildew-induced cell death in </w:t>
      </w:r>
      <w:r>
        <w:rPr>
          <w:rFonts w:ascii="Times New Roman" w:hAnsi="Times New Roman"/>
          <w:i/>
          <w:iCs/>
          <w:sz w:val="28"/>
          <w:szCs w:val="28"/>
        </w:rPr>
        <w:t>Arabidopsis</w:t>
      </w:r>
      <w:r>
        <w:rPr>
          <w:rFonts w:ascii="Times New Roman" w:hAnsi="Times New Roman"/>
          <w:sz w:val="28"/>
          <w:szCs w:val="28"/>
        </w:rPr>
        <w:t xml:space="preserve"> // Plant J. – 2011. – Vol. 68, № 1. – P. 74–87.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131 </w:t>
        <w:tab/>
        <w:t xml:space="preserve">Jørgensen J.H. Spectrum of resistance conferred by </w:t>
      </w:r>
      <w:r>
        <w:rPr>
          <w:rFonts w:ascii="Times New Roman" w:hAnsi="Times New Roman"/>
          <w:i/>
          <w:iCs/>
          <w:sz w:val="28"/>
          <w:szCs w:val="28"/>
        </w:rPr>
        <w:t>ML-O</w:t>
      </w:r>
      <w:r>
        <w:rPr>
          <w:rFonts w:ascii="Times New Roman" w:hAnsi="Times New Roman"/>
          <w:sz w:val="28"/>
          <w:szCs w:val="28"/>
        </w:rPr>
        <w:t xml:space="preserve"> powdery mildew resistance genes in barley // Euphytica. – 1977. – Vol. 26, № 1. – P. 55–62.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132 </w:t>
        <w:tab/>
        <w:t xml:space="preserve">Jørgensen I.H. Discovery, characterization and exploitation of </w:t>
      </w:r>
      <w:r>
        <w:rPr>
          <w:rFonts w:ascii="Times New Roman" w:hAnsi="Times New Roman"/>
          <w:i/>
          <w:iCs/>
          <w:sz w:val="28"/>
          <w:szCs w:val="28"/>
        </w:rPr>
        <w:t>Mlo</w:t>
      </w:r>
      <w:r>
        <w:rPr>
          <w:rFonts w:ascii="Times New Roman" w:hAnsi="Times New Roman"/>
          <w:sz w:val="28"/>
          <w:szCs w:val="28"/>
        </w:rPr>
        <w:t xml:space="preserve"> powdery mildew resistance in barley // Euphytica. – 1992. – Vol. 63, № 1–2. – P. 141–152.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133 </w:t>
        <w:tab/>
        <w:t xml:space="preserve">Wiberg A. Mutants of barley with induced resistance to powdery mildew // Hereditas. – 1973. – Vol. 75, № 1. – P. 83–100.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134 </w:t>
        <w:tab/>
        <w:t xml:space="preserve">Devoto A., Piffanelli P., Nilsson I.M., et al. Topology, subcellular localization, and sequence diversity of the </w:t>
      </w:r>
      <w:r>
        <w:rPr>
          <w:rFonts w:ascii="Times New Roman" w:hAnsi="Times New Roman"/>
          <w:i/>
          <w:iCs/>
          <w:sz w:val="28"/>
          <w:szCs w:val="28"/>
        </w:rPr>
        <w:t>Mlo</w:t>
      </w:r>
      <w:r>
        <w:rPr>
          <w:rFonts w:ascii="Times New Roman" w:hAnsi="Times New Roman"/>
          <w:sz w:val="28"/>
          <w:szCs w:val="28"/>
        </w:rPr>
        <w:t xml:space="preserve"> family in plants // J. Biol. Chem. – 1999. – Vol. 274, № 49. – P. 34993–35004.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135 </w:t>
        <w:tab/>
        <w:t xml:space="preserve">Panstruga R. Discovery of novel conserved peptide domains by ortholog comparison within plant multi-protein families // Plant Mol. Biol. – 2005. – Vol. 59, № 3. – P. 485–500.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136 </w:t>
        <w:tab/>
        <w:t>Ablazov A., Tombuloglu H. Genome-wide identification of the mildew resistance locus O (</w:t>
      </w:r>
      <w:r>
        <w:rPr>
          <w:rFonts w:ascii="Times New Roman" w:hAnsi="Times New Roman"/>
          <w:i/>
          <w:iCs/>
          <w:sz w:val="28"/>
          <w:szCs w:val="28"/>
        </w:rPr>
        <w:t>MLO</w:t>
      </w:r>
      <w:r>
        <w:rPr>
          <w:rFonts w:ascii="Times New Roman" w:hAnsi="Times New Roman"/>
          <w:sz w:val="28"/>
          <w:szCs w:val="28"/>
        </w:rPr>
        <w:t xml:space="preserve">) gene family in novel cereal model species </w:t>
      </w:r>
      <w:r>
        <w:rPr>
          <w:rFonts w:ascii="Times New Roman" w:hAnsi="Times New Roman"/>
          <w:i/>
          <w:iCs/>
          <w:sz w:val="28"/>
          <w:szCs w:val="28"/>
        </w:rPr>
        <w:t>Brachypodium distachyon</w:t>
      </w:r>
      <w:r>
        <w:rPr>
          <w:rFonts w:ascii="Times New Roman" w:hAnsi="Times New Roman"/>
          <w:sz w:val="28"/>
          <w:szCs w:val="28"/>
        </w:rPr>
        <w:t xml:space="preserve"> // Eur. J. Plant Pathol. – 2016. – Vol. 145, № 2. – P. 239–253.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137 </w:t>
        <w:tab/>
        <w:t xml:space="preserve">Gao Q., Wang C., Xi Y., et al. RALF signaling pathway activates MLO calcium channels to maintain pollen tube integrity 1 // Cell Res. – 2023. – Vol. 33, № 1. – P. 71–79.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138 </w:t>
        <w:tab/>
        <w:t xml:space="preserve">Panstruga R., Schulze-Lefert P. Corruption of host seven-transmembrane proteins by pathogenic microbes: A common theme in animals and plants? // Microbes Infect. – 2003. – Vol. 5, № 5. – P. 429–437.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139 </w:t>
        <w:tab/>
        <w:t xml:space="preserve">Ogawa S.T., Kessler S.A. Update on signaling pathways regulating polarized intercellular communication in </w:t>
      </w:r>
      <w:r>
        <w:rPr>
          <w:rFonts w:ascii="Times New Roman" w:hAnsi="Times New Roman"/>
          <w:i/>
          <w:iCs/>
          <w:sz w:val="28"/>
          <w:szCs w:val="28"/>
        </w:rPr>
        <w:t>Arabidopsis</w:t>
      </w:r>
      <w:r>
        <w:rPr>
          <w:rFonts w:ascii="Times New Roman" w:hAnsi="Times New Roman"/>
          <w:sz w:val="28"/>
          <w:szCs w:val="28"/>
        </w:rPr>
        <w:t xml:space="preserve"> reproduction // Plant Physiol. – 2023. – P. kiad414.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140 </w:t>
        <w:tab/>
        <w:t xml:space="preserve">Chen Z., Noir S., Kwaaitaal M., et al. Two seven-transmembrane domain MILDEW RESISTANCE LOCUS O proteins cofunction in </w:t>
      </w:r>
      <w:r>
        <w:rPr>
          <w:rFonts w:ascii="Times New Roman" w:hAnsi="Times New Roman"/>
          <w:i/>
          <w:iCs/>
          <w:sz w:val="28"/>
          <w:szCs w:val="28"/>
        </w:rPr>
        <w:t>Arabidopsis</w:t>
      </w:r>
      <w:r>
        <w:rPr>
          <w:rFonts w:ascii="Times New Roman" w:hAnsi="Times New Roman"/>
          <w:sz w:val="28"/>
          <w:szCs w:val="28"/>
        </w:rPr>
        <w:t xml:space="preserve"> root thigmomorphogenesis // Plant Cell. – 2009. – Vol. 21, № 7. – P. 1972–1991.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141 </w:t>
        <w:tab/>
        <w:t xml:space="preserve">Hilbert M., Novero M., Rovenich H., et al. MLO differentially regulates barley root colonization by beneficial endophytic and mycorrhizal fungi // Front. Plant Sci. – 2020. – Vol. 10, № January. – P. 1–11.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142 </w:t>
        <w:tab/>
        <w:t>Acevedo-Garcia, J., Kusch, S., Panstruga R. Magical mystery tour: MLO proteins in plant immunity and beyond // J. Physiol. – 2014. – P. 273-281.</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143 </w:t>
        <w:tab/>
        <w:t xml:space="preserve">Elliott C., Zhou F., Spielmeyer W., et al. Functional conservation of wheat and rice Mlo orthologs in defense modulation to the powdery mildew fungus // Mol. Plant. Microbe Interact. – 2002. – Vol. 15, № 10. – P. 1069–1077.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144 </w:t>
        <w:tab/>
        <w:t xml:space="preserve">Consonni C., Humphry M.E., Hartmann H.A., et al. Conserved requirement for a plant host cell protein in powdery mildew pathogenesis // Nat. Genet. – 2006. – Vol. 38, № 6. – P. 716–720.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145 </w:t>
        <w:tab/>
        <w:t xml:space="preserve">Fujimura T., Sato S., Tajima T., et al. Powdery mildew resistance in the Japanese domestic tobacco cultivar Kokubu is associated with aberrant splicing of MLO orthologues // Plant Pathol. – 2016. – Vol. 65, № 8. – P. 1358–1365.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146 </w:t>
        <w:tab/>
        <w:t>Filiz E., Vatansever R. Genome-wide identification of mildew resistance locus O (</w:t>
      </w:r>
      <w:r>
        <w:rPr>
          <w:rFonts w:ascii="Times New Roman" w:hAnsi="Times New Roman"/>
          <w:i/>
          <w:iCs/>
          <w:sz w:val="28"/>
          <w:szCs w:val="28"/>
        </w:rPr>
        <w:t>MLO</w:t>
      </w:r>
      <w:r>
        <w:rPr>
          <w:rFonts w:ascii="Times New Roman" w:hAnsi="Times New Roman"/>
          <w:sz w:val="28"/>
          <w:szCs w:val="28"/>
        </w:rPr>
        <w:t>) genes in tree model poplar (</w:t>
      </w:r>
      <w:r>
        <w:rPr>
          <w:rFonts w:ascii="Times New Roman" w:hAnsi="Times New Roman"/>
          <w:i/>
          <w:iCs/>
          <w:sz w:val="28"/>
          <w:szCs w:val="28"/>
        </w:rPr>
        <w:t>Populus trichocarpa</w:t>
      </w:r>
      <w:r>
        <w:rPr>
          <w:rFonts w:ascii="Times New Roman" w:hAnsi="Times New Roman"/>
          <w:sz w:val="28"/>
          <w:szCs w:val="28"/>
        </w:rPr>
        <w:t xml:space="preserve">): powdery mildew management in woody plants // Eur. J. Plant Pathol. – 2018. – Vol. 152, № 1. – P. 95–109.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147 </w:t>
        <w:tab/>
        <w:t xml:space="preserve">Panstruga R. Serpentine plant MLO proteins as entry portals for powdery mildew fungi // Biochem. Soc. Trans. – 2005. – Vol. 33, № 2. – P. 389–392.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148 </w:t>
        <w:tab/>
        <w:t xml:space="preserve">Humphry M., Bednarek P., Kemmerling B., et al. A regulon conserved in monocot and dicot plants defines a functional module in antifungal plant immunity // Proc. Natl. Acad. Sci. U. S. A. – 2010. – Vol. 107, № 50. – P. 21896–21901.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149 </w:t>
        <w:tab/>
        <w:t xml:space="preserve">Zheng Z., Nonomura T., Appiano M., et al. Loss of function in </w:t>
      </w:r>
      <w:r>
        <w:rPr>
          <w:rFonts w:ascii="Times New Roman" w:hAnsi="Times New Roman"/>
          <w:i/>
          <w:iCs/>
          <w:sz w:val="28"/>
          <w:szCs w:val="28"/>
        </w:rPr>
        <w:t>Mlo</w:t>
      </w:r>
      <w:r>
        <w:rPr>
          <w:rFonts w:ascii="Times New Roman" w:hAnsi="Times New Roman"/>
          <w:sz w:val="28"/>
          <w:szCs w:val="28"/>
        </w:rPr>
        <w:t xml:space="preserve"> orthologs reduces susceptibility of pepper and tomato to powdery mildew disease caused by </w:t>
      </w:r>
      <w:r>
        <w:rPr>
          <w:rFonts w:ascii="Times New Roman" w:hAnsi="Times New Roman"/>
          <w:i/>
          <w:iCs/>
          <w:sz w:val="28"/>
          <w:szCs w:val="28"/>
        </w:rPr>
        <w:t xml:space="preserve">Leveillula taurica </w:t>
      </w:r>
      <w:r>
        <w:rPr>
          <w:rFonts w:ascii="Times New Roman" w:hAnsi="Times New Roman"/>
          <w:sz w:val="28"/>
          <w:szCs w:val="28"/>
        </w:rPr>
        <w:t>// PLoS ONE. – 2013. – Vol. 8, № 7. – P. e70723.</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150 </w:t>
        <w:tab/>
        <w:t xml:space="preserve">Doudna J.A., Charpentier E. The new frontier of genome engineering with CRISPR-Cas9 // Science. – 2014. – Vol. 346, № 6213. – P. 1258096.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151 </w:t>
        <w:tab/>
        <w:t xml:space="preserve">Devoto A., Hartmann H.A., Piffanelli P., et al. Molecular phylogeny and evolution of the plant-specific seven-transmembrane MLO family // J. Mol. Evol. – 2003. – Vol. 56, № 1. – P. 77–88.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152 </w:t>
        <w:tab/>
        <w:t>Berg J.A., Appiano M., Bijsterbosch G., et al. Functional characterization of cucumber (</w:t>
      </w:r>
      <w:r>
        <w:rPr>
          <w:rFonts w:ascii="Times New Roman" w:hAnsi="Times New Roman"/>
          <w:i/>
          <w:iCs/>
          <w:sz w:val="28"/>
          <w:szCs w:val="28"/>
        </w:rPr>
        <w:t>Cucumis sativus</w:t>
      </w:r>
      <w:r>
        <w:rPr>
          <w:rFonts w:ascii="Times New Roman" w:hAnsi="Times New Roman"/>
          <w:sz w:val="28"/>
          <w:szCs w:val="28"/>
        </w:rPr>
        <w:t xml:space="preserve"> L.) Clade V MLO genes // BMC Plant Biol. – 2017. – Vol. 17, № 1. – P. 1–15.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153 </w:t>
        <w:tab/>
        <w:t xml:space="preserve">Schouten H.J., Krauskopf J., Visser R.G.F., et al. Identification of candidate genes required for susceptibility to powdery or downy mildew in cucumber // Euphytica. – 2014. – Vol. 200, № 3. – P. 475–486.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154 </w:t>
        <w:tab/>
        <w:t>Iovieno P., Andolfo G., Schiavulli A., et al. Structure, evolution and functional inference on the Mildew Locus O (</w:t>
      </w:r>
      <w:r>
        <w:rPr>
          <w:rFonts w:ascii="Times New Roman" w:hAnsi="Times New Roman"/>
          <w:i/>
          <w:iCs/>
          <w:sz w:val="28"/>
          <w:szCs w:val="28"/>
        </w:rPr>
        <w:t>MLO</w:t>
      </w:r>
      <w:r>
        <w:rPr>
          <w:rFonts w:ascii="Times New Roman" w:hAnsi="Times New Roman"/>
          <w:sz w:val="28"/>
          <w:szCs w:val="28"/>
        </w:rPr>
        <w:t xml:space="preserve">) gene family in three cultivated </w:t>
      </w:r>
      <w:r>
        <w:rPr>
          <w:rFonts w:ascii="Times New Roman" w:hAnsi="Times New Roman"/>
          <w:i/>
          <w:iCs/>
          <w:sz w:val="28"/>
          <w:szCs w:val="28"/>
        </w:rPr>
        <w:t>Cucurbitaceae</w:t>
      </w:r>
      <w:r>
        <w:rPr>
          <w:rFonts w:ascii="Times New Roman" w:hAnsi="Times New Roman"/>
          <w:sz w:val="28"/>
          <w:szCs w:val="28"/>
        </w:rPr>
        <w:t xml:space="preserve"> spp. // BMC Genomics. – 2015. – Vol. 16, № 1. – P. 1112.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155 </w:t>
        <w:tab/>
        <w:t xml:space="preserve">Howlader J., Kim H.-T., Park J.-I., et al. Expression profiling of </w:t>
      </w:r>
      <w:r>
        <w:rPr>
          <w:rFonts w:ascii="Times New Roman" w:hAnsi="Times New Roman"/>
          <w:i/>
          <w:iCs/>
          <w:sz w:val="28"/>
          <w:szCs w:val="28"/>
        </w:rPr>
        <w:t>MLO</w:t>
      </w:r>
      <w:r>
        <w:rPr>
          <w:rFonts w:ascii="Times New Roman" w:hAnsi="Times New Roman"/>
          <w:sz w:val="28"/>
          <w:szCs w:val="28"/>
        </w:rPr>
        <w:t xml:space="preserve"> family genes under </w:t>
      </w:r>
      <w:r>
        <w:rPr>
          <w:rFonts w:ascii="Times New Roman" w:hAnsi="Times New Roman"/>
          <w:i/>
          <w:iCs/>
          <w:sz w:val="28"/>
          <w:szCs w:val="28"/>
        </w:rPr>
        <w:t>Podosphaera xanthii</w:t>
      </w:r>
      <w:r>
        <w:rPr>
          <w:rFonts w:ascii="Times New Roman" w:hAnsi="Times New Roman"/>
          <w:sz w:val="28"/>
          <w:szCs w:val="28"/>
        </w:rPr>
        <w:t xml:space="preserve"> infection and exogenous application of phytohormones in </w:t>
      </w:r>
      <w:r>
        <w:rPr>
          <w:rFonts w:ascii="Times New Roman" w:hAnsi="Times New Roman"/>
          <w:i/>
          <w:iCs/>
          <w:sz w:val="28"/>
          <w:szCs w:val="28"/>
        </w:rPr>
        <w:t>Cucumis melo</w:t>
      </w:r>
      <w:r>
        <w:rPr>
          <w:rFonts w:ascii="Times New Roman" w:hAnsi="Times New Roman"/>
          <w:sz w:val="28"/>
          <w:szCs w:val="28"/>
        </w:rPr>
        <w:t xml:space="preserve"> L. // J. Life Sci. – 2016. – Vol. 26, № 4. – P. 419–430.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156 </w:t>
        <w:tab/>
        <w:t>Sulima A.S., Zhukov V.A. War and Peas: Molecular bases of resistance to powdery mildew in pea (</w:t>
      </w:r>
      <w:r>
        <w:rPr>
          <w:rFonts w:ascii="Times New Roman" w:hAnsi="Times New Roman"/>
          <w:i/>
          <w:iCs/>
          <w:sz w:val="28"/>
          <w:szCs w:val="28"/>
        </w:rPr>
        <w:t xml:space="preserve">Pisum sativum </w:t>
      </w:r>
      <w:r>
        <w:rPr>
          <w:rFonts w:ascii="Times New Roman" w:hAnsi="Times New Roman"/>
          <w:sz w:val="28"/>
          <w:szCs w:val="28"/>
        </w:rPr>
        <w:t xml:space="preserve">L.) and other legumes 3 // Plants. – 2022. – Vol. 11, № 3. – P. 339.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157 </w:t>
        <w:tab/>
        <w:t xml:space="preserve">Deshmukh R., Singh V.K., Singh B.D. Comparative analysis of genome-wide </w:t>
      </w:r>
      <w:r>
        <w:rPr>
          <w:rFonts w:ascii="Times New Roman" w:hAnsi="Times New Roman"/>
          <w:i/>
          <w:iCs/>
          <w:sz w:val="28"/>
          <w:szCs w:val="28"/>
        </w:rPr>
        <w:t>Mlo</w:t>
      </w:r>
      <w:r>
        <w:rPr>
          <w:rFonts w:ascii="Times New Roman" w:hAnsi="Times New Roman"/>
          <w:sz w:val="28"/>
          <w:szCs w:val="28"/>
        </w:rPr>
        <w:t xml:space="preserve"> gene family in </w:t>
      </w:r>
      <w:r>
        <w:rPr>
          <w:rFonts w:ascii="Times New Roman" w:hAnsi="Times New Roman"/>
          <w:i/>
          <w:iCs/>
          <w:sz w:val="28"/>
          <w:szCs w:val="28"/>
        </w:rPr>
        <w:t>Cajanus cajan</w:t>
      </w:r>
      <w:r>
        <w:rPr>
          <w:rFonts w:ascii="Times New Roman" w:hAnsi="Times New Roman"/>
          <w:sz w:val="28"/>
          <w:szCs w:val="28"/>
        </w:rPr>
        <w:t xml:space="preserve"> and </w:t>
      </w:r>
      <w:r>
        <w:rPr>
          <w:rFonts w:ascii="Times New Roman" w:hAnsi="Times New Roman"/>
          <w:i/>
          <w:iCs/>
          <w:sz w:val="28"/>
          <w:szCs w:val="28"/>
        </w:rPr>
        <w:t>Phaseolus vulgaris</w:t>
      </w:r>
      <w:r>
        <w:rPr>
          <w:rFonts w:ascii="Times New Roman" w:hAnsi="Times New Roman"/>
          <w:sz w:val="28"/>
          <w:szCs w:val="28"/>
        </w:rPr>
        <w:t xml:space="preserve"> // Genetica. – 2016. – Vol. 144, № 2. – P. 229–241.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158 </w:t>
        <w:tab/>
        <w:t xml:space="preserve">Deshmukh R., Singh V.K., Singh B.D. Comparative phylogenetic analysis of genome-wide </w:t>
      </w:r>
      <w:r>
        <w:rPr>
          <w:rFonts w:ascii="Times New Roman" w:hAnsi="Times New Roman"/>
          <w:i/>
          <w:iCs/>
          <w:sz w:val="28"/>
          <w:szCs w:val="28"/>
        </w:rPr>
        <w:t>Mlo</w:t>
      </w:r>
      <w:r>
        <w:rPr>
          <w:rFonts w:ascii="Times New Roman" w:hAnsi="Times New Roman"/>
          <w:sz w:val="28"/>
          <w:szCs w:val="28"/>
        </w:rPr>
        <w:t xml:space="preserve"> gene family members from </w:t>
      </w:r>
      <w:r>
        <w:rPr>
          <w:rFonts w:ascii="Times New Roman" w:hAnsi="Times New Roman"/>
          <w:i/>
          <w:iCs/>
          <w:sz w:val="28"/>
          <w:szCs w:val="28"/>
        </w:rPr>
        <w:t>Glycine max</w:t>
      </w:r>
      <w:r>
        <w:rPr>
          <w:rFonts w:ascii="Times New Roman" w:hAnsi="Times New Roman"/>
          <w:sz w:val="28"/>
          <w:szCs w:val="28"/>
        </w:rPr>
        <w:t xml:space="preserve"> and </w:t>
      </w:r>
      <w:r>
        <w:rPr>
          <w:rFonts w:ascii="Times New Roman" w:hAnsi="Times New Roman"/>
          <w:i/>
          <w:iCs/>
          <w:sz w:val="28"/>
          <w:szCs w:val="28"/>
        </w:rPr>
        <w:t>Arabidopsis thaliana</w:t>
      </w:r>
      <w:r>
        <w:rPr>
          <w:rFonts w:ascii="Times New Roman" w:hAnsi="Times New Roman"/>
          <w:sz w:val="28"/>
          <w:szCs w:val="28"/>
        </w:rPr>
        <w:t xml:space="preserve"> // Mol. Genet. Genomics. – 2014. – Vol. 289, № 3. – P. 345–359.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159 </w:t>
        <w:tab/>
        <w:t xml:space="preserve">Liu Q., Zhu H. Molecular evolution of the MLO gene family in </w:t>
      </w:r>
      <w:r>
        <w:rPr>
          <w:rFonts w:ascii="Times New Roman" w:hAnsi="Times New Roman"/>
          <w:i/>
          <w:iCs/>
          <w:sz w:val="28"/>
          <w:szCs w:val="28"/>
        </w:rPr>
        <w:t>Oryza sativa</w:t>
      </w:r>
      <w:r>
        <w:rPr>
          <w:rFonts w:ascii="Times New Roman" w:hAnsi="Times New Roman"/>
          <w:sz w:val="28"/>
          <w:szCs w:val="28"/>
        </w:rPr>
        <w:t xml:space="preserve"> and their functional divergence // Gene. – 2008. – Vol. 409, № 1–2. – P. 1–10.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160 </w:t>
        <w:tab/>
        <w:t xml:space="preserve">Konishi S., Sasakuma T., Sasanuma T. Identification of novel </w:t>
      </w:r>
      <w:r>
        <w:rPr>
          <w:rFonts w:ascii="Times New Roman" w:hAnsi="Times New Roman"/>
          <w:i/>
          <w:iCs/>
          <w:sz w:val="28"/>
          <w:szCs w:val="28"/>
        </w:rPr>
        <w:t>Mlo</w:t>
      </w:r>
      <w:r>
        <w:rPr>
          <w:rFonts w:ascii="Times New Roman" w:hAnsi="Times New Roman"/>
          <w:sz w:val="28"/>
          <w:szCs w:val="28"/>
        </w:rPr>
        <w:t xml:space="preserve"> family members in wheat and their genetic characterization // Genes Genet. Syst. – 2010. – Vol. 85, № 3. – P. 167–175.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161 </w:t>
        <w:tab/>
        <w:t xml:space="preserve">Pessina S., Pavan S., Catalano D., et al. Characterization of the </w:t>
      </w:r>
      <w:r>
        <w:rPr>
          <w:rFonts w:ascii="Times New Roman" w:hAnsi="Times New Roman"/>
          <w:i/>
          <w:iCs/>
          <w:sz w:val="28"/>
          <w:szCs w:val="28"/>
        </w:rPr>
        <w:t>MLO</w:t>
      </w:r>
      <w:r>
        <w:rPr>
          <w:rFonts w:ascii="Times New Roman" w:hAnsi="Times New Roman"/>
          <w:sz w:val="28"/>
          <w:szCs w:val="28"/>
        </w:rPr>
        <w:t xml:space="preserve"> gene family in </w:t>
      </w:r>
      <w:r>
        <w:rPr>
          <w:rFonts w:ascii="Times New Roman" w:hAnsi="Times New Roman"/>
          <w:i/>
          <w:iCs/>
          <w:sz w:val="28"/>
          <w:szCs w:val="28"/>
        </w:rPr>
        <w:t>Rosaceae</w:t>
      </w:r>
      <w:r>
        <w:rPr>
          <w:rFonts w:ascii="Times New Roman" w:hAnsi="Times New Roman"/>
          <w:sz w:val="28"/>
          <w:szCs w:val="28"/>
        </w:rPr>
        <w:t xml:space="preserve"> and gene expression analysis in </w:t>
      </w:r>
      <w:r>
        <w:rPr>
          <w:rFonts w:ascii="Times New Roman" w:hAnsi="Times New Roman"/>
          <w:i/>
          <w:iCs/>
          <w:sz w:val="28"/>
          <w:szCs w:val="28"/>
        </w:rPr>
        <w:t>Malus domestica</w:t>
      </w:r>
      <w:r>
        <w:rPr>
          <w:rFonts w:ascii="Times New Roman" w:hAnsi="Times New Roman"/>
          <w:sz w:val="28"/>
          <w:szCs w:val="28"/>
        </w:rPr>
        <w:t xml:space="preserve"> // BMC Genomics. – 2014. – Vol. 15, № 1. – P. 1–12.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162 </w:t>
        <w:tab/>
        <w:t>Noman A., Aqeel M., He S. CRISPR-Cas9: Tool for qualitative and quantitative plant genome editing // Front. Plant Sci. – 2016. – Vol. 7. – P. 1740.</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163 </w:t>
        <w:tab/>
        <w:t xml:space="preserve">Barrangou R., Marraffini L.A. CRISPR-Cas Systems: Prokaryotes upgrade to adaptive immunity // Mol. Cell. – 2014. – Vol. 54, № 2. – P. 234–244.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164 </w:t>
        <w:tab/>
        <w:t xml:space="preserve">Haft D.H., Selengut J., Mongodin E.F., et al. A guild of 45 CRISPR-associated (Cas) protein families and multiple CRISPR/Cas subtypes exist in prokaryotic genomes // PLOS Comput. Biol. – 2005. – Vol. 1, № 6. – P. e60.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165 </w:t>
        <w:tab/>
        <w:t xml:space="preserve">Gasiunas G., Sinkunas T., Siksnys V. Molecular mechanisms of CRISPR-mediated microbial immunity // Cell. Mol. Life Sci. – 2014. – Vol. 71, № 3. – P. 449–465.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166 </w:t>
        <w:tab/>
        <w:t xml:space="preserve">Charpentier E., Marraffini L.A. Harnessing CRISPR-Cas9 immunity for genetic engineering // Curr. Opin. Microbiol. – 2014. – Vol. 19. – P. 114–119.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167 </w:t>
        <w:tab/>
        <w:t xml:space="preserve">Nidhi S., Anand U., Oleksak P., et al. Novel CRISPR–Cas systems: an updated review of the current achievements, applications, and future research Perspectives // Int. J. Mol. Sci. – 2021. – Vol. 22, № 7. – P. 3327.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168 </w:t>
        <w:tab/>
        <w:t xml:space="preserve">Liu X., Wu S., Xu J., et al. Application of CRISPR/Cas9 in plant biology // Acta Pharm. Sin. B. – 2017. – Vol. 7, № 3. – P. 292–302.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169 </w:t>
        <w:tab/>
        <w:t xml:space="preserve">Mu Y., Zhang C., Li T., et al. Development and applications of CRISPR/Cas9-based genome editing in </w:t>
      </w:r>
      <w:r>
        <w:rPr>
          <w:rFonts w:ascii="Times New Roman" w:hAnsi="Times New Roman"/>
          <w:i/>
          <w:iCs/>
          <w:sz w:val="28"/>
          <w:szCs w:val="28"/>
        </w:rPr>
        <w:t>Lactobacillus</w:t>
      </w:r>
      <w:r>
        <w:rPr>
          <w:rFonts w:ascii="Times New Roman" w:hAnsi="Times New Roman"/>
          <w:sz w:val="28"/>
          <w:szCs w:val="28"/>
        </w:rPr>
        <w:t xml:space="preserve"> // Int. J. Mol. Sci. – 2022. – Vol. 23, № 21. – P. 12852.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170 </w:t>
        <w:tab/>
        <w:t xml:space="preserve">Makarova K.S., Aravind L., Grishin N.V., et al. A DNA repair system specific for thermophilic Archaea and bacteria predicted by genomic context analysis // Nucleic Acids Res. – 2002. – Vol. 30, № 2. – P. 482–496.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171 </w:t>
        <w:tab/>
        <w:t xml:space="preserve">Makarova K.S., Grishin N.V., Shabalina S.A., et al. A putative RNA-interference-based immune system in prokaryotes: computational analysis of the predicted enzymatic machinery, functional analogies with eukaryotic RNAi, and hypothetical mechanisms of action // Biol. Direct. – 2006. – Vol. 1, № 1. – P. 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172 </w:t>
        <w:tab/>
        <w:t xml:space="preserve">Jiang F., Zhou K., Ma L., et al. A Cas9–guide RNA complex preorganized for target DNA recognition // Science. – 2015. – Vol. 348, № 6242. – P. 1477–1481.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173 </w:t>
        <w:tab/>
        <w:t xml:space="preserve">Bortesi L., Zhu C., Zischewski J., et al. Patterns of CRISPR/Cas9 activity in plants, animals and microbes // Plant Biotechnol. J. – 2016. – Vol. 14, № 12. – P. 2203–2216.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174 </w:t>
        <w:tab/>
        <w:t xml:space="preserve">Gao J., Wang G., Ma S., et al. CRISPR/Cas9-mediated targeted mutagenesis in </w:t>
      </w:r>
      <w:r>
        <w:rPr>
          <w:rFonts w:ascii="Times New Roman" w:hAnsi="Times New Roman"/>
          <w:i/>
          <w:iCs/>
          <w:sz w:val="28"/>
          <w:szCs w:val="28"/>
        </w:rPr>
        <w:t>Nicotiana tabacum</w:t>
      </w:r>
      <w:r>
        <w:rPr>
          <w:rFonts w:ascii="Times New Roman" w:hAnsi="Times New Roman"/>
          <w:sz w:val="28"/>
          <w:szCs w:val="28"/>
        </w:rPr>
        <w:t xml:space="preserve"> // Plant Mol. Biol. – 2015. – Vol. 87, № 1. – P. 99–110.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175 </w:t>
        <w:tab/>
        <w:t xml:space="preserve">Jiang W., Zhou H., Bi H., et al. Demonstration of CRISPR/Cas9/sgRNA-mediated targeted gene modification in </w:t>
      </w:r>
      <w:r>
        <w:rPr>
          <w:rFonts w:ascii="Times New Roman" w:hAnsi="Times New Roman"/>
          <w:i/>
          <w:iCs/>
          <w:sz w:val="28"/>
          <w:szCs w:val="28"/>
        </w:rPr>
        <w:t>Arabidopsis</w:t>
      </w:r>
      <w:r>
        <w:rPr>
          <w:rFonts w:ascii="Times New Roman" w:hAnsi="Times New Roman"/>
          <w:sz w:val="28"/>
          <w:szCs w:val="28"/>
        </w:rPr>
        <w:t xml:space="preserve">, tobacco, sorghum and rice // Nucleic Acids Res. – 2013. – Vol. 41, № 20. – P. e188–e188.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176 </w:t>
        <w:tab/>
        <w:t xml:space="preserve">Li J.-F., Norville J.E., Aach J., et al. Multiplex and homologous recombination–mediated genome editing in </w:t>
      </w:r>
      <w:r>
        <w:rPr>
          <w:rFonts w:ascii="Times New Roman" w:hAnsi="Times New Roman"/>
          <w:i/>
          <w:iCs/>
          <w:sz w:val="28"/>
          <w:szCs w:val="28"/>
        </w:rPr>
        <w:t>Arabidopsis</w:t>
      </w:r>
      <w:r>
        <w:rPr>
          <w:rFonts w:ascii="Times New Roman" w:hAnsi="Times New Roman"/>
          <w:sz w:val="28"/>
          <w:szCs w:val="28"/>
        </w:rPr>
        <w:t xml:space="preserve"> and </w:t>
      </w:r>
      <w:r>
        <w:rPr>
          <w:rFonts w:ascii="Times New Roman" w:hAnsi="Times New Roman"/>
          <w:i/>
          <w:iCs/>
          <w:sz w:val="28"/>
          <w:szCs w:val="28"/>
        </w:rPr>
        <w:t>Nicotiana benthamiana</w:t>
      </w:r>
      <w:r>
        <w:rPr>
          <w:rFonts w:ascii="Times New Roman" w:hAnsi="Times New Roman"/>
          <w:sz w:val="28"/>
          <w:szCs w:val="28"/>
        </w:rPr>
        <w:t xml:space="preserve"> using guide RNA and Cas9 // Nat. Biotechnol. – 2013. – Vol. 31, № 8. – P. 688–691.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177 </w:t>
        <w:tab/>
        <w:t xml:space="preserve">Ma X., Zhang Q., Zhu Q., et al. A robust CRISPR/Cas9 system for convenient, high-efficiency multiplex genome editing in monocot and dicot plants // Mol. Plant. – 2015. – Vol. 8, № 8. – P. 1274–1284.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178 </w:t>
        <w:tab/>
        <w:t xml:space="preserve">Tashkandi M., Ali Z., Aljedaani F., et al. Engineering resistance against Tomato yellow leaf curl virus via the CRISPR/Cas9 system in tomato // Plant Signal. Behav. – 2018. – Vol. 13, № 10. – P. e1525996.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179 </w:t>
        <w:tab/>
        <w:t xml:space="preserve">Ghorbani Faal P., Farsi M., Seifi A., et al. Virus-induced CRISPR-Cas9 system improved resistance against tomato yellow leaf curl virus // Mol. Biol. Rep. – 2020. – Vol. 47, № 5. – P. 3369–3376.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180 </w:t>
        <w:tab/>
        <w:t xml:space="preserve">Pramanik D., Shelake R.M., Park J., et al. CRISPR/Cas9-mediated generation of pathogen-resistant tomato against tomato yellow leaf curl virus and powdery mildew // Int. J. Mol. Sci. – 2021. – Vol. 22, № 4. – P. 1–18.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181 </w:t>
        <w:tab/>
        <w:t xml:space="preserve">Ortigosa A., Gimenez-Ibanez S., Leonhardt N., et al. Design of a bacterial speck resistant tomato by CRISPR/Cas9-mediated editing of </w:t>
      </w:r>
      <w:r>
        <w:rPr>
          <w:rFonts w:ascii="Times New Roman" w:hAnsi="Times New Roman"/>
          <w:i/>
          <w:iCs/>
          <w:sz w:val="28"/>
          <w:szCs w:val="28"/>
        </w:rPr>
        <w:t>Sl2</w:t>
      </w:r>
      <w:r>
        <w:rPr>
          <w:rFonts w:ascii="Times New Roman" w:hAnsi="Times New Roman"/>
          <w:sz w:val="28"/>
          <w:szCs w:val="28"/>
        </w:rPr>
        <w:t xml:space="preserve"> // Plant Biotechnol. J. – 2019. – Vol. 17, № 3. – P. 665–673.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182 </w:t>
        <w:tab/>
        <w:t xml:space="preserve">Liu C., Zhang Y., Tan Y., et al. CRISPR/Cas9-Mediated </w:t>
      </w:r>
      <w:r>
        <w:rPr>
          <w:rFonts w:ascii="Times New Roman" w:hAnsi="Times New Roman"/>
          <w:i/>
          <w:iCs/>
          <w:sz w:val="28"/>
          <w:szCs w:val="28"/>
        </w:rPr>
        <w:t>SlMYBS2</w:t>
      </w:r>
      <w:r>
        <w:rPr>
          <w:rFonts w:ascii="Times New Roman" w:hAnsi="Times New Roman"/>
          <w:sz w:val="28"/>
          <w:szCs w:val="28"/>
        </w:rPr>
        <w:t xml:space="preserve"> Mutagenesis Reduces Tomato Resistance to Phytophthora infestans // Int. J. Mol. Sci. – 2021. – Vol. 22, № 21. – P. 11423.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183 </w:t>
        <w:tab/>
        <w:t xml:space="preserve">Thomazella D.P. de T., Seong K., Mackelprang R., et al. Loss of function of a </w:t>
      </w:r>
      <w:r>
        <w:rPr>
          <w:rFonts w:ascii="Times New Roman" w:hAnsi="Times New Roman"/>
          <w:i/>
          <w:iCs/>
          <w:sz w:val="28"/>
          <w:szCs w:val="28"/>
        </w:rPr>
        <w:t>DMR6</w:t>
      </w:r>
      <w:r>
        <w:rPr>
          <w:rFonts w:ascii="Times New Roman" w:hAnsi="Times New Roman"/>
          <w:sz w:val="28"/>
          <w:szCs w:val="28"/>
        </w:rPr>
        <w:t xml:space="preserve"> ortholog in tomato confers broad-spectrum disease resistance // Proc. Natl. Acad. Sci. U. S. A. – 2021. – Vol. 118, № 27. – P. e2026152118.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184 </w:t>
        <w:tab/>
        <w:t xml:space="preserve">Prihatna C., Barbetti M.J., Barker S.J. A novel tomato </w:t>
      </w:r>
      <w:r>
        <w:rPr>
          <w:rFonts w:ascii="Times New Roman" w:hAnsi="Times New Roman"/>
          <w:i/>
          <w:iCs/>
          <w:sz w:val="28"/>
          <w:szCs w:val="28"/>
        </w:rPr>
        <w:t>Fusarium</w:t>
      </w:r>
      <w:r>
        <w:rPr>
          <w:rFonts w:ascii="Times New Roman" w:hAnsi="Times New Roman"/>
          <w:sz w:val="28"/>
          <w:szCs w:val="28"/>
        </w:rPr>
        <w:t xml:space="preserve"> wilt tolerance gene // Front. Microbiol. – 2018. – Vol. 9. – P. 1226.</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185 </w:t>
        <w:tab/>
        <w:t xml:space="preserve">Li R., Cui L., Martina M., et al. Less is more: CRISPR/Cas9-based mutations in </w:t>
      </w:r>
      <w:r>
        <w:rPr>
          <w:rFonts w:ascii="Times New Roman" w:hAnsi="Times New Roman"/>
          <w:i/>
          <w:iCs/>
          <w:sz w:val="28"/>
          <w:szCs w:val="28"/>
        </w:rPr>
        <w:t>DND1</w:t>
      </w:r>
      <w:r>
        <w:rPr>
          <w:rFonts w:ascii="Times New Roman" w:hAnsi="Times New Roman"/>
          <w:sz w:val="28"/>
          <w:szCs w:val="28"/>
        </w:rPr>
        <w:t xml:space="preserve"> gene enhance tomato resistance to powdery mildew with low fitness costs // BMC Plant Biol. – 2024. – Vol. 24, № 1. – P. 763.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186 </w:t>
        <w:tab/>
        <w:t xml:space="preserve">Li Y., Shu P., Xiang L., et al. CRISPR/Cas9-mediated </w:t>
      </w:r>
      <w:r>
        <w:rPr>
          <w:rFonts w:ascii="Times New Roman" w:hAnsi="Times New Roman"/>
          <w:i/>
          <w:iCs/>
          <w:sz w:val="28"/>
          <w:szCs w:val="28"/>
        </w:rPr>
        <w:t>SlATG5</w:t>
      </w:r>
      <w:r>
        <w:rPr>
          <w:rFonts w:ascii="Times New Roman" w:hAnsi="Times New Roman"/>
          <w:sz w:val="28"/>
          <w:szCs w:val="28"/>
        </w:rPr>
        <w:t xml:space="preserve"> mutagenesis reduces the resistance of tomato fruit to </w:t>
      </w:r>
      <w:r>
        <w:rPr>
          <w:rFonts w:ascii="Times New Roman" w:hAnsi="Times New Roman"/>
          <w:i/>
          <w:iCs/>
          <w:sz w:val="28"/>
          <w:szCs w:val="28"/>
        </w:rPr>
        <w:t>Botrytis cinerea</w:t>
      </w:r>
      <w:r>
        <w:rPr>
          <w:rFonts w:ascii="Times New Roman" w:hAnsi="Times New Roman"/>
          <w:sz w:val="28"/>
          <w:szCs w:val="28"/>
        </w:rPr>
        <w:t xml:space="preserve">// Foods. – 2023. – Vol. 12, № 14. – P. 2750.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187 </w:t>
        <w:tab/>
        <w:t xml:space="preserve">Shu P., Li Z., Min D., et al. CRISPR/Cas9-mediated </w:t>
      </w:r>
      <w:r>
        <w:rPr>
          <w:rFonts w:ascii="Times New Roman" w:hAnsi="Times New Roman"/>
          <w:i/>
          <w:iCs/>
          <w:sz w:val="28"/>
          <w:szCs w:val="28"/>
        </w:rPr>
        <w:t>SlMYC2</w:t>
      </w:r>
      <w:r>
        <w:rPr>
          <w:rFonts w:ascii="Times New Roman" w:hAnsi="Times New Roman"/>
          <w:sz w:val="28"/>
          <w:szCs w:val="28"/>
        </w:rPr>
        <w:t xml:space="preserve"> mutagenesis adverse to tomato plant growth and MeJA-induced fruit resistance to </w:t>
      </w:r>
      <w:r>
        <w:rPr>
          <w:rFonts w:ascii="Times New Roman" w:hAnsi="Times New Roman"/>
          <w:i/>
          <w:iCs/>
          <w:sz w:val="28"/>
          <w:szCs w:val="28"/>
        </w:rPr>
        <w:t xml:space="preserve">Botrytis cinerea </w:t>
      </w:r>
      <w:r>
        <w:rPr>
          <w:rFonts w:ascii="Times New Roman" w:hAnsi="Times New Roman"/>
          <w:sz w:val="28"/>
          <w:szCs w:val="28"/>
        </w:rPr>
        <w:t>// J. Agric. Food Chem. – 2020. – P. 5529-5538.</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188 </w:t>
        <w:tab/>
        <w:t xml:space="preserve">Zhang S., Wang L., Zhao R., et al. Knockout of </w:t>
      </w:r>
      <w:r>
        <w:rPr>
          <w:rFonts w:ascii="Times New Roman" w:hAnsi="Times New Roman"/>
          <w:i/>
          <w:iCs/>
          <w:sz w:val="28"/>
          <w:szCs w:val="28"/>
        </w:rPr>
        <w:t>SlMAPK3</w:t>
      </w:r>
      <w:r>
        <w:rPr>
          <w:rFonts w:ascii="Times New Roman" w:hAnsi="Times New Roman"/>
          <w:sz w:val="28"/>
          <w:szCs w:val="28"/>
        </w:rPr>
        <w:t xml:space="preserve"> reduced disease resistance to </w:t>
      </w:r>
      <w:r>
        <w:rPr>
          <w:rFonts w:ascii="Times New Roman" w:hAnsi="Times New Roman"/>
          <w:i/>
          <w:iCs/>
          <w:sz w:val="28"/>
          <w:szCs w:val="28"/>
        </w:rPr>
        <w:t>Botrytis cinerea</w:t>
      </w:r>
      <w:r>
        <w:rPr>
          <w:rFonts w:ascii="Times New Roman" w:hAnsi="Times New Roman"/>
          <w:sz w:val="28"/>
          <w:szCs w:val="28"/>
        </w:rPr>
        <w:t xml:space="preserve"> in tomato plants // J. Agric. Food Chem. – 2018. – Vol. 66, № 34. – P. 8949–8956.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189 </w:t>
        <w:tab/>
        <w:t xml:space="preserve">Xing H.L., Dong L., Wang Z.P., et al. A CRISPR/Cas9 toolkit for multiplex genome editing in plants // BMC Plant Biol. – 2014. – Vol. 14, № 1. – P. 1–12.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190 </w:t>
        <w:tab/>
        <w:t xml:space="preserve">Smulders M.J.M., Bredemeijer G., Rus-Kortekaas W., et al. Use of short microsatellites from database sequences to generate polymorphisms among Lycopersicon esculentum cultivars and accessions of other </w:t>
      </w:r>
      <w:r>
        <w:rPr>
          <w:rFonts w:ascii="Times New Roman" w:hAnsi="Times New Roman"/>
          <w:i/>
          <w:iCs/>
          <w:sz w:val="28"/>
          <w:szCs w:val="28"/>
        </w:rPr>
        <w:t>Lycopersicon</w:t>
      </w:r>
      <w:r>
        <w:rPr>
          <w:rFonts w:ascii="Times New Roman" w:hAnsi="Times New Roman"/>
          <w:sz w:val="28"/>
          <w:szCs w:val="28"/>
        </w:rPr>
        <w:t xml:space="preserve"> species // Theor. Appl. Genet. – 1997. – Vol. 94, № 2. – P. 264–272.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191 </w:t>
        <w:tab/>
        <w:t xml:space="preserve">Areshchenkova T., Ganal M.W. Long tomato microsatellites are predominantly associated with centromeric regions // Genome. – 1999. – Vol. 42, № 3. – P. 536–544.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192 </w:t>
        <w:tab/>
        <w:t xml:space="preserve">Huelsenbeck J.P., Ronquist F. MRBAYES : Bayesian inference of phylogenetic trees. – 2001. – Vol. 17, № 8. – P. 754–755.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193 </w:t>
        <w:tab/>
        <w:t xml:space="preserve">Ronquist F., Huelsenbeck J.P. MrBayes 3: Bayesian phylogenetic inference under mixed models // Bioinformatics. – 2003. – Vol. 19, № 12. – P. 1572–1574.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194 </w:t>
        <w:tab/>
        <w:t xml:space="preserve">Ronquist F., Teslenko M., van der Mark P., et al. MrBayes 3.2: Efficient bayesian phylogenetic inference and model choice across a large model space // Syst. Biol. – 2012. – Vol. 61, № 3. – P. 539–542.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195 </w:t>
        <w:tab/>
        <w:t xml:space="preserve">Pritchard J.K., Stephens M., Donnelly P. Inference of population structure using multilocus genotype data // Genetics. – 2000. – Vol. 155, № 2. – P. 945–959.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196 </w:t>
        <w:tab/>
        <w:t>R Core Team R: A Language and Environment for Statistical Computing. – 2019.</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197 </w:t>
        <w:tab/>
        <w:t xml:space="preserve">Jombart T. adegenet: a R package for the multivariate analysis of genetic markers // Bioinformatics. – 2008. – Vol. 24, № 11. – P. 1403–1405.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198 </w:t>
        <w:tab/>
        <w:t xml:space="preserve">Jombart T., Ahmed I. adegenet 1.3-1: new tools for the analysis of genome-wide SNP data // Bioinformatics. – 2011. – Vol. 27, № 21. – P. 3070–3071.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199 </w:t>
        <w:tab/>
        <w:t xml:space="preserve">Paradis E., Claude J., Strimmer K. APE: Analyses of phylogenetics and evolution in R language // Bioinformatics. – 2004. – Vol. 20, № 2. – P. 289–290.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200 </w:t>
        <w:tab/>
        <w:t xml:space="preserve">Yu G., Smith D.K., Zhu H., et al. ggtree: an r package for visualization and annotation of phylogenetic trees with their covariates and other associated data // Methods Ecol. Evol. – 2017. – Vol. 8, № 1. – P. 28–36.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201 </w:t>
        <w:tab/>
        <w:t>Mazzucato A., Papa R., Bitocchi E., et al. Genetic diversity, structure and marker-trait associations in a collection of Italian tomato (</w:t>
      </w:r>
      <w:r>
        <w:rPr>
          <w:rFonts w:ascii="Times New Roman" w:hAnsi="Times New Roman"/>
          <w:i/>
          <w:iCs/>
          <w:sz w:val="28"/>
          <w:szCs w:val="28"/>
        </w:rPr>
        <w:t>Solanum lycopersicum</w:t>
      </w:r>
      <w:r>
        <w:rPr>
          <w:rFonts w:ascii="Times New Roman" w:hAnsi="Times New Roman"/>
          <w:sz w:val="28"/>
          <w:szCs w:val="28"/>
        </w:rPr>
        <w:t xml:space="preserve"> L.) landraces // Theor. Appl. Genet. – 2008. – Vol. 116, № 5. – P. 657–669.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202 </w:t>
        <w:tab/>
        <w:t>Castellana S., Ranzino L., Beritognolo I., et al. Genetic characterization and molecular fingerprint of traditional Umbrian tomato (</w:t>
      </w:r>
      <w:r>
        <w:rPr>
          <w:rFonts w:ascii="Times New Roman" w:hAnsi="Times New Roman"/>
          <w:i/>
          <w:iCs/>
          <w:sz w:val="28"/>
          <w:szCs w:val="28"/>
        </w:rPr>
        <w:t>Solanum lycopersicum</w:t>
      </w:r>
      <w:r>
        <w:rPr>
          <w:rFonts w:ascii="Times New Roman" w:hAnsi="Times New Roman"/>
          <w:sz w:val="28"/>
          <w:szCs w:val="28"/>
        </w:rPr>
        <w:t xml:space="preserve"> L.) landraces through SSR markers and application for varietal identification // Genet. Resour. Crop Evol. – 2020. – Vol. 67, № 7. – P. 1807–1820.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203 </w:t>
        <w:tab/>
        <w:t xml:space="preserve">Rambaut A., Drummond A.J., Xie D., et al. Posterior summarization in bayesian phylogenetics using Tracer 1.7 // Syst. Biol. – 2018. – Vol. 67, № 5. – P. 901–904.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204 </w:t>
        <w:tab/>
        <w:t xml:space="preserve">Kopelman N.M., Mayzel J., Jakobsson M., et al. Clumpak: a program for identifying clustering modes and packaging population structure inferences across K // Mol. Ecol. Resour. – 2015. – Vol. 15, № 5. – P. 1179–1191.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205 </w:t>
        <w:tab/>
        <w:t xml:space="preserve">Evanno G., Regnaut S., Goudet J. Detecting the number of clusters of individuals using the software structure: a simulation study // Mol. Ecol. – 2005. – Vol. 14, № 8. – P. 2611–2620.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206 </w:t>
        <w:tab/>
        <w:t xml:space="preserve">Park J., Kim J.-S., Bae S. Cas-Database: web-based genome-wide guide RNA library design for gene knockout screens using CRISPR-Cas9 // Bioinformatics. – 2016. – Vol. 32, № 13. – P. 2017–2023.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207 </w:t>
        <w:tab/>
        <w:t xml:space="preserve">Fernandez-Pozo N., Menda N., Edwards J.D., et al. The Sol Genomics Network (SGN)-from genotype to phenotype to breeding // Nucleic Acids Res. – 2015. – Vol. 43, № D1. – P. D1036–D1041.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208 </w:t>
        <w:tab/>
        <w:t xml:space="preserve">Dianese É.C., de Fonseca M.E.N., Goldbach R., et al. Development of a locus-specific, co-dominant SCAR marker for assisted-selection of the Sw-5 (Tospovirus resistance) gene cluster in a wide range of tomato accessions // Mol. Breed. – 2010. – Vol. 25, № 1. – P. 133–142.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209 </w:t>
        <w:tab/>
        <w:t xml:space="preserve">Wu Y., Ma X., Pan Z., et al. Comparative genome analyses reveal sequence features reflecting distinct modes of host-adaptation between dicot and monocot powdery mildew 1 // BMC Genomics. – 2018. – Vol. 19, № 1. – P. 1–20.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210 </w:t>
        <w:tab/>
        <w:t xml:space="preserve">Li H., Durbin R. Fast and accurate long-read alignment with Burrows–Wheeler transform // Bioinformatics. – 2010. – Vol. 26, № 5. – P. 589–595.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211 </w:t>
        <w:tab/>
        <w:t xml:space="preserve">Okonechnikov K., Golosova O., Fursov M., et al. Unipro UGENE: A unified bioinformatics toolkit // Bioinformatics. – 2012. – Vol. 28, № 8. – P. 1166–1167.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212 </w:t>
        <w:tab/>
        <w:t xml:space="preserve">Boratyn G.M., Camacho C., Cooper P.S., et al. BLAST: a more efficient report with usability improvements // Nucleic Acids Res. – 2013. – Vol. 41, № W1. – P. W29–W33.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213 </w:t>
        <w:tab/>
        <w:t xml:space="preserve">Welch B.L. The generalization of `Student’s’ problem when several different population variances are involved // Biometrika. – 1947. – Vol. 34, № 1/2. – P. 28.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214 </w:t>
        <w:tab/>
        <w:t xml:space="preserve">Bland J.M., Altman D.G. Multiple significance tests: the Bonferroni method // BMJ. – 1995. – Vol. 310, № 6973. – P. 170.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215 </w:t>
        <w:tab/>
        <w:t xml:space="preserve">Mata-Nicolás E., Montero-Pau J., Gimeno-Paez E., et al. Exploiting the diversity of tomato: the development of a phenotypically and genetically detailed germplasm collection // Hortic. Res. – 2020. – Vol. 7. – P. 66.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216 </w:t>
        <w:tab/>
        <w:t xml:space="preserve">Cunningham F., Amode M.R., Barrell D., et al. Ensembl 2015 // Nucleic Acids Res. – 2015. – Vol. 43, № D1. – P. D662–D669.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217 </w:t>
        <w:tab/>
        <w:t xml:space="preserve">Li H., Handsaker B., Wysoker A., et al. The Sequence Alignment/Map format and SAMtools // Bioinformatics. – 2009. – Vol. 25, № 16. – P. 2078–2079.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218 </w:t>
        <w:tab/>
        <w:t xml:space="preserve">McLaren W., Gil L., Hunt S.E., et al. The Ensembl Variant Effect Predictor // Genome Biol. – 2016. – Vol. 17, № 1. – P. 122.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219 </w:t>
        <w:tab/>
        <w:t xml:space="preserve">Pozharskiy A., Kostyukova V., Khusnitdinova M., et al. Genetic diversity of the breeding collection of tomato varieties in Kazakhstan assessed using SSR, SCAR and CAPS markers. – 2023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220 </w:t>
        <w:tab/>
        <w:t xml:space="preserve">Pozharskiy A., Kostyukova V., Taskuzhina A., et al. Screening a collection of local and foreign varieties of Solanum lycopersicum L. in Kazakhstan for genetic markers of resistance against three tomato viruses // Heliyon. – 2022. – Vol. 8, № 8. – P. e10095.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221 </w:t>
        <w:tab/>
        <w:t xml:space="preserve">Genievskaya Yu., Jantasov S., Nurbayeva E., et al. SSR-based assessment of genetic diversity in tomato cultivars and lines grown in Kazakhstan // Eurasian J. Appl. Biotechnol. – 2024. – № 2. – P. 3–15.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222 </w:t>
        <w:tab/>
        <w:t xml:space="preserve">Engler C., Kandzia R., Marillonnet S. A one pot, one step, precision cloning method with high throughput capability // PLOS ONE. – 2008. – Vol. 3, № 11. – P. e3647.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223 </w:t>
        <w:tab/>
        <w:t xml:space="preserve">Malabarba J., Chevreau E., Dousset N., et al. New strategies to vvercome present CRISPR/Cas9 limitations in apple and pear: efficient dechimerization and base editing // Int. J. Mol. Sci. – 2021. – Vol. 22, № 1. – P. 319.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224 </w:t>
        <w:tab/>
        <w:t xml:space="preserve">Scintilla S., Salvagnin U., Giacomelli L., et al. Regeneration of non-chimeric plants from DNA-free edited grapevine protoplasts // Front. Plant Sci. – 2022. – Vol. 13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225 </w:t>
        <w:tab/>
        <w:t xml:space="preserve">Pozharskiy A., Mendybayeva A., Nizamdinova G., et al. Molecular identification of </w:t>
      </w:r>
      <w:r>
        <w:rPr>
          <w:rFonts w:ascii="Times New Roman" w:hAnsi="Times New Roman"/>
          <w:i/>
          <w:iCs/>
          <w:sz w:val="28"/>
          <w:szCs w:val="28"/>
        </w:rPr>
        <w:t>Oidium neolycopersici</w:t>
      </w:r>
      <w:r>
        <w:rPr>
          <w:rFonts w:ascii="Times New Roman" w:hAnsi="Times New Roman"/>
          <w:sz w:val="28"/>
          <w:szCs w:val="28"/>
        </w:rPr>
        <w:t xml:space="preserve"> on greenhouse tomato in Kazakhstan // BIO Web Conf. – 2024. – Vol. 100. – P. 03013.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226 </w:t>
        <w:tab/>
        <w:t xml:space="preserve">Lebeda A., Mieslerová B., Petřivalský M., et al. Resistance mechanisms of wild tomato germplasm to infection of </w:t>
      </w:r>
      <w:r>
        <w:rPr>
          <w:rFonts w:ascii="Times New Roman" w:hAnsi="Times New Roman"/>
          <w:i/>
          <w:iCs/>
          <w:sz w:val="28"/>
          <w:szCs w:val="28"/>
        </w:rPr>
        <w:t>Oidium neolycopersici</w:t>
      </w:r>
      <w:r>
        <w:rPr>
          <w:rFonts w:ascii="Times New Roman" w:hAnsi="Times New Roman"/>
          <w:sz w:val="28"/>
          <w:szCs w:val="28"/>
        </w:rPr>
        <w:t xml:space="preserve"> // Eur. J. Plant Pathol. – 2014. – Vol. 138, № 3. – P. 569–596.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227 </w:t>
        <w:tab/>
        <w:t xml:space="preserve">Pozharskiy A., Kostyukova V., Gritsenko D. Sequence variation of </w:t>
      </w:r>
      <w:r>
        <w:rPr>
          <w:rFonts w:ascii="Times New Roman" w:hAnsi="Times New Roman"/>
          <w:i/>
          <w:iCs/>
          <w:sz w:val="28"/>
          <w:szCs w:val="28"/>
        </w:rPr>
        <w:t>SlMlo</w:t>
      </w:r>
      <w:r>
        <w:rPr>
          <w:rFonts w:ascii="Times New Roman" w:hAnsi="Times New Roman"/>
          <w:sz w:val="28"/>
          <w:szCs w:val="28"/>
        </w:rPr>
        <w:t xml:space="preserve"> genes in tomato // Proceedings of the «INTERNATIONAL CONFERENCE ON PLANT BIOLOGY AND BIOTECHNOLOGY (ICPBB 2024)». – 2024. – P. 182. </w:t>
      </w:r>
    </w:p>
    <w:p>
      <w:pPr>
        <w:pStyle w:val="Bibliography1"/>
        <w:suppressLineNumbers/>
        <w:suppressAutoHyphens w:val="false"/>
        <w:spacing w:lineRule="atLeast" w:line="240" w:before="0" w:after="0"/>
        <w:ind w:firstLine="737" w:start="0" w:end="0"/>
        <w:jc w:val="both"/>
        <w:rPr>
          <w:rFonts w:ascii="Times New Roman" w:hAnsi="Times New Roman"/>
        </w:rPr>
      </w:pPr>
      <w:r>
        <w:rPr>
          <w:rFonts w:ascii="Times New Roman" w:hAnsi="Times New Roman"/>
          <w:sz w:val="28"/>
          <w:szCs w:val="28"/>
        </w:rPr>
        <w:t xml:space="preserve">228 </w:t>
        <w:tab/>
        <w:t xml:space="preserve">Pozharskiy A., Gritsenko D. Evolution of MLO-like proteins in flowering plants // Plant Genetics, Genomics, Bioinformatics, and Biotechnology (PlantGen2021) : The 6 th Inter national Scientific Conference; Abstracts. – 2021. – P. 178. </w:t>
      </w:r>
    </w:p>
    <w:sectPr>
      <w:type w:val="continuous"/>
      <w:pgSz w:w="11906" w:h="16838"/>
      <w:pgMar w:left="1701" w:right="567" w:gutter="0" w:header="0" w:top="1134" w:footer="1134" w:bottom="1480"/>
      <w:formProt w:val="false"/>
      <w:titlePg/>
      <w:textDirection w:val="lrTb"/>
      <w:docGrid w:type="default" w:linePitch="312"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erif">
    <w:altName w:val="Times New Roman"/>
    <w:charset w:val="01" w:characterSet="utf-8"/>
    <w:family w:val="swiss"/>
    <w:pitch w:val="variable"/>
  </w:font>
  <w:font w:name="Times New Roman">
    <w:charset w:val="01" w:characterSet="utf-8"/>
    <w:family w:val="roman"/>
    <w:pitch w:val="variable"/>
  </w:font>
  <w:font w:name="OpenSymbol">
    <w:altName w:val="Arial Unicode MS"/>
    <w:charset w:val="01" w:characterSet="utf-8"/>
    <w:family w:val="roman"/>
    <w:pitch w:val="variable"/>
  </w:font>
  <w:font w:name="Liberation Sans">
    <w:altName w:val="Arial"/>
    <w:charset w:val="01" w:characterSet="utf-8"/>
    <w:family w:val="roman"/>
    <w:pitch w:val="variable"/>
  </w:font>
  <w:font w:name="Calibri">
    <w:charset w:val="01" w:characterSet="utf-8"/>
    <w:family w:val="roman"/>
    <w:pitch w:val="variable"/>
  </w:font>
  <w:font w:name="Lohit Devanagari">
    <w:charset w:val="01" w:characterSet="utf-8"/>
    <w:family w:val="roman"/>
    <w:pitch w:val="variable"/>
  </w:font>
  <w:font w:name="Noto Sans">
    <w:charset w:val="01" w:characterSet="utf-8"/>
    <w:family w:val="roman"/>
    <w:pitch w:val="variable"/>
  </w:font>
  <w:font w:name="Courier New">
    <w:charset w:val="01" w:characterSet="utf-8"/>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78</w:t>
    </w:r>
    <w:r>
      <w:rPr>
        <w:rFonts w:ascii="Times New Roman" w:hAnsi="Times New Roman"/>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start"/>
      <w:pPr>
        <w:tabs>
          <w:tab w:val="num" w:pos="720"/>
        </w:tabs>
        <w:ind w:start="720" w:hanging="360"/>
      </w:pPr>
      <w:rPr>
        <w:sz w:val="28"/>
        <w:szCs w:val="28"/>
      </w:rPr>
    </w:lvl>
    <w:lvl w:ilvl="1">
      <w:start w:val="1"/>
      <w:numFmt w:val="decimal"/>
      <w:lvlText w:val="%2."/>
      <w:lvlJc w:val="start"/>
      <w:pPr>
        <w:tabs>
          <w:tab w:val="num" w:pos="1080"/>
        </w:tabs>
        <w:ind w:start="1080" w:hanging="360"/>
      </w:pPr>
      <w:rPr/>
    </w:lvl>
    <w:lvl w:ilvl="2">
      <w:start w:val="1"/>
      <w:numFmt w:val="decimal"/>
      <w:lvlText w:val="%3."/>
      <w:lvlJc w:val="start"/>
      <w:pPr>
        <w:tabs>
          <w:tab w:val="num" w:pos="1440"/>
        </w:tabs>
        <w:ind w:start="1440" w:hanging="360"/>
      </w:pPr>
      <w:rPr/>
    </w:lvl>
    <w:lvl w:ilvl="3">
      <w:start w:val="1"/>
      <w:numFmt w:val="decimal"/>
      <w:lvlText w:val="%4."/>
      <w:lvlJc w:val="start"/>
      <w:pPr>
        <w:tabs>
          <w:tab w:val="num" w:pos="1800"/>
        </w:tabs>
        <w:ind w:start="1800" w:hanging="360"/>
      </w:pPr>
      <w:rPr/>
    </w:lvl>
    <w:lvl w:ilvl="4">
      <w:start w:val="1"/>
      <w:numFmt w:val="decimal"/>
      <w:lvlText w:val="%5."/>
      <w:lvlJc w:val="start"/>
      <w:pPr>
        <w:tabs>
          <w:tab w:val="num" w:pos="2160"/>
        </w:tabs>
        <w:ind w:start="2160" w:hanging="360"/>
      </w:pPr>
      <w:rPr/>
    </w:lvl>
    <w:lvl w:ilvl="5">
      <w:start w:val="1"/>
      <w:numFmt w:val="decimal"/>
      <w:lvlText w:val="%6."/>
      <w:lvlJc w:val="start"/>
      <w:pPr>
        <w:tabs>
          <w:tab w:val="num" w:pos="2520"/>
        </w:tabs>
        <w:ind w:start="2520" w:hanging="360"/>
      </w:pPr>
      <w:rPr/>
    </w:lvl>
    <w:lvl w:ilvl="6">
      <w:start w:val="1"/>
      <w:numFmt w:val="decimal"/>
      <w:lvlText w:val="%7."/>
      <w:lvlJc w:val="start"/>
      <w:pPr>
        <w:tabs>
          <w:tab w:val="num" w:pos="2880"/>
        </w:tabs>
        <w:ind w:start="2880" w:hanging="360"/>
      </w:pPr>
      <w:rPr/>
    </w:lvl>
    <w:lvl w:ilvl="7">
      <w:start w:val="1"/>
      <w:numFmt w:val="decimal"/>
      <w:lvlText w:val="%8."/>
      <w:lvlJc w:val="start"/>
      <w:pPr>
        <w:tabs>
          <w:tab w:val="num" w:pos="3240"/>
        </w:tabs>
        <w:ind w:start="3240" w:hanging="360"/>
      </w:pPr>
      <w:rPr/>
    </w:lvl>
    <w:lvl w:ilvl="8">
      <w:start w:val="1"/>
      <w:numFmt w:val="decimal"/>
      <w:lvlText w:val="%9."/>
      <w:lvlJc w:val="start"/>
      <w:pPr>
        <w:tabs>
          <w:tab w:val="num" w:pos="3600"/>
        </w:tabs>
        <w:ind w:start="3600" w:hanging="360"/>
      </w:pPr>
      <w:rPr/>
    </w:lvl>
  </w:abstractNum>
  <w:abstractNum w:abstractNumId="2">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4"/>
        <w:szCs w:val="24"/>
        <w:lang w:val="ru-RU" w:eastAsia="zh-CN" w:bidi="hi-IN"/>
      </w:rPr>
    </w:rPrDefault>
    <w:pPrDefault>
      <w:pPr>
        <w:suppressAutoHyphens w:val="true"/>
      </w:pPr>
    </w:pPrDefault>
  </w:docDefaults>
  <w:style w:type="paragraph" w:styleId="Normal">
    <w:name w:val="Normal"/>
    <w:qFormat/>
    <w:pPr>
      <w:widowControl/>
      <w:suppressAutoHyphens w:val="false"/>
      <w:overflowPunct w:val="false"/>
      <w:bidi w:val="0"/>
      <w:spacing w:before="0" w:after="0"/>
      <w:jc w:val="start"/>
    </w:pPr>
    <w:rPr>
      <w:rFonts w:ascii="Liberation Serif" w:hAnsi="Liberation Serif" w:eastAsia="Noto Serif CJK SC" w:cs="Lohit Devanagari"/>
      <w:color w:val="auto"/>
      <w:kern w:val="2"/>
      <w:sz w:val="24"/>
      <w:szCs w:val="24"/>
      <w:lang w:val="ru-RU" w:eastAsia="zh-CN" w:bidi="hi-IN"/>
    </w:rPr>
  </w:style>
  <w:style w:type="paragraph" w:styleId="Heading1">
    <w:name w:val="Heading 1"/>
    <w:basedOn w:val="Heading"/>
    <w:next w:val="BodyText"/>
    <w:qFormat/>
    <w:pPr>
      <w:numPr>
        <w:ilvl w:val="0"/>
        <w:numId w:val="0"/>
      </w:numPr>
      <w:spacing w:before="240" w:after="120"/>
      <w:outlineLvl w:val="0"/>
    </w:pPr>
    <w:rPr>
      <w:rFonts w:ascii="Liberation Serif" w:hAnsi="Liberation Serif" w:eastAsia="Noto Serif CJK SC" w:cs="Lohit Devanagari"/>
      <w:b/>
      <w:bCs/>
      <w:sz w:val="48"/>
      <w:szCs w:val="48"/>
    </w:rPr>
  </w:style>
  <w:style w:type="paragraph" w:styleId="Heading2">
    <w:name w:val="Heading 2"/>
    <w:basedOn w:val="Normal"/>
    <w:next w:val="Normal"/>
    <w:qFormat/>
    <w:pPr>
      <w:keepNext w:val="true"/>
      <w:keepLines/>
      <w:numPr>
        <w:ilvl w:val="0"/>
        <w:numId w:val="0"/>
      </w:numPr>
      <w:spacing w:before="40" w:after="0"/>
      <w:outlineLvl w:val="1"/>
    </w:pPr>
    <w:rPr>
      <w:rFonts w:eastAsia="Noto Serif CJK SC" w:cs="Lohit Devanagari"/>
      <w:b/>
      <w:sz w:val="24"/>
      <w:szCs w:val="26"/>
    </w:rPr>
  </w:style>
  <w:style w:type="paragraph" w:styleId="Heading3">
    <w:name w:val="Heading 3"/>
    <w:basedOn w:val="Normal"/>
    <w:next w:val="Normal"/>
    <w:qFormat/>
    <w:pPr>
      <w:keepNext w:val="true"/>
      <w:keepLines/>
      <w:numPr>
        <w:ilvl w:val="0"/>
        <w:numId w:val="0"/>
      </w:numPr>
      <w:spacing w:before="200" w:after="0"/>
      <w:outlineLvl w:val="2"/>
    </w:pPr>
    <w:rPr>
      <w:rFonts w:eastAsia="Noto Serif CJK SC" w:cs="Lohit Devanagari"/>
      <w:b/>
      <w:bCs/>
    </w:rPr>
  </w:style>
  <w:style w:type="paragraph" w:styleId="Heading4">
    <w:name w:val="Heading 4"/>
    <w:basedOn w:val="Heading"/>
    <w:next w:val="BodyText"/>
    <w:qFormat/>
    <w:pPr>
      <w:numPr>
        <w:ilvl w:val="0"/>
        <w:numId w:val="0"/>
      </w:numPr>
      <w:spacing w:before="120" w:after="120"/>
      <w:outlineLvl w:val="3"/>
    </w:pPr>
    <w:rPr>
      <w:rFonts w:ascii="Liberation Serif" w:hAnsi="Liberation Serif" w:eastAsia="Noto Serif CJK SC" w:cs="Lohit Devanagari"/>
      <w:b/>
      <w:bCs/>
      <w:sz w:val="24"/>
      <w:szCs w:val="24"/>
    </w:rPr>
  </w:style>
  <w:style w:type="character" w:styleId="DefaultParagraphFont">
    <w:name w:val="Default Paragraph Font"/>
    <w:qFormat/>
    <w:rPr>
      <w:sz w:val="28"/>
      <w:szCs w:val="28"/>
    </w:rPr>
  </w:style>
  <w:style w:type="character" w:styleId="PageNumber">
    <w:name w:val="Page Number"/>
    <w:basedOn w:val="DefaultParagraphFont"/>
    <w:qFormat/>
    <w:rPr/>
  </w:style>
  <w:style w:type="character" w:styleId="2">
    <w:name w:val="Заголовок 2 Знак"/>
    <w:basedOn w:val="DefaultParagraphFont"/>
    <w:qFormat/>
    <w:rPr>
      <w:rFonts w:ascii="Times New Roman" w:hAnsi="Times New Roman" w:eastAsia="Noto Serif CJK SC" w:cs="Lohit Devanagari"/>
      <w:b/>
      <w:sz w:val="24"/>
      <w:szCs w:val="26"/>
    </w:rPr>
  </w:style>
  <w:style w:type="character" w:styleId="Character20style">
    <w:name w:val="Character_20_style"/>
    <w:qFormat/>
    <w:rPr/>
  </w:style>
  <w:style w:type="character" w:styleId="Hyperlink">
    <w:name w:val="Hyperlink"/>
    <w:rPr>
      <w:color w:val="000080"/>
      <w:u w:val="single"/>
      <w:lang w:eastAsia="zxx" w:bidi="zxx"/>
    </w:rPr>
  </w:style>
  <w:style w:type="character" w:styleId="NumberingSymbols">
    <w:name w:val="Numbering Symbols"/>
    <w:qFormat/>
    <w:rPr/>
  </w:style>
  <w:style w:type="character" w:styleId="Bullets">
    <w:name w:val="Bullets"/>
    <w:qFormat/>
    <w:rPr>
      <w:rFonts w:ascii="OpenSymbol" w:hAnsi="OpenSymbol" w:eastAsia="OpenSymbol" w:cs="OpenSymbol"/>
    </w:rPr>
  </w:style>
  <w:style w:type="character" w:styleId="FollowedHyperlink">
    <w:name w:val="FollowedHyperlink"/>
    <w:rPr>
      <w:color w:val="800000"/>
      <w:u w:val="single"/>
      <w:lang w:eastAsia="zxx" w:bidi="zxx"/>
    </w:rPr>
  </w:style>
  <w:style w:type="character" w:styleId="1">
    <w:name w:val="Заголовок 1 Знак"/>
    <w:qFormat/>
    <w:rPr>
      <w:b/>
      <w:szCs w:val="32"/>
    </w:rPr>
  </w:style>
  <w:style w:type="paragraph" w:styleId="Heading">
    <w:name w:val="Heading"/>
    <w:basedOn w:val="Normal"/>
    <w:next w:val="BodyText"/>
    <w:qFormat/>
    <w:pPr>
      <w:keepNext w:val="true"/>
      <w:spacing w:before="240" w:after="120"/>
    </w:pPr>
    <w:rPr>
      <w:rFonts w:ascii="Liberation Sans" w:hAnsi="Liberation Sans" w:eastAsia="Noto Sans CJK SC" w:cs="Lohit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ListParagraph">
    <w:name w:val="List Paragraph"/>
    <w:basedOn w:val="Normal"/>
    <w:qFormat/>
    <w:pPr>
      <w:spacing w:before="0" w:after="0"/>
      <w:ind w:hanging="0" w:start="720" w:end="0"/>
      <w:contextualSpacing/>
    </w:pPr>
    <w:rPr/>
  </w:style>
  <w:style w:type="paragraph" w:styleId="Bibliography1">
    <w:name w:val="Bibliography 1"/>
    <w:basedOn w:val="Index"/>
    <w:qFormat/>
    <w:pPr>
      <w:tabs>
        <w:tab w:val="clear" w:pos="709"/>
        <w:tab w:val="left" w:pos="504" w:leader="none"/>
      </w:tabs>
      <w:spacing w:lineRule="atLeast" w:line="240" w:before="0" w:after="0"/>
      <w:ind w:hanging="504" w:start="504" w:end="0"/>
    </w:pPr>
    <w:rPr/>
  </w:style>
  <w:style w:type="paragraph" w:styleId="Style10">
    <w:name w:val="Без интервала"/>
    <w:qFormat/>
    <w:pPr>
      <w:widowControl/>
      <w:suppressAutoHyphens w:val="true"/>
      <w:overflowPunct w:val="false"/>
      <w:bidi w:val="0"/>
      <w:spacing w:before="0" w:after="0"/>
      <w:jc w:val="start"/>
    </w:pPr>
    <w:rPr>
      <w:rFonts w:ascii="Calibri" w:hAnsi="Calibri" w:eastAsia="Calibri" w:cs="Times New Roman"/>
      <w:color w:val="auto"/>
      <w:kern w:val="0"/>
      <w:sz w:val="22"/>
      <w:szCs w:val="22"/>
      <w:lang w:val="ru-RU" w:eastAsia="en-US" w:bidi="ar-SA"/>
    </w:rPr>
  </w:style>
  <w:style w:type="paragraph" w:styleId="Default">
    <w:name w:val="Default"/>
    <w:qFormat/>
    <w:pPr>
      <w:widowControl/>
      <w:suppressAutoHyphens w:val="true"/>
      <w:overflowPunct w:val="false"/>
      <w:bidi w:val="0"/>
      <w:spacing w:lineRule="atLeast" w:line="200" w:before="0" w:after="0"/>
      <w:jc w:val="start"/>
    </w:pPr>
    <w:rPr>
      <w:rFonts w:ascii="Lohit Devanagari" w:hAnsi="Lohit Devanagari" w:eastAsia="DejaVu Sans" w:cs="Linux Libertine Display O"/>
      <w:b w:val="false"/>
      <w:i w:val="false"/>
      <w:strike w:val="false"/>
      <w:dstrike w:val="false"/>
      <w:outline w:val="false"/>
      <w:shadow w:val="false"/>
      <w:color w:val="auto"/>
      <w:kern w:val="2"/>
      <w:sz w:val="36"/>
      <w:szCs w:val="24"/>
      <w:u w:val="none"/>
      <w:em w:val="none"/>
      <w:lang w:val="ru-RU" w:eastAsia="zh-CN" w:bidi="hi-IN"/>
    </w:rPr>
  </w:style>
  <w:style w:type="paragraph" w:styleId="Objectwithoutfill">
    <w:name w:val="Object without fill"/>
    <w:basedOn w:val="Default"/>
    <w:qFormat/>
    <w:pPr>
      <w:spacing w:lineRule="atLeast" w:line="200" w:before="0" w:after="0"/>
    </w:pPr>
    <w:rPr>
      <w:rFonts w:ascii="Lohit Devanagari" w:hAnsi="Lohit Devanagari"/>
      <w:b w:val="false"/>
      <w:i w:val="false"/>
      <w:strike w:val="false"/>
      <w:dstrike w:val="false"/>
      <w:outline w:val="false"/>
      <w:shadow w:val="false"/>
      <w:color w:val="auto"/>
      <w:kern w:val="2"/>
      <w:sz w:val="36"/>
      <w:u w:val="none"/>
      <w:em w:val="none"/>
    </w:rPr>
  </w:style>
  <w:style w:type="paragraph" w:styleId="Objectwithnofillandnoline">
    <w:name w:val="Object with no fill and no line"/>
    <w:basedOn w:val="Default"/>
    <w:qFormat/>
    <w:pPr>
      <w:spacing w:lineRule="atLeast" w:line="200" w:before="0" w:after="0"/>
    </w:pPr>
    <w:rPr>
      <w:rFonts w:ascii="Lohit Devanagari" w:hAnsi="Lohit Devanagari"/>
      <w:b w:val="false"/>
      <w:i w:val="false"/>
      <w:strike w:val="false"/>
      <w:dstrike w:val="false"/>
      <w:outline w:val="false"/>
      <w:shadow w:val="false"/>
      <w:color w:val="auto"/>
      <w:kern w:val="2"/>
      <w:sz w:val="36"/>
      <w:u w:val="none"/>
      <w:em w:val="none"/>
    </w:rPr>
  </w:style>
  <w:style w:type="paragraph" w:styleId="A4">
    <w:name w:val="A4"/>
    <w:basedOn w:val="Text"/>
    <w:qFormat/>
    <w:pPr/>
    <w:rPr>
      <w:rFonts w:ascii="Noto Sans" w:hAnsi="Noto Sans"/>
      <w:sz w:val="36"/>
    </w:rPr>
  </w:style>
  <w:style w:type="paragraph" w:styleId="Text">
    <w:name w:val="Text"/>
    <w:basedOn w:val="Caption"/>
    <w:qFormat/>
    <w:pPr/>
    <w:rPr/>
  </w:style>
  <w:style w:type="paragraph" w:styleId="TitleA4">
    <w:name w:val="Title A4"/>
    <w:basedOn w:val="A4"/>
    <w:qFormat/>
    <w:pPr/>
    <w:rPr>
      <w:rFonts w:ascii="Noto Sans" w:hAnsi="Noto Sans"/>
      <w:sz w:val="88"/>
    </w:rPr>
  </w:style>
  <w:style w:type="paragraph" w:styleId="HeadingA4">
    <w:name w:val="Heading A4"/>
    <w:basedOn w:val="A4"/>
    <w:qFormat/>
    <w:pPr/>
    <w:rPr>
      <w:rFonts w:ascii="Noto Sans" w:hAnsi="Noto Sans"/>
      <w:sz w:val="48"/>
    </w:rPr>
  </w:style>
  <w:style w:type="paragraph" w:styleId="TextA4">
    <w:name w:val="Text A4"/>
    <w:basedOn w:val="A4"/>
    <w:qFormat/>
    <w:pPr/>
    <w:rPr>
      <w:rFonts w:ascii="Noto Sans" w:hAnsi="Noto Sans"/>
      <w:sz w:val="36"/>
    </w:rPr>
  </w:style>
  <w:style w:type="paragraph" w:styleId="A0">
    <w:name w:val="A0"/>
    <w:basedOn w:val="Text"/>
    <w:qFormat/>
    <w:pPr/>
    <w:rPr>
      <w:rFonts w:ascii="Noto Sans" w:hAnsi="Noto Sans"/>
      <w:sz w:val="95"/>
    </w:rPr>
  </w:style>
  <w:style w:type="paragraph" w:styleId="TitleA0">
    <w:name w:val="Title A0"/>
    <w:basedOn w:val="A4"/>
    <w:qFormat/>
    <w:pPr/>
    <w:rPr>
      <w:rFonts w:ascii="Noto Sans" w:hAnsi="Noto Sans"/>
      <w:sz w:val="192"/>
    </w:rPr>
  </w:style>
  <w:style w:type="paragraph" w:styleId="HeadingA0">
    <w:name w:val="Heading A0"/>
    <w:basedOn w:val="A4"/>
    <w:qFormat/>
    <w:pPr/>
    <w:rPr>
      <w:rFonts w:ascii="Noto Sans" w:hAnsi="Noto Sans"/>
      <w:sz w:val="144"/>
    </w:rPr>
  </w:style>
  <w:style w:type="paragraph" w:styleId="TextA0">
    <w:name w:val="Text A0"/>
    <w:basedOn w:val="A4"/>
    <w:qFormat/>
    <w:pPr/>
    <w:rPr>
      <w:rFonts w:ascii="Noto Sans" w:hAnsi="Noto Sans"/>
      <w:sz w:val="36"/>
    </w:rPr>
  </w:style>
  <w:style w:type="paragraph" w:styleId="Graphic">
    <w:name w:val="Graphic"/>
    <w:qFormat/>
    <w:pPr>
      <w:widowControl/>
      <w:suppressAutoHyphens w:val="true"/>
      <w:overflowPunct w:val="false"/>
      <w:bidi w:val="0"/>
      <w:spacing w:before="0" w:after="0"/>
      <w:jc w:val="start"/>
    </w:pPr>
    <w:rPr>
      <w:rFonts w:ascii="Liberation Sans" w:hAnsi="Liberation Sans" w:eastAsia="DejaVu Sans" w:cs="Linux Libertine Display O"/>
      <w:color w:val="auto"/>
      <w:kern w:val="2"/>
      <w:sz w:val="36"/>
      <w:szCs w:val="24"/>
      <w:lang w:val="ru-RU" w:eastAsia="zh-CN" w:bidi="hi-IN"/>
    </w:rPr>
  </w:style>
  <w:style w:type="paragraph" w:styleId="Shapes">
    <w:name w:val="Shapes"/>
    <w:basedOn w:val="Graphic"/>
    <w:qFormat/>
    <w:pPr/>
    <w:rPr>
      <w:rFonts w:ascii="Liberation Sans" w:hAnsi="Liberation Sans"/>
      <w:b/>
      <w:sz w:val="28"/>
    </w:rPr>
  </w:style>
  <w:style w:type="paragraph" w:styleId="Filled">
    <w:name w:val="Filled"/>
    <w:basedOn w:val="Shapes"/>
    <w:qFormat/>
    <w:pPr/>
    <w:rPr>
      <w:rFonts w:ascii="Liberation Sans" w:hAnsi="Liberation Sans"/>
      <w:b/>
      <w:sz w:val="28"/>
    </w:rPr>
  </w:style>
  <w:style w:type="paragraph" w:styleId="FilledBlue">
    <w:name w:val="Filled Blue"/>
    <w:basedOn w:val="Filled"/>
    <w:qFormat/>
    <w:pPr/>
    <w:rPr>
      <w:rFonts w:ascii="Liberation Sans" w:hAnsi="Liberation Sans"/>
      <w:b/>
      <w:color w:val="FFFFFF"/>
      <w:sz w:val="28"/>
    </w:rPr>
  </w:style>
  <w:style w:type="paragraph" w:styleId="FilledGreen">
    <w:name w:val="Filled Green"/>
    <w:basedOn w:val="Filled"/>
    <w:qFormat/>
    <w:pPr/>
    <w:rPr>
      <w:rFonts w:ascii="Liberation Sans" w:hAnsi="Liberation Sans"/>
      <w:b/>
      <w:color w:val="FFFFFF"/>
      <w:sz w:val="28"/>
    </w:rPr>
  </w:style>
  <w:style w:type="paragraph" w:styleId="FilledRed">
    <w:name w:val="Filled Red"/>
    <w:basedOn w:val="Filled"/>
    <w:qFormat/>
    <w:pPr/>
    <w:rPr>
      <w:rFonts w:ascii="Liberation Sans" w:hAnsi="Liberation Sans"/>
      <w:b/>
      <w:color w:val="FFFFFF"/>
      <w:sz w:val="28"/>
    </w:rPr>
  </w:style>
  <w:style w:type="paragraph" w:styleId="FilledYellow">
    <w:name w:val="Filled Yellow"/>
    <w:basedOn w:val="Filled"/>
    <w:qFormat/>
    <w:pPr/>
    <w:rPr>
      <w:rFonts w:ascii="Liberation Sans" w:hAnsi="Liberation Sans"/>
      <w:b/>
      <w:color w:val="FFFFFF"/>
      <w:sz w:val="28"/>
    </w:rPr>
  </w:style>
  <w:style w:type="paragraph" w:styleId="Outlined">
    <w:name w:val="Outlined"/>
    <w:basedOn w:val="Shapes"/>
    <w:qFormat/>
    <w:pPr/>
    <w:rPr>
      <w:rFonts w:ascii="Liberation Sans" w:hAnsi="Liberation Sans"/>
      <w:b/>
      <w:sz w:val="28"/>
    </w:rPr>
  </w:style>
  <w:style w:type="paragraph" w:styleId="OutlinedBlue">
    <w:name w:val="Outlined Blue"/>
    <w:basedOn w:val="Outlined"/>
    <w:qFormat/>
    <w:pPr/>
    <w:rPr>
      <w:rFonts w:ascii="Liberation Sans" w:hAnsi="Liberation Sans"/>
      <w:b/>
      <w:color w:val="355269"/>
      <w:sz w:val="28"/>
    </w:rPr>
  </w:style>
  <w:style w:type="paragraph" w:styleId="OutlinedGreen">
    <w:name w:val="Outlined Green"/>
    <w:basedOn w:val="Outlined"/>
    <w:qFormat/>
    <w:pPr/>
    <w:rPr>
      <w:rFonts w:ascii="Liberation Sans" w:hAnsi="Liberation Sans"/>
      <w:b/>
      <w:color w:val="127622"/>
      <w:sz w:val="28"/>
    </w:rPr>
  </w:style>
  <w:style w:type="paragraph" w:styleId="OutlinedRed">
    <w:name w:val="Outlined Red"/>
    <w:basedOn w:val="Outlined"/>
    <w:qFormat/>
    <w:pPr/>
    <w:rPr>
      <w:rFonts w:ascii="Liberation Sans" w:hAnsi="Liberation Sans"/>
      <w:b/>
      <w:color w:val="C9211E"/>
      <w:sz w:val="28"/>
    </w:rPr>
  </w:style>
  <w:style w:type="paragraph" w:styleId="OutlinedYellow">
    <w:name w:val="Outlined Yellow"/>
    <w:basedOn w:val="Outlined"/>
    <w:qFormat/>
    <w:pPr/>
    <w:rPr>
      <w:rFonts w:ascii="Liberation Sans" w:hAnsi="Liberation Sans"/>
      <w:b/>
      <w:color w:val="B47804"/>
      <w:sz w:val="28"/>
    </w:rPr>
  </w:style>
  <w:style w:type="paragraph" w:styleId="Lines">
    <w:name w:val="Lines"/>
    <w:basedOn w:val="Graphic"/>
    <w:qFormat/>
    <w:pPr/>
    <w:rPr>
      <w:rFonts w:ascii="Liberation Sans" w:hAnsi="Liberation Sans"/>
      <w:sz w:val="36"/>
    </w:rPr>
  </w:style>
  <w:style w:type="paragraph" w:styleId="ArrowLine">
    <w:name w:val="Arrow Line"/>
    <w:basedOn w:val="Lines"/>
    <w:qFormat/>
    <w:pPr/>
    <w:rPr>
      <w:rFonts w:ascii="Liberation Sans" w:hAnsi="Liberation Sans"/>
      <w:sz w:val="36"/>
    </w:rPr>
  </w:style>
  <w:style w:type="paragraph" w:styleId="DashedLine">
    <w:name w:val="Dashed Line"/>
    <w:basedOn w:val="Lines"/>
    <w:qFormat/>
    <w:pPr/>
    <w:rPr>
      <w:rFonts w:ascii="Liberation Sans" w:hAnsi="Liberation Sans"/>
      <w:sz w:val="36"/>
    </w:rPr>
  </w:style>
  <w:style w:type="paragraph" w:styleId="DefaultLTGliederung1">
    <w:name w:val="Default~LT~Gliederung 1"/>
    <w:qFormat/>
    <w:pPr>
      <w:widowControl/>
      <w:suppressAutoHyphens w:val="true"/>
      <w:overflowPunct w:val="false"/>
      <w:bidi w:val="0"/>
      <w:spacing w:before="283" w:after="0"/>
      <w:jc w:val="start"/>
    </w:pPr>
    <w:rPr>
      <w:rFonts w:ascii="Lohit Devanagari" w:hAnsi="Lohit Devanagari" w:eastAsia="DejaVu Sans" w:cs="Linux Libertine Display O"/>
      <w:b w:val="false"/>
      <w:i w:val="false"/>
      <w:strike w:val="false"/>
      <w:dstrike w:val="false"/>
      <w:outline w:val="false"/>
      <w:shadow w:val="false"/>
      <w:color w:val="auto"/>
      <w:kern w:val="2"/>
      <w:sz w:val="64"/>
      <w:szCs w:val="24"/>
      <w:u w:val="none"/>
      <w:em w:val="none"/>
      <w:lang w:val="ru-RU" w:eastAsia="zh-CN" w:bidi="hi-IN"/>
    </w:rPr>
  </w:style>
  <w:style w:type="paragraph" w:styleId="DefaultLTGliederung2">
    <w:name w:val="Default~LT~Gliederung 2"/>
    <w:basedOn w:val="DefaultLTGliederung1"/>
    <w:qFormat/>
    <w:pPr>
      <w:spacing w:before="227" w:after="0"/>
    </w:pPr>
    <w:rPr>
      <w:rFonts w:ascii="Lohit Devanagari" w:hAnsi="Lohit Devanagari"/>
      <w:b w:val="false"/>
      <w:i w:val="false"/>
      <w:strike w:val="false"/>
      <w:dstrike w:val="false"/>
      <w:outline w:val="false"/>
      <w:shadow w:val="false"/>
      <w:color w:val="auto"/>
      <w:kern w:val="2"/>
      <w:sz w:val="56"/>
      <w:u w:val="none"/>
      <w:em w:val="none"/>
    </w:rPr>
  </w:style>
  <w:style w:type="paragraph" w:styleId="DefaultLTGliederung3">
    <w:name w:val="Default~LT~Gliederung 3"/>
    <w:basedOn w:val="DefaultLTGliederung2"/>
    <w:qFormat/>
    <w:pPr>
      <w:spacing w:before="170" w:after="0"/>
    </w:pPr>
    <w:rPr>
      <w:rFonts w:ascii="Lohit Devanagari" w:hAnsi="Lohit Devanagari"/>
      <w:b w:val="false"/>
      <w:i w:val="false"/>
      <w:strike w:val="false"/>
      <w:dstrike w:val="false"/>
      <w:outline w:val="false"/>
      <w:shadow w:val="false"/>
      <w:color w:val="auto"/>
      <w:kern w:val="2"/>
      <w:sz w:val="48"/>
      <w:u w:val="none"/>
      <w:em w:val="none"/>
    </w:rPr>
  </w:style>
  <w:style w:type="paragraph" w:styleId="DefaultLTGliederung4">
    <w:name w:val="Default~LT~Gliederung 4"/>
    <w:basedOn w:val="DefaultLTGliederung3"/>
    <w:qFormat/>
    <w:pPr>
      <w:spacing w:before="113"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Gliederung5">
    <w:name w:val="Default~LT~Gliederung 5"/>
    <w:basedOn w:val="DefaultLTGliederung4"/>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Gliederung6">
    <w:name w:val="Default~LT~Gliederung 6"/>
    <w:basedOn w:val="DefaultLTGliederung5"/>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Gliederung7">
    <w:name w:val="Default~LT~Gliederung 7"/>
    <w:basedOn w:val="DefaultLTGliederung6"/>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Gliederung8">
    <w:name w:val="Default~LT~Gliederung 8"/>
    <w:basedOn w:val="DefaultLTGliederung7"/>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Gliederung9">
    <w:name w:val="Default~LT~Gliederung 9"/>
    <w:basedOn w:val="DefaultLTGliederung8"/>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DefaultLTTitel">
    <w:name w:val="Default~LT~Titel"/>
    <w:qFormat/>
    <w:pPr>
      <w:widowControl/>
      <w:suppressAutoHyphens w:val="true"/>
      <w:overflowPunct w:val="false"/>
      <w:bidi w:val="0"/>
      <w:spacing w:before="0" w:after="0"/>
      <w:jc w:val="center"/>
    </w:pPr>
    <w:rPr>
      <w:rFonts w:ascii="Lohit Devanagari" w:hAnsi="Lohit Devanagari" w:eastAsia="DejaVu Sans" w:cs="Linux Libertine Display O"/>
      <w:b/>
      <w:i w:val="false"/>
      <w:strike w:val="false"/>
      <w:dstrike w:val="false"/>
      <w:outline w:val="false"/>
      <w:shadow w:val="false"/>
      <w:color w:val="auto"/>
      <w:kern w:val="2"/>
      <w:sz w:val="72"/>
      <w:szCs w:val="24"/>
      <w:u w:val="none"/>
      <w:em w:val="none"/>
      <w:lang w:val="ru-RU" w:eastAsia="zh-CN" w:bidi="hi-IN"/>
    </w:rPr>
  </w:style>
  <w:style w:type="paragraph" w:styleId="DefaultLTUntertitel">
    <w:name w:val="Default~LT~Untertitel"/>
    <w:qFormat/>
    <w:pPr>
      <w:widowControl/>
      <w:suppressAutoHyphens w:val="true"/>
      <w:overflowPunct w:val="false"/>
      <w:bidi w:val="0"/>
      <w:spacing w:before="0" w:after="0"/>
      <w:jc w:val="center"/>
    </w:pPr>
    <w:rPr>
      <w:rFonts w:ascii="Lohit Devanagari" w:hAnsi="Lohit Devanagari" w:eastAsia="DejaVu Sans" w:cs="Linux Libertine Display O"/>
      <w:b w:val="false"/>
      <w:i w:val="false"/>
      <w:strike w:val="false"/>
      <w:dstrike w:val="false"/>
      <w:outline w:val="false"/>
      <w:shadow w:val="false"/>
      <w:color w:val="auto"/>
      <w:kern w:val="2"/>
      <w:sz w:val="64"/>
      <w:szCs w:val="24"/>
      <w:u w:val="none"/>
      <w:em w:val="none"/>
      <w:lang w:val="ru-RU" w:eastAsia="zh-CN" w:bidi="hi-IN"/>
    </w:rPr>
  </w:style>
  <w:style w:type="paragraph" w:styleId="DefaultLTNotizen">
    <w:name w:val="Default~LT~Notizen"/>
    <w:qFormat/>
    <w:pPr>
      <w:widowControl/>
      <w:suppressAutoHyphens w:val="true"/>
      <w:overflowPunct w:val="false"/>
      <w:bidi w:val="0"/>
      <w:spacing w:before="0" w:after="0"/>
      <w:ind w:hanging="340" w:start="340" w:end="0"/>
      <w:jc w:val="start"/>
    </w:pPr>
    <w:rPr>
      <w:rFonts w:ascii="Lohit Devanagari" w:hAnsi="Lohit Devanagari" w:eastAsia="DejaVu Sans" w:cs="Linux Libertine Display O"/>
      <w:b w:val="false"/>
      <w:i w:val="false"/>
      <w:strike w:val="false"/>
      <w:dstrike w:val="false"/>
      <w:outline w:val="false"/>
      <w:shadow w:val="false"/>
      <w:color w:val="auto"/>
      <w:kern w:val="2"/>
      <w:sz w:val="40"/>
      <w:szCs w:val="24"/>
      <w:u w:val="none"/>
      <w:em w:val="none"/>
      <w:lang w:val="ru-RU" w:eastAsia="zh-CN" w:bidi="hi-IN"/>
    </w:rPr>
  </w:style>
  <w:style w:type="paragraph" w:styleId="DefaultLTHintergrundobjekte">
    <w:name w:val="Default~LT~Hintergrundobjekte"/>
    <w:qFormat/>
    <w:pPr>
      <w:widowControl/>
      <w:suppressAutoHyphens w:val="true"/>
      <w:overflowPunct w:val="false"/>
      <w:bidi w:val="0"/>
      <w:spacing w:before="0" w:after="0"/>
      <w:jc w:val="start"/>
    </w:pPr>
    <w:rPr>
      <w:rFonts w:ascii="Liberation Serif" w:hAnsi="Liberation Serif" w:eastAsia="DejaVu Sans" w:cs="Linux Libertine Display O"/>
      <w:color w:val="auto"/>
      <w:kern w:val="2"/>
      <w:sz w:val="24"/>
      <w:szCs w:val="24"/>
      <w:lang w:val="ru-RU" w:eastAsia="zh-CN" w:bidi="hi-IN"/>
    </w:rPr>
  </w:style>
  <w:style w:type="paragraph" w:styleId="DefaultLTHintergrund">
    <w:name w:val="Default~LT~Hintergrund"/>
    <w:qFormat/>
    <w:pPr>
      <w:widowControl/>
      <w:suppressAutoHyphens w:val="true"/>
      <w:overflowPunct w:val="false"/>
      <w:bidi w:val="0"/>
      <w:spacing w:before="0" w:after="0"/>
      <w:jc w:val="start"/>
    </w:pPr>
    <w:rPr>
      <w:rFonts w:ascii="Liberation Serif" w:hAnsi="Liberation Serif" w:eastAsia="DejaVu Sans" w:cs="Linux Libertine Display O"/>
      <w:color w:val="auto"/>
      <w:kern w:val="2"/>
      <w:sz w:val="24"/>
      <w:szCs w:val="24"/>
      <w:lang w:val="ru-RU" w:eastAsia="zh-CN" w:bidi="hi-IN"/>
    </w:rPr>
  </w:style>
  <w:style w:type="paragraph" w:styleId="default1">
    <w:name w:val="default1"/>
    <w:qFormat/>
    <w:pPr>
      <w:widowControl/>
      <w:suppressAutoHyphens w:val="true"/>
      <w:overflowPunct w:val="false"/>
      <w:bidi w:val="0"/>
      <w:spacing w:lineRule="atLeast" w:line="200" w:before="0" w:after="0"/>
      <w:jc w:val="start"/>
    </w:pPr>
    <w:rPr>
      <w:rFonts w:ascii="Lohit Devanagari" w:hAnsi="Lohit Devanagari" w:eastAsia="DejaVu Sans" w:cs="Linux Libertine Display O"/>
      <w:color w:val="auto"/>
      <w:kern w:val="2"/>
      <w:sz w:val="36"/>
      <w:szCs w:val="24"/>
      <w:lang w:val="ru-RU" w:eastAsia="zh-CN" w:bidi="hi-IN"/>
    </w:rPr>
  </w:style>
  <w:style w:type="paragraph" w:styleId="gray1">
    <w:name w:val="gray1"/>
    <w:basedOn w:val="default1"/>
    <w:qFormat/>
    <w:pPr>
      <w:spacing w:lineRule="atLeast" w:line="200" w:before="0" w:after="0"/>
    </w:pPr>
    <w:rPr>
      <w:rFonts w:ascii="Lohit Devanagari" w:hAnsi="Lohit Devanagari"/>
      <w:color w:val="auto"/>
      <w:kern w:val="2"/>
      <w:sz w:val="36"/>
    </w:rPr>
  </w:style>
  <w:style w:type="paragraph" w:styleId="gray2">
    <w:name w:val="gray2"/>
    <w:basedOn w:val="default1"/>
    <w:qFormat/>
    <w:pPr>
      <w:spacing w:lineRule="atLeast" w:line="200" w:before="0" w:after="0"/>
    </w:pPr>
    <w:rPr>
      <w:rFonts w:ascii="Lohit Devanagari" w:hAnsi="Lohit Devanagari"/>
      <w:color w:val="auto"/>
      <w:kern w:val="2"/>
      <w:sz w:val="36"/>
    </w:rPr>
  </w:style>
  <w:style w:type="paragraph" w:styleId="gray3">
    <w:name w:val="gray3"/>
    <w:basedOn w:val="default1"/>
    <w:qFormat/>
    <w:pPr>
      <w:spacing w:lineRule="atLeast" w:line="200" w:before="0" w:after="0"/>
    </w:pPr>
    <w:rPr>
      <w:rFonts w:ascii="Lohit Devanagari" w:hAnsi="Lohit Devanagari"/>
      <w:color w:val="auto"/>
      <w:kern w:val="2"/>
      <w:sz w:val="36"/>
    </w:rPr>
  </w:style>
  <w:style w:type="paragraph" w:styleId="bw1">
    <w:name w:val="bw1"/>
    <w:basedOn w:val="default1"/>
    <w:qFormat/>
    <w:pPr>
      <w:spacing w:lineRule="atLeast" w:line="200" w:before="0" w:after="0"/>
    </w:pPr>
    <w:rPr>
      <w:rFonts w:ascii="Lohit Devanagari" w:hAnsi="Lohit Devanagari"/>
      <w:color w:val="auto"/>
      <w:kern w:val="2"/>
      <w:sz w:val="36"/>
    </w:rPr>
  </w:style>
  <w:style w:type="paragraph" w:styleId="bw2">
    <w:name w:val="bw2"/>
    <w:basedOn w:val="default1"/>
    <w:qFormat/>
    <w:pPr>
      <w:spacing w:lineRule="atLeast" w:line="200" w:before="0" w:after="0"/>
    </w:pPr>
    <w:rPr>
      <w:rFonts w:ascii="Lohit Devanagari" w:hAnsi="Lohit Devanagari"/>
      <w:color w:val="auto"/>
      <w:kern w:val="2"/>
      <w:sz w:val="36"/>
    </w:rPr>
  </w:style>
  <w:style w:type="paragraph" w:styleId="bw3">
    <w:name w:val="bw3"/>
    <w:basedOn w:val="default1"/>
    <w:qFormat/>
    <w:pPr>
      <w:spacing w:lineRule="atLeast" w:line="200" w:before="0" w:after="0"/>
    </w:pPr>
    <w:rPr>
      <w:rFonts w:ascii="Lohit Devanagari" w:hAnsi="Lohit Devanagari"/>
      <w:color w:val="auto"/>
      <w:kern w:val="2"/>
      <w:sz w:val="36"/>
    </w:rPr>
  </w:style>
  <w:style w:type="paragraph" w:styleId="orange1">
    <w:name w:val="orange1"/>
    <w:basedOn w:val="default1"/>
    <w:qFormat/>
    <w:pPr>
      <w:spacing w:lineRule="atLeast" w:line="200" w:before="0" w:after="0"/>
    </w:pPr>
    <w:rPr>
      <w:rFonts w:ascii="Lohit Devanagari" w:hAnsi="Lohit Devanagari"/>
      <w:color w:val="auto"/>
      <w:kern w:val="2"/>
      <w:sz w:val="36"/>
    </w:rPr>
  </w:style>
  <w:style w:type="paragraph" w:styleId="orange2">
    <w:name w:val="orange2"/>
    <w:basedOn w:val="default1"/>
    <w:qFormat/>
    <w:pPr>
      <w:spacing w:lineRule="atLeast" w:line="200" w:before="0" w:after="0"/>
    </w:pPr>
    <w:rPr>
      <w:rFonts w:ascii="Lohit Devanagari" w:hAnsi="Lohit Devanagari"/>
      <w:color w:val="auto"/>
      <w:kern w:val="2"/>
      <w:sz w:val="36"/>
    </w:rPr>
  </w:style>
  <w:style w:type="paragraph" w:styleId="orange3">
    <w:name w:val="orange3"/>
    <w:basedOn w:val="default1"/>
    <w:qFormat/>
    <w:pPr>
      <w:spacing w:lineRule="atLeast" w:line="200" w:before="0" w:after="0"/>
    </w:pPr>
    <w:rPr>
      <w:rFonts w:ascii="Lohit Devanagari" w:hAnsi="Lohit Devanagari"/>
      <w:color w:val="auto"/>
      <w:kern w:val="2"/>
      <w:sz w:val="36"/>
    </w:rPr>
  </w:style>
  <w:style w:type="paragraph" w:styleId="turquoise1">
    <w:name w:val="turquoise1"/>
    <w:basedOn w:val="default1"/>
    <w:qFormat/>
    <w:pPr>
      <w:spacing w:lineRule="atLeast" w:line="200" w:before="0" w:after="0"/>
    </w:pPr>
    <w:rPr>
      <w:rFonts w:ascii="Lohit Devanagari" w:hAnsi="Lohit Devanagari"/>
      <w:color w:val="auto"/>
      <w:kern w:val="2"/>
      <w:sz w:val="36"/>
    </w:rPr>
  </w:style>
  <w:style w:type="paragraph" w:styleId="turquoise2">
    <w:name w:val="turquoise2"/>
    <w:basedOn w:val="default1"/>
    <w:qFormat/>
    <w:pPr>
      <w:spacing w:lineRule="atLeast" w:line="200" w:before="0" w:after="0"/>
    </w:pPr>
    <w:rPr>
      <w:rFonts w:ascii="Lohit Devanagari" w:hAnsi="Lohit Devanagari"/>
      <w:color w:val="auto"/>
      <w:kern w:val="2"/>
      <w:sz w:val="36"/>
    </w:rPr>
  </w:style>
  <w:style w:type="paragraph" w:styleId="turquoise3">
    <w:name w:val="turquoise3"/>
    <w:basedOn w:val="default1"/>
    <w:qFormat/>
    <w:pPr>
      <w:spacing w:lineRule="atLeast" w:line="200" w:before="0" w:after="0"/>
    </w:pPr>
    <w:rPr>
      <w:rFonts w:ascii="Lohit Devanagari" w:hAnsi="Lohit Devanagari"/>
      <w:color w:val="auto"/>
      <w:kern w:val="2"/>
      <w:sz w:val="36"/>
    </w:rPr>
  </w:style>
  <w:style w:type="paragraph" w:styleId="blue1">
    <w:name w:val="blue1"/>
    <w:basedOn w:val="default1"/>
    <w:qFormat/>
    <w:pPr>
      <w:spacing w:lineRule="atLeast" w:line="200" w:before="0" w:after="0"/>
    </w:pPr>
    <w:rPr>
      <w:rFonts w:ascii="Lohit Devanagari" w:hAnsi="Lohit Devanagari"/>
      <w:color w:val="auto"/>
      <w:kern w:val="2"/>
      <w:sz w:val="36"/>
    </w:rPr>
  </w:style>
  <w:style w:type="paragraph" w:styleId="blue2">
    <w:name w:val="blue2"/>
    <w:basedOn w:val="default1"/>
    <w:qFormat/>
    <w:pPr>
      <w:spacing w:lineRule="atLeast" w:line="200" w:before="0" w:after="0"/>
    </w:pPr>
    <w:rPr>
      <w:rFonts w:ascii="Lohit Devanagari" w:hAnsi="Lohit Devanagari"/>
      <w:color w:val="auto"/>
      <w:kern w:val="2"/>
      <w:sz w:val="36"/>
    </w:rPr>
  </w:style>
  <w:style w:type="paragraph" w:styleId="blue3">
    <w:name w:val="blue3"/>
    <w:basedOn w:val="default1"/>
    <w:qFormat/>
    <w:pPr>
      <w:spacing w:lineRule="atLeast" w:line="200" w:before="0" w:after="0"/>
    </w:pPr>
    <w:rPr>
      <w:rFonts w:ascii="Lohit Devanagari" w:hAnsi="Lohit Devanagari"/>
      <w:color w:val="auto"/>
      <w:kern w:val="2"/>
      <w:sz w:val="36"/>
    </w:rPr>
  </w:style>
  <w:style w:type="paragraph" w:styleId="sun1">
    <w:name w:val="sun1"/>
    <w:basedOn w:val="default1"/>
    <w:qFormat/>
    <w:pPr>
      <w:spacing w:lineRule="atLeast" w:line="200" w:before="0" w:after="0"/>
    </w:pPr>
    <w:rPr>
      <w:rFonts w:ascii="Lohit Devanagari" w:hAnsi="Lohit Devanagari"/>
      <w:color w:val="auto"/>
      <w:kern w:val="2"/>
      <w:sz w:val="36"/>
    </w:rPr>
  </w:style>
  <w:style w:type="paragraph" w:styleId="sun2">
    <w:name w:val="sun2"/>
    <w:basedOn w:val="default1"/>
    <w:qFormat/>
    <w:pPr>
      <w:spacing w:lineRule="atLeast" w:line="200" w:before="0" w:after="0"/>
    </w:pPr>
    <w:rPr>
      <w:rFonts w:ascii="Lohit Devanagari" w:hAnsi="Lohit Devanagari"/>
      <w:color w:val="auto"/>
      <w:kern w:val="2"/>
      <w:sz w:val="36"/>
    </w:rPr>
  </w:style>
  <w:style w:type="paragraph" w:styleId="sun3">
    <w:name w:val="sun3"/>
    <w:basedOn w:val="default1"/>
    <w:qFormat/>
    <w:pPr>
      <w:spacing w:lineRule="atLeast" w:line="200" w:before="0" w:after="0"/>
    </w:pPr>
    <w:rPr>
      <w:rFonts w:ascii="Lohit Devanagari" w:hAnsi="Lohit Devanagari"/>
      <w:color w:val="auto"/>
      <w:kern w:val="2"/>
      <w:sz w:val="36"/>
    </w:rPr>
  </w:style>
  <w:style w:type="paragraph" w:styleId="earth1">
    <w:name w:val="earth1"/>
    <w:basedOn w:val="default1"/>
    <w:qFormat/>
    <w:pPr>
      <w:spacing w:lineRule="atLeast" w:line="200" w:before="0" w:after="0"/>
    </w:pPr>
    <w:rPr>
      <w:rFonts w:ascii="Lohit Devanagari" w:hAnsi="Lohit Devanagari"/>
      <w:color w:val="auto"/>
      <w:kern w:val="2"/>
      <w:sz w:val="36"/>
    </w:rPr>
  </w:style>
  <w:style w:type="paragraph" w:styleId="earth2">
    <w:name w:val="earth2"/>
    <w:basedOn w:val="default1"/>
    <w:qFormat/>
    <w:pPr>
      <w:spacing w:lineRule="atLeast" w:line="200" w:before="0" w:after="0"/>
    </w:pPr>
    <w:rPr>
      <w:rFonts w:ascii="Lohit Devanagari" w:hAnsi="Lohit Devanagari"/>
      <w:color w:val="auto"/>
      <w:kern w:val="2"/>
      <w:sz w:val="36"/>
    </w:rPr>
  </w:style>
  <w:style w:type="paragraph" w:styleId="earth3">
    <w:name w:val="earth3"/>
    <w:basedOn w:val="default1"/>
    <w:qFormat/>
    <w:pPr>
      <w:spacing w:lineRule="atLeast" w:line="200" w:before="0" w:after="0"/>
    </w:pPr>
    <w:rPr>
      <w:rFonts w:ascii="Lohit Devanagari" w:hAnsi="Lohit Devanagari"/>
      <w:color w:val="auto"/>
      <w:kern w:val="2"/>
      <w:sz w:val="36"/>
    </w:rPr>
  </w:style>
  <w:style w:type="paragraph" w:styleId="green1">
    <w:name w:val="green1"/>
    <w:basedOn w:val="default1"/>
    <w:qFormat/>
    <w:pPr>
      <w:spacing w:lineRule="atLeast" w:line="200" w:before="0" w:after="0"/>
    </w:pPr>
    <w:rPr>
      <w:rFonts w:ascii="Lohit Devanagari" w:hAnsi="Lohit Devanagari"/>
      <w:color w:val="auto"/>
      <w:kern w:val="2"/>
      <w:sz w:val="36"/>
    </w:rPr>
  </w:style>
  <w:style w:type="paragraph" w:styleId="green2">
    <w:name w:val="green2"/>
    <w:basedOn w:val="default1"/>
    <w:qFormat/>
    <w:pPr>
      <w:spacing w:lineRule="atLeast" w:line="200" w:before="0" w:after="0"/>
    </w:pPr>
    <w:rPr>
      <w:rFonts w:ascii="Lohit Devanagari" w:hAnsi="Lohit Devanagari"/>
      <w:color w:val="auto"/>
      <w:kern w:val="2"/>
      <w:sz w:val="36"/>
    </w:rPr>
  </w:style>
  <w:style w:type="paragraph" w:styleId="green3">
    <w:name w:val="green3"/>
    <w:basedOn w:val="default1"/>
    <w:qFormat/>
    <w:pPr>
      <w:spacing w:lineRule="atLeast" w:line="200" w:before="0" w:after="0"/>
    </w:pPr>
    <w:rPr>
      <w:rFonts w:ascii="Lohit Devanagari" w:hAnsi="Lohit Devanagari"/>
      <w:color w:val="auto"/>
      <w:kern w:val="2"/>
      <w:sz w:val="36"/>
    </w:rPr>
  </w:style>
  <w:style w:type="paragraph" w:styleId="seetang1">
    <w:name w:val="seetang1"/>
    <w:basedOn w:val="default1"/>
    <w:qFormat/>
    <w:pPr>
      <w:spacing w:lineRule="atLeast" w:line="200" w:before="0" w:after="0"/>
    </w:pPr>
    <w:rPr>
      <w:rFonts w:ascii="Lohit Devanagari" w:hAnsi="Lohit Devanagari"/>
      <w:color w:val="auto"/>
      <w:kern w:val="2"/>
      <w:sz w:val="36"/>
    </w:rPr>
  </w:style>
  <w:style w:type="paragraph" w:styleId="seetang2">
    <w:name w:val="seetang2"/>
    <w:basedOn w:val="default1"/>
    <w:qFormat/>
    <w:pPr>
      <w:spacing w:lineRule="atLeast" w:line="200" w:before="0" w:after="0"/>
    </w:pPr>
    <w:rPr>
      <w:rFonts w:ascii="Lohit Devanagari" w:hAnsi="Lohit Devanagari"/>
      <w:color w:val="auto"/>
      <w:kern w:val="2"/>
      <w:sz w:val="36"/>
    </w:rPr>
  </w:style>
  <w:style w:type="paragraph" w:styleId="seetang3">
    <w:name w:val="seetang3"/>
    <w:basedOn w:val="default1"/>
    <w:qFormat/>
    <w:pPr>
      <w:spacing w:lineRule="atLeast" w:line="200" w:before="0" w:after="0"/>
    </w:pPr>
    <w:rPr>
      <w:rFonts w:ascii="Lohit Devanagari" w:hAnsi="Lohit Devanagari"/>
      <w:color w:val="auto"/>
      <w:kern w:val="2"/>
      <w:sz w:val="36"/>
    </w:rPr>
  </w:style>
  <w:style w:type="paragraph" w:styleId="lightblue1">
    <w:name w:val="lightblue1"/>
    <w:basedOn w:val="default1"/>
    <w:qFormat/>
    <w:pPr>
      <w:spacing w:lineRule="atLeast" w:line="200" w:before="0" w:after="0"/>
    </w:pPr>
    <w:rPr>
      <w:rFonts w:ascii="Lohit Devanagari" w:hAnsi="Lohit Devanagari"/>
      <w:color w:val="auto"/>
      <w:kern w:val="2"/>
      <w:sz w:val="36"/>
    </w:rPr>
  </w:style>
  <w:style w:type="paragraph" w:styleId="lightblue2">
    <w:name w:val="lightblue2"/>
    <w:basedOn w:val="default1"/>
    <w:qFormat/>
    <w:pPr>
      <w:spacing w:lineRule="atLeast" w:line="200" w:before="0" w:after="0"/>
    </w:pPr>
    <w:rPr>
      <w:rFonts w:ascii="Lohit Devanagari" w:hAnsi="Lohit Devanagari"/>
      <w:color w:val="auto"/>
      <w:kern w:val="2"/>
      <w:sz w:val="36"/>
    </w:rPr>
  </w:style>
  <w:style w:type="paragraph" w:styleId="lightblue3">
    <w:name w:val="lightblue3"/>
    <w:basedOn w:val="default1"/>
    <w:qFormat/>
    <w:pPr>
      <w:spacing w:lineRule="atLeast" w:line="200" w:before="0" w:after="0"/>
    </w:pPr>
    <w:rPr>
      <w:rFonts w:ascii="Lohit Devanagari" w:hAnsi="Lohit Devanagari"/>
      <w:color w:val="auto"/>
      <w:kern w:val="2"/>
      <w:sz w:val="36"/>
    </w:rPr>
  </w:style>
  <w:style w:type="paragraph" w:styleId="yellow1">
    <w:name w:val="yellow1"/>
    <w:basedOn w:val="default1"/>
    <w:qFormat/>
    <w:pPr>
      <w:spacing w:lineRule="atLeast" w:line="200" w:before="0" w:after="0"/>
    </w:pPr>
    <w:rPr>
      <w:rFonts w:ascii="Lohit Devanagari" w:hAnsi="Lohit Devanagari"/>
      <w:color w:val="auto"/>
      <w:kern w:val="2"/>
      <w:sz w:val="36"/>
    </w:rPr>
  </w:style>
  <w:style w:type="paragraph" w:styleId="yellow2">
    <w:name w:val="yellow2"/>
    <w:basedOn w:val="default1"/>
    <w:qFormat/>
    <w:pPr>
      <w:spacing w:lineRule="atLeast" w:line="200" w:before="0" w:after="0"/>
    </w:pPr>
    <w:rPr>
      <w:rFonts w:ascii="Lohit Devanagari" w:hAnsi="Lohit Devanagari"/>
      <w:color w:val="auto"/>
      <w:kern w:val="2"/>
      <w:sz w:val="36"/>
    </w:rPr>
  </w:style>
  <w:style w:type="paragraph" w:styleId="yellow3">
    <w:name w:val="yellow3"/>
    <w:basedOn w:val="default1"/>
    <w:qFormat/>
    <w:pPr>
      <w:spacing w:lineRule="atLeast" w:line="200" w:before="0" w:after="0"/>
    </w:pPr>
    <w:rPr>
      <w:rFonts w:ascii="Lohit Devanagari" w:hAnsi="Lohit Devanagari"/>
      <w:color w:val="auto"/>
      <w:kern w:val="2"/>
      <w:sz w:val="36"/>
    </w:rPr>
  </w:style>
  <w:style w:type="paragraph" w:styleId="Backgroundobjects">
    <w:name w:val="Background objects"/>
    <w:qFormat/>
    <w:pPr>
      <w:widowControl/>
      <w:suppressAutoHyphens w:val="true"/>
      <w:overflowPunct w:val="false"/>
      <w:bidi w:val="0"/>
      <w:spacing w:before="0" w:after="0"/>
      <w:jc w:val="start"/>
    </w:pPr>
    <w:rPr>
      <w:rFonts w:ascii="Liberation Serif" w:hAnsi="Liberation Serif" w:eastAsia="DejaVu Sans" w:cs="Linux Libertine Display O"/>
      <w:color w:val="auto"/>
      <w:kern w:val="2"/>
      <w:sz w:val="24"/>
      <w:szCs w:val="24"/>
      <w:lang w:val="ru-RU" w:eastAsia="zh-CN" w:bidi="hi-IN"/>
    </w:rPr>
  </w:style>
  <w:style w:type="paragraph" w:styleId="Background">
    <w:name w:val="Background"/>
    <w:qFormat/>
    <w:pPr>
      <w:widowControl/>
      <w:suppressAutoHyphens w:val="true"/>
      <w:overflowPunct w:val="false"/>
      <w:bidi w:val="0"/>
      <w:spacing w:before="0" w:after="0"/>
      <w:jc w:val="start"/>
    </w:pPr>
    <w:rPr>
      <w:rFonts w:ascii="Liberation Serif" w:hAnsi="Liberation Serif" w:eastAsia="DejaVu Sans" w:cs="Linux Libertine Display O"/>
      <w:color w:val="auto"/>
      <w:kern w:val="2"/>
      <w:sz w:val="24"/>
      <w:szCs w:val="24"/>
      <w:lang w:val="ru-RU" w:eastAsia="zh-CN" w:bidi="hi-IN"/>
    </w:rPr>
  </w:style>
  <w:style w:type="paragraph" w:styleId="Notes">
    <w:name w:val="Notes"/>
    <w:qFormat/>
    <w:pPr>
      <w:widowControl/>
      <w:suppressAutoHyphens w:val="true"/>
      <w:overflowPunct w:val="false"/>
      <w:bidi w:val="0"/>
      <w:spacing w:before="0" w:after="0"/>
      <w:ind w:hanging="340" w:start="340" w:end="0"/>
      <w:jc w:val="start"/>
    </w:pPr>
    <w:rPr>
      <w:rFonts w:ascii="Lohit Devanagari" w:hAnsi="Lohit Devanagari" w:eastAsia="DejaVu Sans" w:cs="Linux Libertine Display O"/>
      <w:b w:val="false"/>
      <w:i w:val="false"/>
      <w:strike w:val="false"/>
      <w:dstrike w:val="false"/>
      <w:outline w:val="false"/>
      <w:shadow w:val="false"/>
      <w:color w:val="auto"/>
      <w:kern w:val="2"/>
      <w:sz w:val="40"/>
      <w:szCs w:val="24"/>
      <w:u w:val="none"/>
      <w:em w:val="none"/>
      <w:lang w:val="ru-RU" w:eastAsia="zh-CN" w:bidi="hi-IN"/>
    </w:rPr>
  </w:style>
  <w:style w:type="paragraph" w:styleId="Outline1">
    <w:name w:val="Outline 1"/>
    <w:qFormat/>
    <w:pPr>
      <w:widowControl/>
      <w:suppressAutoHyphens w:val="true"/>
      <w:overflowPunct w:val="false"/>
      <w:bidi w:val="0"/>
      <w:spacing w:before="283" w:after="0"/>
      <w:jc w:val="start"/>
    </w:pPr>
    <w:rPr>
      <w:rFonts w:ascii="Lohit Devanagari" w:hAnsi="Lohit Devanagari" w:eastAsia="DejaVu Sans" w:cs="Linux Libertine Display O"/>
      <w:b w:val="false"/>
      <w:i w:val="false"/>
      <w:strike w:val="false"/>
      <w:dstrike w:val="false"/>
      <w:outline w:val="false"/>
      <w:shadow w:val="false"/>
      <w:color w:val="auto"/>
      <w:kern w:val="2"/>
      <w:sz w:val="64"/>
      <w:szCs w:val="24"/>
      <w:u w:val="none"/>
      <w:em w:val="none"/>
      <w:lang w:val="ru-RU" w:eastAsia="zh-CN" w:bidi="hi-IN"/>
    </w:rPr>
  </w:style>
  <w:style w:type="paragraph" w:styleId="Outline2">
    <w:name w:val="Outline 2"/>
    <w:basedOn w:val="Outline1"/>
    <w:qFormat/>
    <w:pPr>
      <w:spacing w:before="227" w:after="0"/>
    </w:pPr>
    <w:rPr>
      <w:rFonts w:ascii="Lohit Devanagari" w:hAnsi="Lohit Devanagari"/>
      <w:b w:val="false"/>
      <w:i w:val="false"/>
      <w:strike w:val="false"/>
      <w:dstrike w:val="false"/>
      <w:outline w:val="false"/>
      <w:shadow w:val="false"/>
      <w:color w:val="auto"/>
      <w:kern w:val="2"/>
      <w:sz w:val="56"/>
      <w:u w:val="none"/>
      <w:em w:val="none"/>
    </w:rPr>
  </w:style>
  <w:style w:type="paragraph" w:styleId="Outline3">
    <w:name w:val="Outline 3"/>
    <w:basedOn w:val="Outline2"/>
    <w:qFormat/>
    <w:pPr>
      <w:spacing w:before="170" w:after="0"/>
    </w:pPr>
    <w:rPr>
      <w:rFonts w:ascii="Lohit Devanagari" w:hAnsi="Lohit Devanagari"/>
      <w:b w:val="false"/>
      <w:i w:val="false"/>
      <w:strike w:val="false"/>
      <w:dstrike w:val="false"/>
      <w:outline w:val="false"/>
      <w:shadow w:val="false"/>
      <w:color w:val="auto"/>
      <w:kern w:val="2"/>
      <w:sz w:val="48"/>
      <w:u w:val="none"/>
      <w:em w:val="none"/>
    </w:rPr>
  </w:style>
  <w:style w:type="paragraph" w:styleId="Outline4">
    <w:name w:val="Outline 4"/>
    <w:basedOn w:val="Outline3"/>
    <w:qFormat/>
    <w:pPr>
      <w:spacing w:before="113" w:after="0"/>
    </w:pPr>
    <w:rPr>
      <w:rFonts w:ascii="Lohit Devanagari" w:hAnsi="Lohit Devanagari"/>
      <w:b w:val="false"/>
      <w:i w:val="false"/>
      <w:strike w:val="false"/>
      <w:dstrike w:val="false"/>
      <w:outline w:val="false"/>
      <w:shadow w:val="false"/>
      <w:color w:val="auto"/>
      <w:kern w:val="2"/>
      <w:sz w:val="40"/>
      <w:u w:val="none"/>
      <w:em w:val="none"/>
    </w:rPr>
  </w:style>
  <w:style w:type="paragraph" w:styleId="Outline5">
    <w:name w:val="Outline 5"/>
    <w:basedOn w:val="Outline4"/>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Outline6">
    <w:name w:val="Outline 6"/>
    <w:basedOn w:val="Outline5"/>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Outline7">
    <w:name w:val="Outline 7"/>
    <w:basedOn w:val="Outline6"/>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Outline8">
    <w:name w:val="Outline 8"/>
    <w:basedOn w:val="Outline7"/>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Outline9">
    <w:name w:val="Outline 9"/>
    <w:basedOn w:val="Outline8"/>
    <w:qFormat/>
    <w:pPr>
      <w:spacing w:before="57" w:after="0"/>
    </w:pPr>
    <w:rPr>
      <w:rFonts w:ascii="Lohit Devanagari" w:hAnsi="Lohit Devanagari"/>
      <w:b w:val="false"/>
      <w:i w:val="false"/>
      <w:strike w:val="false"/>
      <w:dstrike w:val="false"/>
      <w:outline w:val="false"/>
      <w:shadow w:val="false"/>
      <w:color w:val="auto"/>
      <w:kern w:val="2"/>
      <w:sz w:val="40"/>
      <w:u w:val="none"/>
      <w:em w:val="none"/>
    </w:rPr>
  </w:style>
  <w:style w:type="paragraph" w:styleId="Internetlink">
    <w:name w:val="Internet link"/>
    <w:qFormat/>
    <w:pPr>
      <w:widowControl/>
      <w:suppressAutoHyphens w:val="true"/>
      <w:overflowPunct w:val="false"/>
      <w:bidi w:val="0"/>
      <w:spacing w:before="0" w:after="0"/>
      <w:jc w:val="start"/>
    </w:pPr>
    <w:rPr>
      <w:rFonts w:ascii="Liberation Serif" w:hAnsi="Liberation Serif" w:eastAsia="DejaVu Sans" w:cs="Linux Libertine Display O"/>
      <w:color w:val="000080"/>
      <w:kern w:val="2"/>
      <w:sz w:val="24"/>
      <w:szCs w:val="24"/>
      <w:u w:val="single"/>
      <w:lang w:val="ru-RU" w:eastAsia="zh-CN" w:bidi="hi-IN"/>
    </w:rPr>
  </w:style>
  <w:style w:type="paragraph" w:styleId="Preformatted">
    <w:name w:val="Preformatted"/>
    <w:qFormat/>
    <w:pPr>
      <w:widowControl/>
      <w:tabs>
        <w:tab w:val="clear" w:pos="709"/>
        <w:tab w:val="left" w:pos="0" w:leader="none"/>
        <w:tab w:val="left" w:pos="1692" w:leader="none"/>
        <w:tab w:val="left" w:pos="3383" w:leader="none"/>
        <w:tab w:val="left" w:pos="5075" w:leader="none"/>
        <w:tab w:val="left" w:pos="6766" w:leader="none"/>
        <w:tab w:val="left" w:pos="8458" w:leader="none"/>
        <w:tab w:val="left" w:pos="10149" w:leader="none"/>
        <w:tab w:val="left" w:pos="11841" w:leader="none"/>
        <w:tab w:val="left" w:pos="13533" w:leader="none"/>
        <w:tab w:val="left" w:pos="15224" w:leader="none"/>
        <w:tab w:val="left" w:pos="16916" w:leader="none"/>
      </w:tabs>
      <w:suppressAutoHyphens w:val="true"/>
      <w:overflowPunct w:val="false"/>
      <w:bidi w:val="0"/>
      <w:spacing w:lineRule="atLeast" w:line="200" w:before="0" w:after="0"/>
      <w:jc w:val="start"/>
    </w:pPr>
    <w:rPr>
      <w:rFonts w:ascii="Courier New" w:hAnsi="Courier New" w:eastAsia="DejaVu Sans" w:cs="Linux Libertine Display O"/>
      <w:color w:val="auto"/>
      <w:kern w:val="2"/>
      <w:sz w:val="20"/>
      <w:szCs w:val="24"/>
      <w:lang w:val="ru-RU" w:eastAsia="zh-CN" w:bidi="hi-IN"/>
    </w:rPr>
  </w:style>
  <w:style w:type="paragraph" w:styleId="DefaultParagraphFont1">
    <w:name w:val="Default Paragraph Font1"/>
    <w:qFormat/>
    <w:pPr>
      <w:widowControl/>
      <w:suppressAutoHyphens w:val="true"/>
      <w:overflowPunct w:val="false"/>
      <w:bidi w:val="0"/>
      <w:spacing w:before="0" w:after="0"/>
      <w:jc w:val="start"/>
    </w:pPr>
    <w:rPr>
      <w:rFonts w:ascii="Liberation Serif" w:hAnsi="Liberation Serif" w:eastAsia="DejaVu Sans" w:cs="Linux Libertine Display O"/>
      <w:color w:val="auto"/>
      <w:kern w:val="2"/>
      <w:sz w:val="24"/>
      <w:szCs w:val="24"/>
      <w:lang w:val="ru-RU" w:eastAsia="zh-CN" w:bidi="hi-IN"/>
    </w:rPr>
  </w:style>
  <w:style w:type="paragraph" w:styleId="caption1">
    <w:name w:val="caption1"/>
    <w:qFormat/>
    <w:pPr>
      <w:widowControl/>
      <w:suppressAutoHyphens w:val="true"/>
      <w:overflowPunct w:val="false"/>
      <w:bidi w:val="0"/>
      <w:spacing w:before="212" w:after="212"/>
      <w:jc w:val="start"/>
    </w:pPr>
    <w:rPr>
      <w:rFonts w:ascii="Lohit Devanagari" w:hAnsi="Lohit Devanagari" w:eastAsia="DejaVu Sans" w:cs="Linux Libertine Display O"/>
      <w:i/>
      <w:color w:val="auto"/>
      <w:kern w:val="2"/>
      <w:sz w:val="24"/>
      <w:szCs w:val="24"/>
      <w:lang w:val="ru-RU" w:eastAsia="zh-CN" w:bidi="hi-IN"/>
    </w:rPr>
  </w:style>
  <w:style w:type="paragraph" w:styleId="NormalWeb">
    <w:name w:val="Normal (Web)"/>
    <w:basedOn w:val="Normal"/>
    <w:qFormat/>
    <w:pPr>
      <w:spacing w:lineRule="auto" w:line="240" w:before="280" w:after="280"/>
    </w:pPr>
    <w:rPr>
      <w:rFonts w:eastAsia="Times New Roman" w:cs="Times New Roman"/>
      <w:szCs w:val="24"/>
      <w:lang w:eastAsia="ru-RU"/>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Footer">
    <w:name w:val="Footer"/>
    <w:basedOn w:val="HeaderandFooter"/>
    <w:pPr>
      <w:suppressLineNumbers/>
    </w:pPr>
    <w:rPr/>
  </w:style>
  <w:style w:type="paragraph" w:styleId="11">
    <w:name w:val="Заголовок 1 Знак1"/>
    <w:qFormat/>
    <w:pPr>
      <w:widowControl/>
      <w:suppressAutoHyphens w:val="true"/>
      <w:overflowPunct w:val="false"/>
      <w:bidi w:val="0"/>
      <w:spacing w:before="0" w:after="0"/>
      <w:jc w:val="start"/>
    </w:pPr>
    <w:rPr>
      <w:rFonts w:ascii="Liberation Serif" w:hAnsi="Liberation Serif" w:eastAsia="DejaVu Sans" w:cs="Liberation Sans"/>
      <w:b/>
      <w:color w:val="auto"/>
      <w:kern w:val="2"/>
      <w:sz w:val="32"/>
      <w:szCs w:val="24"/>
      <w:lang w:val="ru-RU" w:eastAsia="zh-CN" w:bidi="hi-IN"/>
    </w:rPr>
  </w:style>
  <w:style w:type="paragraph" w:styleId="ListLabel31">
    <w:name w:val="ListLabel 31"/>
    <w:qFormat/>
    <w:pPr>
      <w:widowControl/>
      <w:suppressAutoHyphens w:val="true"/>
      <w:overflowPunct w:val="false"/>
      <w:bidi w:val="0"/>
      <w:spacing w:before="0" w:after="0"/>
      <w:jc w:val="start"/>
    </w:pPr>
    <w:rPr>
      <w:rFonts w:ascii="Courier New" w:hAnsi="Courier New" w:eastAsia="DejaVu Sans" w:cs="Liberation Sans"/>
      <w:color w:val="auto"/>
      <w:kern w:val="2"/>
      <w:sz w:val="24"/>
      <w:szCs w:val="24"/>
      <w:lang w:val="ru-RU" w:eastAsia="zh-CN" w:bidi="hi-IN"/>
    </w:rPr>
  </w:style>
  <w:style w:type="paragraph" w:styleId="ListLabel211">
    <w:name w:val="ListLabel 211"/>
    <w:qFormat/>
    <w:pPr>
      <w:widowControl/>
      <w:suppressAutoHyphens w:val="true"/>
      <w:overflowPunct w:val="false"/>
      <w:bidi w:val="0"/>
      <w:spacing w:before="0" w:after="0"/>
      <w:jc w:val="start"/>
    </w:pPr>
    <w:rPr>
      <w:rFonts w:ascii="Courier New" w:hAnsi="Courier New" w:eastAsia="DejaVu Sans" w:cs="Liberation Sans"/>
      <w:color w:val="auto"/>
      <w:kern w:val="2"/>
      <w:sz w:val="24"/>
      <w:szCs w:val="24"/>
      <w:lang w:val="ru-RU" w:eastAsia="zh-CN" w:bidi="hi-IN"/>
    </w:rPr>
  </w:style>
  <w:style w:type="paragraph" w:styleId="ListLabel111">
    <w:name w:val="ListLabel 111"/>
    <w:qFormat/>
    <w:pPr>
      <w:widowControl/>
      <w:suppressAutoHyphens w:val="true"/>
      <w:overflowPunct w:val="false"/>
      <w:bidi w:val="0"/>
      <w:spacing w:before="0" w:after="0"/>
      <w:jc w:val="start"/>
    </w:pPr>
    <w:rPr>
      <w:rFonts w:ascii="Courier New" w:hAnsi="Courier New" w:eastAsia="DejaVu Sans" w:cs="Liberation Sans"/>
      <w:color w:val="auto"/>
      <w:kern w:val="2"/>
      <w:sz w:val="24"/>
      <w:szCs w:val="24"/>
      <w:lang w:val="ru-RU" w:eastAsia="zh-CN" w:bidi="hi-IN"/>
    </w:rPr>
  </w:style>
  <w:style w:type="paragraph" w:styleId="VisitedInternetLink">
    <w:name w:val="Visited Internet Link"/>
    <w:qFormat/>
    <w:pPr>
      <w:widowControl/>
      <w:suppressAutoHyphens w:val="true"/>
      <w:overflowPunct w:val="false"/>
      <w:bidi w:val="0"/>
      <w:spacing w:before="0" w:after="0"/>
      <w:jc w:val="start"/>
    </w:pPr>
    <w:rPr>
      <w:rFonts w:ascii="Liberation Serif" w:hAnsi="Liberation Serif" w:eastAsia="DejaVu Sans" w:cs="Liberation Sans"/>
      <w:color w:val="800000"/>
      <w:kern w:val="2"/>
      <w:sz w:val="24"/>
      <w:szCs w:val="24"/>
      <w:u w:val="single"/>
      <w:lang w:val="ru-RU" w:eastAsia="zh-CN" w:bidi="hi-IN"/>
    </w:rPr>
  </w:style>
  <w:style w:type="paragraph" w:styleId="NumberingSymbols1">
    <w:name w:val="Numbering Symbols1"/>
    <w:qFormat/>
    <w:pPr>
      <w:widowControl/>
      <w:suppressAutoHyphens w:val="true"/>
      <w:overflowPunct w:val="false"/>
      <w:bidi w:val="0"/>
      <w:spacing w:before="0" w:after="0"/>
      <w:jc w:val="start"/>
    </w:pPr>
    <w:rPr>
      <w:rFonts w:ascii="Liberation Serif" w:hAnsi="Liberation Serif" w:eastAsia="DejaVu Sans" w:cs="Liberation Sans"/>
      <w:color w:val="auto"/>
      <w:kern w:val="2"/>
      <w:sz w:val="24"/>
      <w:szCs w:val="24"/>
      <w:lang w:val="ru-RU" w:eastAsia="zh-CN" w:bidi="hi-IN"/>
    </w:rPr>
  </w:style>
  <w:style w:type="paragraph" w:styleId="Character20style1">
    <w:name w:val="Character_20_style1"/>
    <w:qFormat/>
    <w:pPr>
      <w:widowControl/>
      <w:suppressAutoHyphens w:val="true"/>
      <w:overflowPunct w:val="false"/>
      <w:bidi w:val="0"/>
      <w:spacing w:before="0" w:after="0"/>
      <w:jc w:val="start"/>
    </w:pPr>
    <w:rPr>
      <w:rFonts w:ascii="Liberation Serif" w:hAnsi="Liberation Serif" w:eastAsia="DejaVu Sans" w:cs="Liberation Sans"/>
      <w:color w:val="auto"/>
      <w:kern w:val="2"/>
      <w:sz w:val="24"/>
      <w:szCs w:val="24"/>
      <w:lang w:val="ru-RU" w:eastAsia="zh-CN" w:bidi="hi-IN"/>
    </w:rPr>
  </w:style>
  <w:style w:type="paragraph" w:styleId="21">
    <w:name w:val="Заголовок 2 Знак1"/>
    <w:qFormat/>
    <w:pPr>
      <w:widowControl/>
      <w:suppressAutoHyphens w:val="true"/>
      <w:overflowPunct w:val="false"/>
      <w:bidi w:val="0"/>
      <w:spacing w:before="0" w:after="0"/>
      <w:jc w:val="start"/>
    </w:pPr>
    <w:rPr>
      <w:rFonts w:ascii="Lohit Devanagari" w:hAnsi="Lohit Devanagari" w:eastAsia="DejaVu Sans" w:cs="Liberation Sans"/>
      <w:b/>
      <w:color w:val="auto"/>
      <w:kern w:val="2"/>
      <w:sz w:val="26"/>
      <w:szCs w:val="24"/>
      <w:lang w:val="ru-RU" w:eastAsia="zh-CN" w:bidi="hi-IN"/>
    </w:rPr>
  </w:style>
  <w:style w:type="paragraph" w:styleId="pagenumber1">
    <w:name w:val="page number1"/>
    <w:qFormat/>
    <w:pPr>
      <w:widowControl/>
      <w:suppressAutoHyphens w:val="true"/>
      <w:overflowPunct w:val="false"/>
      <w:bidi w:val="0"/>
      <w:spacing w:before="0" w:after="0"/>
      <w:jc w:val="start"/>
    </w:pPr>
    <w:rPr>
      <w:rFonts w:ascii="Liberation Serif" w:hAnsi="Liberation Serif" w:eastAsia="DejaVu Sans" w:cs="Liberation Sans"/>
      <w:color w:val="auto"/>
      <w:kern w:val="2"/>
      <w:sz w:val="24"/>
      <w:szCs w:val="24"/>
      <w:lang w:val="ru-RU" w:eastAsia="zh-CN" w:bidi="hi-IN"/>
    </w:rPr>
  </w:style>
  <w:style w:type="paragraph" w:styleId="DNALTGliederung1">
    <w:name w:val="DNA~LT~Gliederung 1"/>
    <w:qFormat/>
    <w:pPr>
      <w:widowControl/>
      <w:suppressAutoHyphens w:val="true"/>
      <w:overflowPunct w:val="false"/>
      <w:bidi w:val="0"/>
      <w:spacing w:before="0" w:after="282"/>
      <w:jc w:val="start"/>
    </w:pPr>
    <w:rPr>
      <w:rFonts w:ascii="Liberation Serif" w:hAnsi="Liberation Serif" w:eastAsia="DejaVu Sans" w:cs="Liberation Sans"/>
      <w:b w:val="false"/>
      <w:i w:val="false"/>
      <w:strike w:val="false"/>
      <w:dstrike w:val="false"/>
      <w:outline w:val="false"/>
      <w:shadow w:val="false"/>
      <w:color w:val="050505"/>
      <w:kern w:val="2"/>
      <w:sz w:val="48"/>
      <w:szCs w:val="24"/>
      <w:u w:val="none"/>
      <w:em w:val="none"/>
      <w:lang w:val="ru-RU" w:eastAsia="zh-CN" w:bidi="hi-IN"/>
    </w:rPr>
  </w:style>
  <w:style w:type="paragraph" w:styleId="DNALTGliederung2">
    <w:name w:val="DNA~LT~Gliederung 2"/>
    <w:basedOn w:val="DNALTGliederung1"/>
    <w:qFormat/>
    <w:pPr>
      <w:spacing w:before="0" w:after="226"/>
    </w:pPr>
    <w:rPr>
      <w:rFonts w:ascii="Liberation Serif" w:hAnsi="Liberation Serif"/>
      <w:b w:val="false"/>
      <w:i w:val="false"/>
      <w:strike w:val="false"/>
      <w:dstrike w:val="false"/>
      <w:outline w:val="false"/>
      <w:shadow w:val="false"/>
      <w:color w:val="050505"/>
      <w:kern w:val="2"/>
      <w:sz w:val="42"/>
      <w:u w:val="none"/>
      <w:em w:val="none"/>
    </w:rPr>
  </w:style>
  <w:style w:type="paragraph" w:styleId="DNALTGliederung3">
    <w:name w:val="DNA~LT~Gliederung 3"/>
    <w:basedOn w:val="DNALTGliederung2"/>
    <w:qFormat/>
    <w:pPr>
      <w:spacing w:before="0" w:after="168"/>
    </w:pPr>
    <w:rPr>
      <w:rFonts w:ascii="Liberation Serif" w:hAnsi="Liberation Serif"/>
      <w:b w:val="false"/>
      <w:i w:val="false"/>
      <w:strike w:val="false"/>
      <w:dstrike w:val="false"/>
      <w:outline w:val="false"/>
      <w:shadow w:val="false"/>
      <w:color w:val="050505"/>
      <w:kern w:val="2"/>
      <w:sz w:val="36"/>
      <w:u w:val="none"/>
      <w:em w:val="none"/>
    </w:rPr>
  </w:style>
  <w:style w:type="paragraph" w:styleId="DNALTGliederung4">
    <w:name w:val="DNA~LT~Gliederung 4"/>
    <w:basedOn w:val="DNALTGliederung3"/>
    <w:qFormat/>
    <w:pPr>
      <w:spacing w:before="0" w:after="112"/>
    </w:pPr>
    <w:rPr>
      <w:rFonts w:ascii="Liberation Serif" w:hAnsi="Liberation Serif"/>
      <w:b w:val="false"/>
      <w:i w:val="false"/>
      <w:strike w:val="false"/>
      <w:dstrike w:val="false"/>
      <w:outline w:val="false"/>
      <w:shadow w:val="false"/>
      <w:color w:val="050505"/>
      <w:kern w:val="2"/>
      <w:sz w:val="30"/>
      <w:u w:val="none"/>
      <w:em w:val="none"/>
    </w:rPr>
  </w:style>
  <w:style w:type="paragraph" w:styleId="DNALTGliederung5">
    <w:name w:val="DNA~LT~Gliederung 5"/>
    <w:basedOn w:val="DNALTGliederung4"/>
    <w:qFormat/>
    <w:pPr>
      <w:spacing w:before="0" w:after="56"/>
    </w:pPr>
    <w:rPr>
      <w:rFonts w:ascii="Liberation Serif" w:hAnsi="Liberation Serif"/>
      <w:b w:val="false"/>
      <w:i w:val="false"/>
      <w:strike w:val="false"/>
      <w:dstrike w:val="false"/>
      <w:outline w:val="false"/>
      <w:shadow w:val="false"/>
      <w:color w:val="050505"/>
      <w:kern w:val="2"/>
      <w:sz w:val="30"/>
      <w:u w:val="none"/>
      <w:em w:val="none"/>
    </w:rPr>
  </w:style>
  <w:style w:type="paragraph" w:styleId="DNALTGliederung6">
    <w:name w:val="DNA~LT~Gliederung 6"/>
    <w:basedOn w:val="DNALTGliederung5"/>
    <w:qFormat/>
    <w:pPr>
      <w:spacing w:before="0" w:after="56"/>
    </w:pPr>
    <w:rPr>
      <w:rFonts w:ascii="Liberation Serif" w:hAnsi="Liberation Serif"/>
      <w:b w:val="false"/>
      <w:i w:val="false"/>
      <w:strike w:val="false"/>
      <w:dstrike w:val="false"/>
      <w:outline w:val="false"/>
      <w:shadow w:val="false"/>
      <w:color w:val="050505"/>
      <w:kern w:val="2"/>
      <w:sz w:val="30"/>
      <w:u w:val="none"/>
      <w:em w:val="none"/>
    </w:rPr>
  </w:style>
  <w:style w:type="paragraph" w:styleId="DNALTGliederung7">
    <w:name w:val="DNA~LT~Gliederung 7"/>
    <w:basedOn w:val="DNALTGliederung6"/>
    <w:qFormat/>
    <w:pPr>
      <w:spacing w:before="0" w:after="56"/>
    </w:pPr>
    <w:rPr>
      <w:rFonts w:ascii="Liberation Serif" w:hAnsi="Liberation Serif"/>
      <w:b w:val="false"/>
      <w:i w:val="false"/>
      <w:strike w:val="false"/>
      <w:dstrike w:val="false"/>
      <w:outline w:val="false"/>
      <w:shadow w:val="false"/>
      <w:color w:val="050505"/>
      <w:kern w:val="2"/>
      <w:sz w:val="30"/>
      <w:u w:val="none"/>
      <w:em w:val="none"/>
    </w:rPr>
  </w:style>
  <w:style w:type="paragraph" w:styleId="DNALTGliederung8">
    <w:name w:val="DNA~LT~Gliederung 8"/>
    <w:basedOn w:val="DNALTGliederung7"/>
    <w:qFormat/>
    <w:pPr>
      <w:spacing w:before="0" w:after="56"/>
    </w:pPr>
    <w:rPr>
      <w:rFonts w:ascii="Liberation Serif" w:hAnsi="Liberation Serif"/>
      <w:b w:val="false"/>
      <w:i w:val="false"/>
      <w:strike w:val="false"/>
      <w:dstrike w:val="false"/>
      <w:outline w:val="false"/>
      <w:shadow w:val="false"/>
      <w:color w:val="050505"/>
      <w:kern w:val="2"/>
      <w:sz w:val="30"/>
      <w:u w:val="none"/>
      <w:em w:val="none"/>
    </w:rPr>
  </w:style>
  <w:style w:type="paragraph" w:styleId="DNALTGliederung9">
    <w:name w:val="DNA~LT~Gliederung 9"/>
    <w:basedOn w:val="DNALTGliederung8"/>
    <w:qFormat/>
    <w:pPr>
      <w:spacing w:before="0" w:after="56"/>
    </w:pPr>
    <w:rPr>
      <w:rFonts w:ascii="Liberation Serif" w:hAnsi="Liberation Serif"/>
      <w:b w:val="false"/>
      <w:i w:val="false"/>
      <w:strike w:val="false"/>
      <w:dstrike w:val="false"/>
      <w:outline w:val="false"/>
      <w:shadow w:val="false"/>
      <w:color w:val="050505"/>
      <w:kern w:val="2"/>
      <w:sz w:val="30"/>
      <w:u w:val="none"/>
      <w:em w:val="none"/>
    </w:rPr>
  </w:style>
  <w:style w:type="paragraph" w:styleId="DNALTTitel">
    <w:name w:val="DNA~LT~Titel"/>
    <w:qFormat/>
    <w:pPr>
      <w:widowControl/>
      <w:suppressAutoHyphens w:val="true"/>
      <w:overflowPunct w:val="false"/>
      <w:bidi w:val="0"/>
      <w:spacing w:before="0" w:after="0"/>
      <w:jc w:val="center"/>
    </w:pPr>
    <w:rPr>
      <w:rFonts w:ascii="Liberation Serif" w:hAnsi="Liberation Serif" w:eastAsia="DejaVu Sans" w:cs="Liberation Sans"/>
      <w:b w:val="false"/>
      <w:i w:val="false"/>
      <w:strike w:val="false"/>
      <w:dstrike w:val="false"/>
      <w:outline w:val="false"/>
      <w:shadow w:val="false"/>
      <w:color w:val="050505"/>
      <w:kern w:val="2"/>
      <w:sz w:val="66"/>
      <w:szCs w:val="24"/>
      <w:u w:val="none"/>
      <w:em w:val="none"/>
      <w:lang w:val="ru-RU" w:eastAsia="zh-CN" w:bidi="hi-IN"/>
    </w:rPr>
  </w:style>
  <w:style w:type="paragraph" w:styleId="DNALTUntertitel">
    <w:name w:val="DNA~LT~Untertitel"/>
    <w:qFormat/>
    <w:pPr>
      <w:widowControl/>
      <w:suppressAutoHyphens w:val="true"/>
      <w:overflowPunct w:val="false"/>
      <w:bidi w:val="0"/>
      <w:spacing w:before="0" w:after="0"/>
      <w:jc w:val="center"/>
    </w:pPr>
    <w:rPr>
      <w:rFonts w:ascii="Liberation Serif" w:hAnsi="Liberation Serif" w:eastAsia="DejaVu Sans" w:cs="Liberation Sans"/>
      <w:b w:val="false"/>
      <w:i w:val="false"/>
      <w:strike w:val="false"/>
      <w:dstrike w:val="false"/>
      <w:outline w:val="false"/>
      <w:shadow w:val="false"/>
      <w:color w:val="auto"/>
      <w:kern w:val="2"/>
      <w:sz w:val="64"/>
      <w:szCs w:val="24"/>
      <w:u w:val="none"/>
      <w:em w:val="none"/>
      <w:lang w:val="ru-RU" w:eastAsia="zh-CN" w:bidi="hi-IN"/>
    </w:rPr>
  </w:style>
  <w:style w:type="paragraph" w:styleId="DNALTNotizen">
    <w:name w:val="DNA~LT~Notizen"/>
    <w:qFormat/>
    <w:pPr>
      <w:widowControl/>
      <w:suppressAutoHyphens w:val="true"/>
      <w:overflowPunct w:val="false"/>
      <w:bidi w:val="0"/>
      <w:spacing w:before="0" w:after="0"/>
      <w:ind w:hanging="0" w:start="340" w:end="0"/>
      <w:jc w:val="start"/>
    </w:pPr>
    <w:rPr>
      <w:rFonts w:ascii="Liberation Sans" w:hAnsi="Liberation Sans" w:eastAsia="DejaVu Sans" w:cs="Liberation Sans"/>
      <w:b w:val="false"/>
      <w:i w:val="false"/>
      <w:strike w:val="false"/>
      <w:dstrike w:val="false"/>
      <w:outline w:val="false"/>
      <w:shadow w:val="false"/>
      <w:color w:val="auto"/>
      <w:kern w:val="2"/>
      <w:sz w:val="58"/>
      <w:szCs w:val="24"/>
      <w:u w:val="none"/>
      <w:em w:val="none"/>
      <w:lang w:val="ru-RU" w:eastAsia="zh-CN" w:bidi="hi-IN"/>
    </w:rPr>
  </w:style>
  <w:style w:type="paragraph" w:styleId="DNALTHintergrundobjekte">
    <w:name w:val="DNA~LT~Hintergrundobjekte"/>
    <w:qFormat/>
    <w:pPr>
      <w:widowControl/>
      <w:suppressAutoHyphens w:val="true"/>
      <w:overflowPunct w:val="false"/>
      <w:bidi w:val="0"/>
      <w:spacing w:before="0" w:after="0"/>
      <w:jc w:val="start"/>
    </w:pPr>
    <w:rPr>
      <w:rFonts w:ascii="Liberation Sans" w:hAnsi="Liberation Sans" w:eastAsia="DejaVu Sans" w:cs="Liberation Sans"/>
      <w:color w:val="auto"/>
      <w:kern w:val="2"/>
      <w:sz w:val="28"/>
      <w:szCs w:val="24"/>
      <w:lang w:val="ru-RU" w:eastAsia="zh-CN" w:bidi="hi-IN"/>
    </w:rPr>
  </w:style>
  <w:style w:type="paragraph" w:styleId="DNALTHintergrund">
    <w:name w:val="DNA~LT~Hintergrund"/>
    <w:qFormat/>
    <w:pPr>
      <w:widowControl/>
      <w:suppressAutoHyphens w:val="true"/>
      <w:overflowPunct w:val="false"/>
      <w:bidi w:val="0"/>
      <w:spacing w:before="0" w:after="0"/>
      <w:jc w:val="start"/>
    </w:pPr>
    <w:rPr>
      <w:rFonts w:ascii="Liberation Serif" w:hAnsi="Liberation Serif" w:eastAsia="DejaVu Sans" w:cs="Liberation Sans"/>
      <w:color w:val="auto"/>
      <w:kern w:val="2"/>
      <w:sz w:val="24"/>
      <w:szCs w:val="24"/>
      <w:lang w:val="ru-RU" w:eastAsia="zh-CN" w:bidi="hi-IN"/>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hyperlink" Target="http://n2t.net/addgene:50590" TargetMode="External"/><Relationship Id="rId8" Type="http://schemas.openxmlformats.org/officeDocument/2006/relationships/hyperlink" Target="http://n2t.net/addgene:62202" TargetMode="External"/><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hyperlink" Target="http://www.rgenome.net/cas-database/" TargetMode="External"/><Relationship Id="rId12" Type="http://schemas.openxmlformats.org/officeDocument/2006/relationships/hyperlink" Target="https://solgenomics.net/ftp/varitome/GWAS/VCFs/" TargetMode="External"/><Relationship Id="rId13" Type="http://schemas.openxmlformats.org/officeDocument/2006/relationships/hyperlink" Target="https://solgenomics.net/organism/Solanum_lycopersicum/genome" TargetMode="External"/><Relationship Id="rId14" Type="http://schemas.openxmlformats.org/officeDocument/2006/relationships/hyperlink" Target="http://plants.ensembl.org/Solanum_lycopersicum/Tools/AssemblyConverter?db=core" TargetMode="Externa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footer" Target="footer3.xml"/><Relationship Id="rId34" Type="http://schemas.openxmlformats.org/officeDocument/2006/relationships/numbering" Target="numbering.xml"/><Relationship Id="rId35" Type="http://schemas.openxmlformats.org/officeDocument/2006/relationships/fontTable" Target="fontTable.xml"/><Relationship Id="rId36" Type="http://schemas.openxmlformats.org/officeDocument/2006/relationships/settings" Target="settings.xml"/><Relationship Id="rId37"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8937</TotalTime>
  <Application>LibreOffice/24.2.7.2$Linux_X86_64 LibreOffice_project/420$Build-2</Application>
  <AppVersion>15.0000</AppVersion>
  <Pages>100</Pages>
  <Words>28102</Words>
  <Characters>180624</Characters>
  <CharactersWithSpaces>207592</CharactersWithSpaces>
  <Paragraphs>2482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2024-07-11T10:31:56Z</dcterms:created>
  <dc:creator>Alex P.</dc:creator>
  <dc:description/>
  <dc:language>en-US</dc:language>
  <cp:lastModifiedBy/>
  <cp:lastPrinted>2025-03-04T10:32:48Z</cp:lastPrinted>
  <dcterms:modified xsi:type="dcterms:W3CDTF">2025-03-04T10:34:15Z</dcterms:modified>
  <cp:revision>1723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y fmtid="{D5CDD505-2E9C-101B-9397-08002B2CF9AE}" pid="6" name="ZOTERO_PREF_1">
    <vt:lpwstr>&lt;data data-version="3" zotero-version="6.0.35"&gt;&lt;session id="DcP34yCi"/&gt;&lt;style id="http://www.zotero.org/styles/gost-r-7-0-5-2008-numeric" hasBibliography="1" bibliographyStyleHasBeenSet="1"/&gt;&lt;prefs&gt;&lt;pref name="fieldType" value="ReferenceMark"/&gt;&lt;pref name=</vt:lpwstr>
  </property>
  <property fmtid="{D5CDD505-2E9C-101B-9397-08002B2CF9AE}" pid="7" name="ZOTERO_PREF_2">
    <vt:lpwstr>"automaticJournalAbbreviations" value="true"/&gt;&lt;/prefs&gt;&lt;/data&gt;</vt:lpwstr>
  </property>
</Properties>
</file>